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7C8A0" w14:textId="016AB49F" w:rsidR="00B332B2" w:rsidRPr="00F32BAB" w:rsidRDefault="003944E6" w:rsidP="00455FBF">
      <w:pPr>
        <w:spacing w:after="0" w:line="276" w:lineRule="auto"/>
        <w:jc w:val="center"/>
        <w:rPr>
          <w:rFonts w:ascii="Arial" w:eastAsia="Helvetica" w:hAnsi="Arial" w:cs="Arial"/>
          <w:b/>
          <w:bCs/>
          <w:color w:val="1A1A1A"/>
          <w:sz w:val="28"/>
          <w:szCs w:val="28"/>
        </w:rPr>
      </w:pPr>
      <w:bookmarkStart w:id="0" w:name="_GoBack"/>
      <w:bookmarkEnd w:id="0"/>
      <w:r>
        <w:rPr>
          <w:rFonts w:ascii="Arial" w:eastAsia="Helvetica" w:hAnsi="Arial" w:cs="Arial"/>
          <w:b/>
          <w:bCs/>
          <w:color w:val="1A1A1A"/>
          <w:sz w:val="28"/>
          <w:szCs w:val="28"/>
        </w:rPr>
        <w:t xml:space="preserve"> </w:t>
      </w:r>
      <w:r w:rsidR="00455FBF" w:rsidRPr="00F32BAB">
        <w:rPr>
          <w:rFonts w:ascii="Arial" w:eastAsia="Helvetica" w:hAnsi="Arial" w:cs="Arial"/>
          <w:b/>
          <w:bCs/>
          <w:color w:val="1A1A1A"/>
          <w:sz w:val="28"/>
          <w:szCs w:val="28"/>
        </w:rPr>
        <w:t>Understanding transnational policy flows in security and justice</w:t>
      </w:r>
    </w:p>
    <w:p w14:paraId="0B14C1EC" w14:textId="64DF62D7" w:rsidR="00455FBF" w:rsidRPr="00CC43CA" w:rsidRDefault="00455FBF" w:rsidP="00455FBF">
      <w:pPr>
        <w:spacing w:after="0" w:line="276" w:lineRule="auto"/>
        <w:jc w:val="center"/>
        <w:rPr>
          <w:rFonts w:ascii="Arial" w:eastAsia="Helvetica" w:hAnsi="Arial" w:cs="Arial"/>
          <w:b/>
          <w:bCs/>
          <w:color w:val="1A1A1A"/>
        </w:rPr>
      </w:pPr>
    </w:p>
    <w:p w14:paraId="092C1287" w14:textId="59DE4FAC" w:rsidR="00647919" w:rsidRPr="00CC43CA" w:rsidRDefault="00647919" w:rsidP="00647919">
      <w:pPr>
        <w:spacing w:after="0" w:line="276" w:lineRule="auto"/>
        <w:jc w:val="center"/>
        <w:rPr>
          <w:rFonts w:ascii="Arial" w:eastAsia="Helvetica" w:hAnsi="Arial" w:cs="Arial"/>
          <w:b/>
          <w:bCs/>
          <w:color w:val="1A1A1A"/>
        </w:rPr>
      </w:pPr>
      <w:r w:rsidRPr="00CC43CA">
        <w:rPr>
          <w:rFonts w:ascii="Arial" w:eastAsia="Helvetica" w:hAnsi="Arial" w:cs="Arial"/>
          <w:b/>
          <w:bCs/>
          <w:color w:val="1A1A1A"/>
        </w:rPr>
        <w:t>Trevor Jones</w:t>
      </w:r>
      <w:r w:rsidR="00D60088">
        <w:rPr>
          <w:rFonts w:ascii="Arial" w:eastAsia="Helvetica" w:hAnsi="Arial" w:cs="Arial"/>
          <w:b/>
          <w:bCs/>
          <w:color w:val="1A1A1A"/>
        </w:rPr>
        <w:t>*</w:t>
      </w:r>
      <w:r w:rsidRPr="00CC43CA">
        <w:rPr>
          <w:rFonts w:ascii="Arial" w:eastAsia="Helvetica" w:hAnsi="Arial" w:cs="Arial"/>
          <w:b/>
          <w:bCs/>
          <w:color w:val="1A1A1A"/>
        </w:rPr>
        <w:t xml:space="preserve"> and Tim Newburn</w:t>
      </w:r>
      <w:r w:rsidR="00945356">
        <w:rPr>
          <w:rFonts w:ascii="Arial" w:eastAsia="Helvetica" w:hAnsi="Arial" w:cs="Arial"/>
          <w:b/>
          <w:bCs/>
          <w:color w:val="1A1A1A"/>
        </w:rPr>
        <w:t>**</w:t>
      </w:r>
    </w:p>
    <w:p w14:paraId="68DFD082" w14:textId="77777777" w:rsidR="00647919" w:rsidRPr="00CC43CA" w:rsidRDefault="00647919" w:rsidP="00455FBF">
      <w:pPr>
        <w:spacing w:after="0" w:line="276" w:lineRule="auto"/>
        <w:jc w:val="center"/>
        <w:rPr>
          <w:rFonts w:ascii="Arial" w:eastAsia="Helvetica" w:hAnsi="Arial" w:cs="Arial"/>
          <w:b/>
          <w:bCs/>
          <w:color w:val="1A1A1A"/>
        </w:rPr>
      </w:pPr>
    </w:p>
    <w:p w14:paraId="43750D1E" w14:textId="23392B6F" w:rsidR="00980AF1" w:rsidRPr="00CC43CA" w:rsidRDefault="00980AF1" w:rsidP="00980AF1">
      <w:pPr>
        <w:spacing w:line="276" w:lineRule="auto"/>
        <w:ind w:left="720"/>
        <w:rPr>
          <w:rFonts w:ascii="Arial" w:eastAsia="Times New Roman" w:hAnsi="Arial" w:cs="Arial"/>
          <w:i/>
          <w:sz w:val="20"/>
          <w:szCs w:val="20"/>
          <w:lang w:eastAsia="en-GB"/>
        </w:rPr>
      </w:pPr>
      <w:r w:rsidRPr="00CC43CA">
        <w:rPr>
          <w:rFonts w:ascii="Arial" w:eastAsia="Times New Roman" w:hAnsi="Arial" w:cs="Arial"/>
          <w:i/>
          <w:color w:val="000000"/>
          <w:sz w:val="20"/>
          <w:szCs w:val="20"/>
          <w:shd w:val="clear" w:color="auto" w:fill="FFFFFF"/>
          <w:lang w:eastAsia="en-GB"/>
        </w:rPr>
        <w:t xml:space="preserve">This paper </w:t>
      </w:r>
      <w:r w:rsidR="00E16654">
        <w:rPr>
          <w:rFonts w:ascii="Arial" w:eastAsia="Times New Roman" w:hAnsi="Arial" w:cs="Arial"/>
          <w:i/>
          <w:color w:val="000000"/>
          <w:sz w:val="20"/>
          <w:szCs w:val="20"/>
          <w:shd w:val="clear" w:color="auto" w:fill="FFFFFF"/>
          <w:lang w:eastAsia="en-GB"/>
        </w:rPr>
        <w:t>examines</w:t>
      </w:r>
      <w:r w:rsidRPr="00CC43CA">
        <w:rPr>
          <w:rFonts w:ascii="Arial" w:eastAsia="Times New Roman" w:hAnsi="Arial" w:cs="Arial"/>
          <w:i/>
          <w:color w:val="000000"/>
          <w:sz w:val="20"/>
          <w:szCs w:val="20"/>
          <w:shd w:val="clear" w:color="auto" w:fill="FFFFFF"/>
          <w:lang w:eastAsia="en-GB"/>
        </w:rPr>
        <w:t xml:space="preserve"> the contribution of schol</w:t>
      </w:r>
      <w:r w:rsidR="00CA1FED">
        <w:rPr>
          <w:rFonts w:ascii="Arial" w:eastAsia="Times New Roman" w:hAnsi="Arial" w:cs="Arial"/>
          <w:i/>
          <w:color w:val="000000"/>
          <w:sz w:val="20"/>
          <w:szCs w:val="20"/>
          <w:shd w:val="clear" w:color="auto" w:fill="FFFFFF"/>
          <w:lang w:eastAsia="en-GB"/>
        </w:rPr>
        <w:t>arly work on ‘policy transfer’ and related concepts</w:t>
      </w:r>
      <w:r w:rsidRPr="00CC43CA">
        <w:rPr>
          <w:rFonts w:ascii="Arial" w:eastAsia="Times New Roman" w:hAnsi="Arial" w:cs="Arial"/>
          <w:i/>
          <w:color w:val="000000"/>
          <w:sz w:val="20"/>
          <w:szCs w:val="20"/>
          <w:shd w:val="clear" w:color="auto" w:fill="FFFFFF"/>
          <w:lang w:eastAsia="en-GB"/>
        </w:rPr>
        <w:t xml:space="preserve"> to our knowledge</w:t>
      </w:r>
      <w:r w:rsidR="00505A4E" w:rsidRPr="00CC43CA">
        <w:rPr>
          <w:rFonts w:ascii="Arial" w:eastAsia="Times New Roman" w:hAnsi="Arial" w:cs="Arial"/>
          <w:i/>
          <w:color w:val="000000"/>
          <w:sz w:val="20"/>
          <w:szCs w:val="20"/>
          <w:shd w:val="clear" w:color="auto" w:fill="FFFFFF"/>
          <w:lang w:eastAsia="en-GB"/>
        </w:rPr>
        <w:t xml:space="preserve"> of how far</w:t>
      </w:r>
      <w:r w:rsidR="00895502" w:rsidRPr="00CC43CA">
        <w:rPr>
          <w:rFonts w:ascii="Arial" w:eastAsia="Times New Roman" w:hAnsi="Arial" w:cs="Arial"/>
          <w:i/>
          <w:color w:val="000000"/>
          <w:sz w:val="20"/>
          <w:szCs w:val="20"/>
          <w:shd w:val="clear" w:color="auto" w:fill="FFFFFF"/>
          <w:lang w:eastAsia="en-GB"/>
        </w:rPr>
        <w:t>,</w:t>
      </w:r>
      <w:r w:rsidR="00505A4E" w:rsidRPr="00CC43CA">
        <w:rPr>
          <w:rFonts w:ascii="Arial" w:eastAsia="Times New Roman" w:hAnsi="Arial" w:cs="Arial"/>
          <w:i/>
          <w:color w:val="000000"/>
          <w:sz w:val="20"/>
          <w:szCs w:val="20"/>
          <w:shd w:val="clear" w:color="auto" w:fill="FFFFFF"/>
          <w:lang w:eastAsia="en-GB"/>
        </w:rPr>
        <w:t xml:space="preserve"> and in what ways, particular</w:t>
      </w:r>
      <w:r w:rsidRPr="00CC43CA">
        <w:rPr>
          <w:rFonts w:ascii="Arial" w:eastAsia="Times New Roman" w:hAnsi="Arial" w:cs="Arial"/>
          <w:i/>
          <w:color w:val="000000"/>
          <w:sz w:val="20"/>
          <w:szCs w:val="20"/>
          <w:shd w:val="clear" w:color="auto" w:fill="FFFFFF"/>
          <w:lang w:eastAsia="en-GB"/>
        </w:rPr>
        <w:t xml:space="preserve"> policy ‘models’ </w:t>
      </w:r>
      <w:r w:rsidR="00505A4E" w:rsidRPr="00CC43CA">
        <w:rPr>
          <w:rFonts w:ascii="Arial" w:eastAsia="Times New Roman" w:hAnsi="Arial" w:cs="Arial"/>
          <w:i/>
          <w:color w:val="000000"/>
          <w:sz w:val="20"/>
          <w:szCs w:val="20"/>
          <w:shd w:val="clear" w:color="auto" w:fill="FFFFFF"/>
          <w:lang w:eastAsia="en-GB"/>
        </w:rPr>
        <w:t xml:space="preserve">of security and justice </w:t>
      </w:r>
      <w:r w:rsidRPr="00CC43CA">
        <w:rPr>
          <w:rFonts w:ascii="Arial" w:eastAsia="Times New Roman" w:hAnsi="Arial" w:cs="Arial"/>
          <w:i/>
          <w:color w:val="000000"/>
          <w:sz w:val="20"/>
          <w:szCs w:val="20"/>
          <w:shd w:val="clear" w:color="auto" w:fill="FFFFFF"/>
          <w:lang w:eastAsia="en-GB"/>
        </w:rPr>
        <w:t>travel across national boundaries</w:t>
      </w:r>
      <w:r w:rsidR="00505A4E" w:rsidRPr="00CC43CA">
        <w:rPr>
          <w:rFonts w:ascii="Arial" w:eastAsia="Times New Roman" w:hAnsi="Arial" w:cs="Arial"/>
          <w:i/>
          <w:color w:val="000000"/>
          <w:sz w:val="20"/>
          <w:szCs w:val="20"/>
          <w:shd w:val="clear" w:color="auto" w:fill="FFFFFF"/>
          <w:lang w:eastAsia="en-GB"/>
        </w:rPr>
        <w:t>, and what m</w:t>
      </w:r>
      <w:r w:rsidR="00E12009">
        <w:rPr>
          <w:rFonts w:ascii="Arial" w:eastAsia="Times New Roman" w:hAnsi="Arial" w:cs="Arial"/>
          <w:i/>
          <w:color w:val="000000"/>
          <w:sz w:val="20"/>
          <w:szCs w:val="20"/>
          <w:shd w:val="clear" w:color="auto" w:fill="FFFFFF"/>
          <w:lang w:eastAsia="en-GB"/>
        </w:rPr>
        <w:t>ight explain this phenomenon. The paper begins by summarising</w:t>
      </w:r>
      <w:r w:rsidR="00E16654">
        <w:rPr>
          <w:rFonts w:ascii="Arial" w:eastAsia="Times New Roman" w:hAnsi="Arial" w:cs="Arial"/>
          <w:i/>
          <w:color w:val="000000"/>
          <w:sz w:val="20"/>
          <w:szCs w:val="20"/>
          <w:shd w:val="clear" w:color="auto" w:fill="FFFFFF"/>
          <w:lang w:eastAsia="en-GB"/>
        </w:rPr>
        <w:t xml:space="preserve"> the</w:t>
      </w:r>
      <w:r w:rsidR="005615C4" w:rsidRPr="00CC43CA">
        <w:rPr>
          <w:rFonts w:ascii="Arial" w:eastAsia="Times New Roman" w:hAnsi="Arial" w:cs="Arial"/>
          <w:i/>
          <w:color w:val="000000"/>
          <w:sz w:val="20"/>
          <w:szCs w:val="20"/>
          <w:shd w:val="clear" w:color="auto" w:fill="FFFFFF"/>
          <w:lang w:eastAsia="en-GB"/>
        </w:rPr>
        <w:t xml:space="preserve"> key </w:t>
      </w:r>
      <w:r w:rsidR="00E16654">
        <w:rPr>
          <w:rFonts w:ascii="Arial" w:eastAsia="Times New Roman" w:hAnsi="Arial" w:cs="Arial"/>
          <w:i/>
          <w:color w:val="000000"/>
          <w:sz w:val="20"/>
          <w:szCs w:val="20"/>
          <w:shd w:val="clear" w:color="auto" w:fill="FFFFFF"/>
          <w:lang w:eastAsia="en-GB"/>
        </w:rPr>
        <w:t xml:space="preserve">findings of </w:t>
      </w:r>
      <w:r w:rsidR="005615C4" w:rsidRPr="00CC43CA">
        <w:rPr>
          <w:rFonts w:ascii="Arial" w:eastAsia="Times New Roman" w:hAnsi="Arial" w:cs="Arial"/>
          <w:i/>
          <w:color w:val="000000"/>
          <w:sz w:val="20"/>
          <w:szCs w:val="20"/>
          <w:shd w:val="clear" w:color="auto" w:fill="FFFFFF"/>
          <w:lang w:eastAsia="en-GB"/>
        </w:rPr>
        <w:t xml:space="preserve">extant </w:t>
      </w:r>
      <w:r w:rsidR="00E16654">
        <w:rPr>
          <w:rFonts w:ascii="Arial" w:eastAsia="Times New Roman" w:hAnsi="Arial" w:cs="Arial"/>
          <w:i/>
          <w:color w:val="000000"/>
          <w:sz w:val="20"/>
          <w:szCs w:val="20"/>
          <w:shd w:val="clear" w:color="auto" w:fill="FFFFFF"/>
          <w:lang w:eastAsia="en-GB"/>
        </w:rPr>
        <w:t xml:space="preserve">empirical </w:t>
      </w:r>
      <w:r w:rsidR="005615C4" w:rsidRPr="00CC43CA">
        <w:rPr>
          <w:rFonts w:ascii="Arial" w:eastAsia="Times New Roman" w:hAnsi="Arial" w:cs="Arial"/>
          <w:i/>
          <w:color w:val="000000"/>
          <w:sz w:val="20"/>
          <w:szCs w:val="20"/>
          <w:shd w:val="clear" w:color="auto" w:fill="FFFFFF"/>
          <w:lang w:eastAsia="en-GB"/>
        </w:rPr>
        <w:t xml:space="preserve">studies of </w:t>
      </w:r>
      <w:r w:rsidR="006F265E" w:rsidRPr="00CC43CA">
        <w:rPr>
          <w:rFonts w:ascii="Arial" w:eastAsia="Times New Roman" w:hAnsi="Arial" w:cs="Arial"/>
          <w:i/>
          <w:color w:val="000000"/>
          <w:sz w:val="20"/>
          <w:szCs w:val="20"/>
          <w:shd w:val="clear" w:color="auto" w:fill="FFFFFF"/>
          <w:lang w:eastAsia="en-GB"/>
        </w:rPr>
        <w:t>cr</w:t>
      </w:r>
      <w:r w:rsidR="006F265E">
        <w:rPr>
          <w:rFonts w:ascii="Arial" w:eastAsia="Times New Roman" w:hAnsi="Arial" w:cs="Arial"/>
          <w:i/>
          <w:color w:val="000000"/>
          <w:sz w:val="20"/>
          <w:szCs w:val="20"/>
          <w:shd w:val="clear" w:color="auto" w:fill="FFFFFF"/>
          <w:lang w:eastAsia="en-GB"/>
        </w:rPr>
        <w:t>oss-national</w:t>
      </w:r>
      <w:r w:rsidR="005615C4" w:rsidRPr="00CC43CA">
        <w:rPr>
          <w:rFonts w:ascii="Arial" w:eastAsia="Times New Roman" w:hAnsi="Arial" w:cs="Arial"/>
          <w:i/>
          <w:color w:val="000000"/>
          <w:sz w:val="20"/>
          <w:szCs w:val="20"/>
          <w:shd w:val="clear" w:color="auto" w:fill="FFFFFF"/>
          <w:lang w:eastAsia="en-GB"/>
        </w:rPr>
        <w:t xml:space="preserve"> </w:t>
      </w:r>
      <w:r w:rsidR="00E16654">
        <w:rPr>
          <w:rFonts w:ascii="Arial" w:eastAsia="Times New Roman" w:hAnsi="Arial" w:cs="Arial"/>
          <w:i/>
          <w:color w:val="000000"/>
          <w:sz w:val="20"/>
          <w:szCs w:val="20"/>
          <w:shd w:val="clear" w:color="auto" w:fill="FFFFFF"/>
          <w:lang w:eastAsia="en-GB"/>
        </w:rPr>
        <w:t xml:space="preserve">policy </w:t>
      </w:r>
      <w:r w:rsidR="005615C4" w:rsidRPr="00CC43CA">
        <w:rPr>
          <w:rFonts w:ascii="Arial" w:eastAsia="Times New Roman" w:hAnsi="Arial" w:cs="Arial"/>
          <w:i/>
          <w:color w:val="000000"/>
          <w:sz w:val="20"/>
          <w:szCs w:val="20"/>
          <w:shd w:val="clear" w:color="auto" w:fill="FFFFFF"/>
          <w:lang w:eastAsia="en-GB"/>
        </w:rPr>
        <w:t>movement</w:t>
      </w:r>
      <w:r w:rsidR="00E16654">
        <w:rPr>
          <w:rFonts w:ascii="Arial" w:eastAsia="Times New Roman" w:hAnsi="Arial" w:cs="Arial"/>
          <w:i/>
          <w:color w:val="000000"/>
          <w:sz w:val="20"/>
          <w:szCs w:val="20"/>
          <w:shd w:val="clear" w:color="auto" w:fill="FFFFFF"/>
          <w:lang w:eastAsia="en-GB"/>
        </w:rPr>
        <w:t xml:space="preserve"> in the fields of crime, security and justice. </w:t>
      </w:r>
      <w:r w:rsidR="00E12009">
        <w:rPr>
          <w:rFonts w:ascii="Arial" w:eastAsia="Times New Roman" w:hAnsi="Arial" w:cs="Arial"/>
          <w:i/>
          <w:color w:val="000000"/>
          <w:sz w:val="20"/>
          <w:szCs w:val="20"/>
          <w:shd w:val="clear" w:color="auto" w:fill="FFFFFF"/>
          <w:lang w:eastAsia="en-GB"/>
        </w:rPr>
        <w:t>It</w:t>
      </w:r>
      <w:r w:rsidR="005615C4" w:rsidRPr="00CC43CA">
        <w:rPr>
          <w:rFonts w:ascii="Arial" w:eastAsia="Times New Roman" w:hAnsi="Arial" w:cs="Arial"/>
          <w:i/>
          <w:color w:val="000000"/>
          <w:sz w:val="20"/>
          <w:szCs w:val="20"/>
          <w:shd w:val="clear" w:color="auto" w:fill="FFFFFF"/>
          <w:lang w:eastAsia="en-GB"/>
        </w:rPr>
        <w:t xml:space="preserve"> then</w:t>
      </w:r>
      <w:r w:rsidRPr="00CC43CA">
        <w:rPr>
          <w:rFonts w:ascii="Arial" w:eastAsia="Times New Roman" w:hAnsi="Arial" w:cs="Arial"/>
          <w:i/>
          <w:color w:val="000000"/>
          <w:sz w:val="20"/>
          <w:szCs w:val="20"/>
          <w:shd w:val="clear" w:color="auto" w:fill="FFFFFF"/>
          <w:lang w:eastAsia="en-GB"/>
        </w:rPr>
        <w:t xml:space="preserve"> consider</w:t>
      </w:r>
      <w:r w:rsidR="005615C4" w:rsidRPr="00CC43CA">
        <w:rPr>
          <w:rFonts w:ascii="Arial" w:eastAsia="Times New Roman" w:hAnsi="Arial" w:cs="Arial"/>
          <w:i/>
          <w:color w:val="000000"/>
          <w:sz w:val="20"/>
          <w:szCs w:val="20"/>
          <w:shd w:val="clear" w:color="auto" w:fill="FFFFFF"/>
          <w:lang w:eastAsia="en-GB"/>
        </w:rPr>
        <w:t>s</w:t>
      </w:r>
      <w:r w:rsidRPr="00CC43CA">
        <w:rPr>
          <w:rFonts w:ascii="Arial" w:eastAsia="Times New Roman" w:hAnsi="Arial" w:cs="Arial"/>
          <w:i/>
          <w:color w:val="000000"/>
          <w:sz w:val="20"/>
          <w:szCs w:val="20"/>
          <w:shd w:val="clear" w:color="auto" w:fill="FFFFFF"/>
          <w:lang w:eastAsia="en-GB"/>
        </w:rPr>
        <w:t xml:space="preserve"> the normative dimens</w:t>
      </w:r>
      <w:r w:rsidR="00172BF0" w:rsidRPr="00CC43CA">
        <w:rPr>
          <w:rFonts w:ascii="Arial" w:eastAsia="Times New Roman" w:hAnsi="Arial" w:cs="Arial"/>
          <w:i/>
          <w:color w:val="000000"/>
          <w:sz w:val="20"/>
          <w:szCs w:val="20"/>
          <w:shd w:val="clear" w:color="auto" w:fill="FFFFFF"/>
          <w:lang w:eastAsia="en-GB"/>
        </w:rPr>
        <w:t xml:space="preserve">ion </w:t>
      </w:r>
      <w:r w:rsidR="006F265E" w:rsidRPr="00CC43CA">
        <w:rPr>
          <w:rFonts w:ascii="Arial" w:eastAsia="Times New Roman" w:hAnsi="Arial" w:cs="Arial"/>
          <w:i/>
          <w:color w:val="000000"/>
          <w:sz w:val="20"/>
          <w:szCs w:val="20"/>
          <w:shd w:val="clear" w:color="auto" w:fill="FFFFFF"/>
          <w:lang w:eastAsia="en-GB"/>
        </w:rPr>
        <w:t>to debates</w:t>
      </w:r>
      <w:r w:rsidR="00E16654">
        <w:rPr>
          <w:rFonts w:ascii="Arial" w:eastAsia="Times New Roman" w:hAnsi="Arial" w:cs="Arial"/>
          <w:i/>
          <w:color w:val="000000"/>
          <w:sz w:val="20"/>
          <w:szCs w:val="20"/>
          <w:shd w:val="clear" w:color="auto" w:fill="FFFFFF"/>
          <w:lang w:eastAsia="en-GB"/>
        </w:rPr>
        <w:t xml:space="preserve"> about policy transfer</w:t>
      </w:r>
      <w:r w:rsidR="00172BF0" w:rsidRPr="00CC43CA">
        <w:rPr>
          <w:rFonts w:ascii="Arial" w:eastAsia="Times New Roman" w:hAnsi="Arial" w:cs="Arial"/>
          <w:i/>
          <w:color w:val="000000"/>
          <w:sz w:val="20"/>
          <w:szCs w:val="20"/>
          <w:shd w:val="clear" w:color="auto" w:fill="FFFFFF"/>
          <w:lang w:eastAsia="en-GB"/>
        </w:rPr>
        <w:t>, observing</w:t>
      </w:r>
      <w:r w:rsidRPr="00CC43CA">
        <w:rPr>
          <w:rFonts w:ascii="Arial" w:eastAsia="Times New Roman" w:hAnsi="Arial" w:cs="Arial"/>
          <w:i/>
          <w:color w:val="000000"/>
          <w:sz w:val="20"/>
          <w:szCs w:val="20"/>
          <w:shd w:val="clear" w:color="auto" w:fill="FFFFFF"/>
          <w:lang w:eastAsia="en-GB"/>
        </w:rPr>
        <w:t xml:space="preserve"> that much of the lite</w:t>
      </w:r>
      <w:r w:rsidR="00505A4E" w:rsidRPr="00CC43CA">
        <w:rPr>
          <w:rFonts w:ascii="Arial" w:eastAsia="Times New Roman" w:hAnsi="Arial" w:cs="Arial"/>
          <w:i/>
          <w:color w:val="000000"/>
          <w:sz w:val="20"/>
          <w:szCs w:val="20"/>
          <w:shd w:val="clear" w:color="auto" w:fill="FFFFFF"/>
          <w:lang w:eastAsia="en-GB"/>
        </w:rPr>
        <w:t>rature adopts a pessimistic position</w:t>
      </w:r>
      <w:r w:rsidR="00E12009">
        <w:rPr>
          <w:rFonts w:ascii="Arial" w:eastAsia="Times New Roman" w:hAnsi="Arial" w:cs="Arial"/>
          <w:i/>
          <w:color w:val="000000"/>
          <w:sz w:val="20"/>
          <w:szCs w:val="20"/>
          <w:shd w:val="clear" w:color="auto" w:fill="FFFFFF"/>
          <w:lang w:eastAsia="en-GB"/>
        </w:rPr>
        <w:t xml:space="preserve"> about the problematic </w:t>
      </w:r>
      <w:r w:rsidR="002A1367" w:rsidRPr="00CC43CA">
        <w:rPr>
          <w:rFonts w:ascii="Arial" w:eastAsia="Times New Roman" w:hAnsi="Arial" w:cs="Arial"/>
          <w:i/>
          <w:color w:val="000000"/>
          <w:sz w:val="20"/>
          <w:szCs w:val="20"/>
          <w:shd w:val="clear" w:color="auto" w:fill="FFFFFF"/>
          <w:lang w:eastAsia="en-GB"/>
        </w:rPr>
        <w:t xml:space="preserve">nature of </w:t>
      </w:r>
      <w:r w:rsidRPr="00CC43CA">
        <w:rPr>
          <w:rFonts w:ascii="Arial" w:eastAsia="Times New Roman" w:hAnsi="Arial" w:cs="Arial"/>
          <w:i/>
          <w:color w:val="000000"/>
          <w:sz w:val="20"/>
          <w:szCs w:val="20"/>
          <w:shd w:val="clear" w:color="auto" w:fill="FFFFFF"/>
          <w:lang w:eastAsia="en-GB"/>
        </w:rPr>
        <w:t>international</w:t>
      </w:r>
      <w:r w:rsidR="00CA1FED">
        <w:rPr>
          <w:rFonts w:ascii="Arial" w:eastAsia="Times New Roman" w:hAnsi="Arial" w:cs="Arial"/>
          <w:i/>
          <w:color w:val="000000"/>
          <w:sz w:val="20"/>
          <w:szCs w:val="20"/>
          <w:shd w:val="clear" w:color="auto" w:fill="FFFFFF"/>
          <w:lang w:eastAsia="en-GB"/>
        </w:rPr>
        <w:t xml:space="preserve"> policy movement in </w:t>
      </w:r>
      <w:r w:rsidRPr="00CC43CA">
        <w:rPr>
          <w:rFonts w:ascii="Arial" w:eastAsia="Times New Roman" w:hAnsi="Arial" w:cs="Arial"/>
          <w:i/>
          <w:color w:val="000000"/>
          <w:sz w:val="20"/>
          <w:szCs w:val="20"/>
          <w:shd w:val="clear" w:color="auto" w:fill="FFFFFF"/>
          <w:lang w:eastAsia="en-GB"/>
        </w:rPr>
        <w:t>security and justice</w:t>
      </w:r>
      <w:r w:rsidR="00CA1FED">
        <w:rPr>
          <w:rFonts w:ascii="Arial" w:eastAsia="Times New Roman" w:hAnsi="Arial" w:cs="Arial"/>
          <w:i/>
          <w:color w:val="000000"/>
          <w:sz w:val="20"/>
          <w:szCs w:val="20"/>
          <w:shd w:val="clear" w:color="auto" w:fill="FFFFFF"/>
          <w:lang w:eastAsia="en-GB"/>
        </w:rPr>
        <w:t>, and discusses</w:t>
      </w:r>
      <w:r w:rsidRPr="00CC43CA">
        <w:rPr>
          <w:rFonts w:ascii="Arial" w:eastAsia="Times New Roman" w:hAnsi="Arial" w:cs="Arial"/>
          <w:i/>
          <w:color w:val="000000"/>
          <w:sz w:val="20"/>
          <w:szCs w:val="20"/>
          <w:shd w:val="clear" w:color="auto" w:fill="FFFFFF"/>
          <w:lang w:eastAsia="en-GB"/>
        </w:rPr>
        <w:t xml:space="preserve"> some of the reasons f</w:t>
      </w:r>
      <w:r w:rsidR="00CA1FED">
        <w:rPr>
          <w:rFonts w:ascii="Arial" w:eastAsia="Times New Roman" w:hAnsi="Arial" w:cs="Arial"/>
          <w:i/>
          <w:color w:val="000000"/>
          <w:sz w:val="20"/>
          <w:szCs w:val="20"/>
          <w:shd w:val="clear" w:color="auto" w:fill="FFFFFF"/>
          <w:lang w:eastAsia="en-GB"/>
        </w:rPr>
        <w:t>or such pessimism.</w:t>
      </w:r>
      <w:r w:rsidR="001748AF" w:rsidRPr="00CC43CA">
        <w:rPr>
          <w:rFonts w:ascii="Arial" w:eastAsia="Times New Roman" w:hAnsi="Arial" w:cs="Arial"/>
          <w:i/>
          <w:color w:val="000000"/>
          <w:sz w:val="20"/>
          <w:szCs w:val="20"/>
          <w:shd w:val="clear" w:color="auto" w:fill="FFFFFF"/>
          <w:lang w:eastAsia="en-GB"/>
        </w:rPr>
        <w:t xml:space="preserve"> The paper then </w:t>
      </w:r>
      <w:r w:rsidR="00E16654">
        <w:rPr>
          <w:rFonts w:ascii="Arial" w:eastAsia="Times New Roman" w:hAnsi="Arial" w:cs="Arial"/>
          <w:i/>
          <w:color w:val="000000"/>
          <w:sz w:val="20"/>
          <w:szCs w:val="20"/>
          <w:shd w:val="clear" w:color="auto" w:fill="FFFFFF"/>
          <w:lang w:eastAsia="en-GB"/>
        </w:rPr>
        <w:t xml:space="preserve">reflects on ways in which normative principles could be applied to considerations of prospective policy transfer, and the </w:t>
      </w:r>
      <w:r w:rsidR="001748AF" w:rsidRPr="00CC43CA">
        <w:rPr>
          <w:rFonts w:ascii="Arial" w:eastAsia="Times New Roman" w:hAnsi="Arial" w:cs="Arial"/>
          <w:i/>
          <w:color w:val="000000"/>
          <w:sz w:val="20"/>
          <w:szCs w:val="20"/>
          <w:shd w:val="clear" w:color="auto" w:fill="FFFFFF"/>
          <w:lang w:eastAsia="en-GB"/>
        </w:rPr>
        <w:t xml:space="preserve">implications for the broader </w:t>
      </w:r>
      <w:r w:rsidRPr="00CC43CA">
        <w:rPr>
          <w:rFonts w:ascii="Arial" w:eastAsia="Times New Roman" w:hAnsi="Arial" w:cs="Arial"/>
          <w:i/>
          <w:color w:val="000000"/>
          <w:sz w:val="20"/>
          <w:szCs w:val="20"/>
          <w:shd w:val="clear" w:color="auto" w:fill="FFFFFF"/>
          <w:lang w:eastAsia="en-GB"/>
        </w:rPr>
        <w:t>possibilities for ‘progressive’ policy t</w:t>
      </w:r>
      <w:r w:rsidR="00647919" w:rsidRPr="00CC43CA">
        <w:rPr>
          <w:rFonts w:ascii="Arial" w:eastAsia="Times New Roman" w:hAnsi="Arial" w:cs="Arial"/>
          <w:i/>
          <w:color w:val="000000"/>
          <w:sz w:val="20"/>
          <w:szCs w:val="20"/>
          <w:shd w:val="clear" w:color="auto" w:fill="FFFFFF"/>
          <w:lang w:eastAsia="en-GB"/>
        </w:rPr>
        <w:t>ransfer</w:t>
      </w:r>
      <w:r w:rsidR="001748AF" w:rsidRPr="00CC43CA">
        <w:rPr>
          <w:rFonts w:ascii="Arial" w:eastAsia="Times New Roman" w:hAnsi="Arial" w:cs="Arial"/>
          <w:i/>
          <w:color w:val="000000"/>
          <w:sz w:val="20"/>
          <w:szCs w:val="20"/>
          <w:shd w:val="clear" w:color="auto" w:fill="FFFFFF"/>
          <w:lang w:eastAsia="en-GB"/>
        </w:rPr>
        <w:t xml:space="preserve"> in relation to crime, security and justice. </w:t>
      </w:r>
      <w:r w:rsidRPr="00CC43CA">
        <w:rPr>
          <w:rFonts w:ascii="Arial" w:eastAsia="Times New Roman" w:hAnsi="Arial" w:cs="Arial"/>
          <w:i/>
          <w:color w:val="000000"/>
          <w:sz w:val="20"/>
          <w:szCs w:val="20"/>
          <w:shd w:val="clear" w:color="auto" w:fill="FFFFFF"/>
          <w:lang w:eastAsia="en-GB"/>
        </w:rPr>
        <w:t xml:space="preserve"> </w:t>
      </w:r>
    </w:p>
    <w:p w14:paraId="5F31B830" w14:textId="660885DA" w:rsidR="00F30E5E" w:rsidRPr="00CC43CA" w:rsidRDefault="00F30E5E" w:rsidP="00F30E5E">
      <w:pPr>
        <w:spacing w:after="0" w:line="276" w:lineRule="auto"/>
        <w:rPr>
          <w:rFonts w:ascii="Arial" w:eastAsia="Helvetica" w:hAnsi="Arial" w:cs="Arial"/>
          <w:color w:val="1A1A1A"/>
        </w:rPr>
      </w:pPr>
    </w:p>
    <w:p w14:paraId="7003F0DB" w14:textId="3F22605F" w:rsidR="00E57F7B" w:rsidRPr="00CC43CA" w:rsidRDefault="00E57F7B" w:rsidP="00F30E5E">
      <w:pPr>
        <w:spacing w:after="0" w:line="276" w:lineRule="auto"/>
        <w:rPr>
          <w:rFonts w:ascii="Arial" w:eastAsia="Helvetica" w:hAnsi="Arial" w:cs="Arial"/>
          <w:color w:val="1A1A1A"/>
        </w:rPr>
      </w:pPr>
      <w:r w:rsidRPr="00CC43CA">
        <w:rPr>
          <w:rFonts w:ascii="Arial" w:eastAsia="Helvetica" w:hAnsi="Arial" w:cs="Arial"/>
          <w:b/>
          <w:color w:val="1A1A1A"/>
        </w:rPr>
        <w:t>Key words</w:t>
      </w:r>
      <w:r w:rsidRPr="00CC43CA">
        <w:rPr>
          <w:rFonts w:ascii="Arial" w:eastAsia="Helvetica" w:hAnsi="Arial" w:cs="Arial"/>
          <w:color w:val="1A1A1A"/>
        </w:rPr>
        <w:t xml:space="preserve">: Policy transfer, </w:t>
      </w:r>
      <w:r w:rsidR="00C8703E" w:rsidRPr="00CC43CA">
        <w:rPr>
          <w:rFonts w:ascii="Arial" w:eastAsia="Helvetica" w:hAnsi="Arial" w:cs="Arial"/>
          <w:color w:val="1A1A1A"/>
        </w:rPr>
        <w:t xml:space="preserve">diffusion, </w:t>
      </w:r>
      <w:r w:rsidRPr="00CC43CA">
        <w:rPr>
          <w:rFonts w:ascii="Arial" w:eastAsia="Helvetica" w:hAnsi="Arial" w:cs="Arial"/>
          <w:color w:val="1A1A1A"/>
        </w:rPr>
        <w:t xml:space="preserve">mobilities, </w:t>
      </w:r>
      <w:r w:rsidR="00C8703E" w:rsidRPr="00CC43CA">
        <w:rPr>
          <w:rFonts w:ascii="Arial" w:eastAsia="Helvetica" w:hAnsi="Arial" w:cs="Arial"/>
          <w:color w:val="1A1A1A"/>
        </w:rPr>
        <w:t xml:space="preserve">crime control, </w:t>
      </w:r>
      <w:r w:rsidRPr="00CC43CA">
        <w:rPr>
          <w:rFonts w:ascii="Arial" w:eastAsia="Helvetica" w:hAnsi="Arial" w:cs="Arial"/>
          <w:color w:val="1A1A1A"/>
        </w:rPr>
        <w:t>s</w:t>
      </w:r>
      <w:r w:rsidR="00C8703E" w:rsidRPr="00CC43CA">
        <w:rPr>
          <w:rFonts w:ascii="Arial" w:eastAsia="Helvetica" w:hAnsi="Arial" w:cs="Arial"/>
          <w:color w:val="1A1A1A"/>
        </w:rPr>
        <w:t>ecurity, justice</w:t>
      </w:r>
      <w:r w:rsidR="00E159C5" w:rsidRPr="00CC43CA">
        <w:rPr>
          <w:rFonts w:ascii="Arial" w:eastAsia="Helvetica" w:hAnsi="Arial" w:cs="Arial"/>
          <w:color w:val="1A1A1A"/>
        </w:rPr>
        <w:t>, normative theory</w:t>
      </w:r>
    </w:p>
    <w:p w14:paraId="6AC1D677" w14:textId="77777777" w:rsidR="00E57F7B" w:rsidRPr="00CC43CA" w:rsidRDefault="00E57F7B" w:rsidP="00F30E5E">
      <w:pPr>
        <w:spacing w:after="0" w:line="276" w:lineRule="auto"/>
        <w:rPr>
          <w:rFonts w:ascii="Arial" w:eastAsia="Helvetica" w:hAnsi="Arial" w:cs="Arial"/>
          <w:color w:val="1A1A1A"/>
        </w:rPr>
      </w:pPr>
    </w:p>
    <w:p w14:paraId="27437CEF" w14:textId="77777777" w:rsidR="005F6E34" w:rsidRDefault="005F6E34" w:rsidP="00F30E5E">
      <w:pPr>
        <w:spacing w:after="0" w:line="276" w:lineRule="auto"/>
        <w:rPr>
          <w:rFonts w:ascii="Arial" w:eastAsia="Helvetica" w:hAnsi="Arial" w:cs="Arial"/>
          <w:color w:val="1A1A1A"/>
        </w:rPr>
      </w:pPr>
    </w:p>
    <w:p w14:paraId="5F5C0C25" w14:textId="77777777" w:rsidR="005F6E34" w:rsidRDefault="005F6E34" w:rsidP="00F30E5E">
      <w:pPr>
        <w:spacing w:after="0" w:line="276" w:lineRule="auto"/>
        <w:rPr>
          <w:rFonts w:ascii="Arial" w:eastAsia="Helvetica" w:hAnsi="Arial" w:cs="Arial"/>
          <w:color w:val="1A1A1A"/>
        </w:rPr>
      </w:pPr>
    </w:p>
    <w:p w14:paraId="4721C6A0" w14:textId="6391C0F3" w:rsidR="00C32AF7" w:rsidRPr="00CC43CA" w:rsidRDefault="00455FBF" w:rsidP="00F30E5E">
      <w:pPr>
        <w:spacing w:after="0" w:line="276" w:lineRule="auto"/>
        <w:rPr>
          <w:rFonts w:ascii="Arial" w:eastAsia="Helvetica" w:hAnsi="Arial" w:cs="Arial"/>
          <w:color w:val="1A1A1A"/>
        </w:rPr>
      </w:pPr>
      <w:r w:rsidRPr="00CC43CA">
        <w:rPr>
          <w:rFonts w:ascii="Arial" w:eastAsia="Helvetica" w:hAnsi="Arial" w:cs="Arial"/>
          <w:color w:val="1A1A1A"/>
        </w:rPr>
        <w:t xml:space="preserve">In security and justice, as with other areas of public policy, it </w:t>
      </w:r>
      <w:r w:rsidR="00172BF0" w:rsidRPr="00CC43CA">
        <w:rPr>
          <w:rFonts w:ascii="Arial" w:eastAsia="Helvetica" w:hAnsi="Arial" w:cs="Arial"/>
          <w:color w:val="1A1A1A"/>
        </w:rPr>
        <w:t xml:space="preserve">often </w:t>
      </w:r>
      <w:r w:rsidRPr="00CC43CA">
        <w:rPr>
          <w:rFonts w:ascii="Arial" w:eastAsia="Helvetica" w:hAnsi="Arial" w:cs="Arial"/>
          <w:color w:val="1A1A1A"/>
        </w:rPr>
        <w:t>appears tha</w:t>
      </w:r>
      <w:r w:rsidR="004C00F5" w:rsidRPr="00CC43CA">
        <w:rPr>
          <w:rFonts w:ascii="Arial" w:eastAsia="Helvetica" w:hAnsi="Arial" w:cs="Arial"/>
          <w:color w:val="1A1A1A"/>
        </w:rPr>
        <w:t xml:space="preserve">t the world is getting smaller. </w:t>
      </w:r>
      <w:r w:rsidR="00172BF0" w:rsidRPr="00CC43CA">
        <w:rPr>
          <w:rFonts w:ascii="Arial" w:eastAsia="Helvetica" w:hAnsi="Arial" w:cs="Arial"/>
          <w:color w:val="1A1A1A"/>
        </w:rPr>
        <w:t>T</w:t>
      </w:r>
      <w:r w:rsidRPr="00CC43CA">
        <w:rPr>
          <w:rFonts w:ascii="Arial" w:eastAsia="Helvetica" w:hAnsi="Arial" w:cs="Arial"/>
          <w:color w:val="1A1A1A"/>
        </w:rPr>
        <w:t>he</w:t>
      </w:r>
      <w:r w:rsidR="00172BF0" w:rsidRPr="00CC43CA">
        <w:rPr>
          <w:rFonts w:ascii="Arial" w:eastAsia="Helvetica" w:hAnsi="Arial" w:cs="Arial"/>
          <w:color w:val="1A1A1A"/>
        </w:rPr>
        <w:t xml:space="preserve"> increasingly transnational</w:t>
      </w:r>
      <w:r w:rsidRPr="00CC43CA">
        <w:rPr>
          <w:rFonts w:ascii="Arial" w:eastAsia="Helvetica" w:hAnsi="Arial" w:cs="Arial"/>
          <w:color w:val="1A1A1A"/>
        </w:rPr>
        <w:t xml:space="preserve"> nature of social problems and the</w:t>
      </w:r>
      <w:r w:rsidR="00C32AF7" w:rsidRPr="00CC43CA">
        <w:rPr>
          <w:rFonts w:ascii="Arial" w:eastAsia="Helvetica" w:hAnsi="Arial" w:cs="Arial"/>
          <w:color w:val="1A1A1A"/>
        </w:rPr>
        <w:t>ir associated</w:t>
      </w:r>
      <w:r w:rsidR="00165BDA" w:rsidRPr="00CC43CA">
        <w:rPr>
          <w:rFonts w:ascii="Arial" w:eastAsia="Helvetica" w:hAnsi="Arial" w:cs="Arial"/>
          <w:color w:val="1A1A1A"/>
        </w:rPr>
        <w:t xml:space="preserve"> public policy responses</w:t>
      </w:r>
      <w:r w:rsidR="005615C4" w:rsidRPr="00CC43CA">
        <w:rPr>
          <w:rFonts w:ascii="Arial" w:eastAsia="Helvetica" w:hAnsi="Arial" w:cs="Arial"/>
          <w:color w:val="1A1A1A"/>
        </w:rPr>
        <w:t xml:space="preserve"> has been widely recognised</w:t>
      </w:r>
      <w:r w:rsidR="00172BF0" w:rsidRPr="00CC43CA">
        <w:rPr>
          <w:rFonts w:ascii="Arial" w:eastAsia="Helvetica" w:hAnsi="Arial" w:cs="Arial"/>
          <w:color w:val="1A1A1A"/>
        </w:rPr>
        <w:t xml:space="preserve"> in contemporary scholarly analysis, not least within research on crime</w:t>
      </w:r>
      <w:r w:rsidR="001748AF" w:rsidRPr="00CC43CA">
        <w:rPr>
          <w:rFonts w:ascii="Arial" w:eastAsia="Helvetica" w:hAnsi="Arial" w:cs="Arial"/>
          <w:color w:val="1A1A1A"/>
        </w:rPr>
        <w:t xml:space="preserve"> control</w:t>
      </w:r>
      <w:r w:rsidR="00172BF0" w:rsidRPr="00CC43CA">
        <w:rPr>
          <w:rFonts w:ascii="Arial" w:eastAsia="Helvetica" w:hAnsi="Arial" w:cs="Arial"/>
          <w:color w:val="1A1A1A"/>
        </w:rPr>
        <w:t>, security and justice</w:t>
      </w:r>
      <w:r w:rsidR="001514F8">
        <w:rPr>
          <w:rFonts w:ascii="Arial" w:eastAsia="Helvetica" w:hAnsi="Arial" w:cs="Arial"/>
          <w:color w:val="1A1A1A"/>
        </w:rPr>
        <w:t>.</w:t>
      </w:r>
      <w:r w:rsidR="0004414D">
        <w:rPr>
          <w:rStyle w:val="FootnoteReference"/>
          <w:rFonts w:ascii="Arial" w:eastAsia="Helvetica" w:hAnsi="Arial" w:cs="Arial"/>
          <w:color w:val="1A1A1A"/>
        </w:rPr>
        <w:footnoteReference w:id="1"/>
      </w:r>
      <w:r w:rsidR="00C32AF7" w:rsidRPr="00CC43CA">
        <w:rPr>
          <w:rFonts w:ascii="Arial" w:eastAsia="Helvetica" w:hAnsi="Arial" w:cs="Arial"/>
          <w:color w:val="1A1A1A"/>
        </w:rPr>
        <w:t xml:space="preserve"> </w:t>
      </w:r>
      <w:r w:rsidR="00172BF0" w:rsidRPr="00CC43CA">
        <w:rPr>
          <w:rFonts w:ascii="Arial" w:eastAsia="Helvetica" w:hAnsi="Arial" w:cs="Arial"/>
          <w:color w:val="1A1A1A"/>
        </w:rPr>
        <w:t>C</w:t>
      </w:r>
      <w:r w:rsidRPr="00CC43CA">
        <w:rPr>
          <w:rFonts w:ascii="Arial" w:eastAsia="Helvetica" w:hAnsi="Arial" w:cs="Arial"/>
          <w:color w:val="1A1A1A"/>
        </w:rPr>
        <w:t xml:space="preserve">riminologists and socio-legal scholars have become </w:t>
      </w:r>
      <w:r w:rsidR="00172BF0" w:rsidRPr="00CC43CA">
        <w:rPr>
          <w:rFonts w:ascii="Arial" w:eastAsia="Helvetica" w:hAnsi="Arial" w:cs="Arial"/>
          <w:color w:val="1A1A1A"/>
        </w:rPr>
        <w:t>particularly interested in</w:t>
      </w:r>
      <w:r w:rsidRPr="00CC43CA">
        <w:rPr>
          <w:rFonts w:ascii="Arial" w:eastAsia="Helvetica" w:hAnsi="Arial" w:cs="Arial"/>
          <w:color w:val="1A1A1A"/>
        </w:rPr>
        <w:t xml:space="preserve"> </w:t>
      </w:r>
      <w:r w:rsidR="00172BF0" w:rsidRPr="00CC43CA">
        <w:rPr>
          <w:rFonts w:ascii="Arial" w:eastAsia="Helvetica" w:hAnsi="Arial" w:cs="Arial"/>
          <w:color w:val="1A1A1A"/>
        </w:rPr>
        <w:t>‘</w:t>
      </w:r>
      <w:r w:rsidRPr="00CC43CA">
        <w:rPr>
          <w:rFonts w:ascii="Arial" w:eastAsia="Helvetica" w:hAnsi="Arial" w:cs="Arial"/>
          <w:color w:val="1A1A1A"/>
        </w:rPr>
        <w:t>extra-j</w:t>
      </w:r>
      <w:r w:rsidR="000216CF" w:rsidRPr="00CC43CA">
        <w:rPr>
          <w:rFonts w:ascii="Arial" w:eastAsia="Helvetica" w:hAnsi="Arial" w:cs="Arial"/>
          <w:color w:val="1A1A1A"/>
        </w:rPr>
        <w:t>urisdictional</w:t>
      </w:r>
      <w:r w:rsidR="00172BF0" w:rsidRPr="00CC43CA">
        <w:rPr>
          <w:rFonts w:ascii="Arial" w:eastAsia="Helvetica" w:hAnsi="Arial" w:cs="Arial"/>
          <w:color w:val="1A1A1A"/>
        </w:rPr>
        <w:t>’ influences that shape</w:t>
      </w:r>
      <w:r w:rsidR="000216CF" w:rsidRPr="00CC43CA">
        <w:rPr>
          <w:rFonts w:ascii="Arial" w:eastAsia="Helvetica" w:hAnsi="Arial" w:cs="Arial"/>
          <w:color w:val="1A1A1A"/>
        </w:rPr>
        <w:t xml:space="preserve"> </w:t>
      </w:r>
      <w:r w:rsidR="00172BF0" w:rsidRPr="00CC43CA">
        <w:rPr>
          <w:rFonts w:ascii="Arial" w:eastAsia="Helvetica" w:hAnsi="Arial" w:cs="Arial"/>
          <w:color w:val="1A1A1A"/>
        </w:rPr>
        <w:t>policies</w:t>
      </w:r>
      <w:r w:rsidR="000216CF" w:rsidRPr="00CC43CA">
        <w:rPr>
          <w:rFonts w:ascii="Arial" w:eastAsia="Helvetica" w:hAnsi="Arial" w:cs="Arial"/>
          <w:color w:val="1A1A1A"/>
        </w:rPr>
        <w:t>, and in the potential value of cross-national comparative research in helping us to understand such phenomena</w:t>
      </w:r>
      <w:r w:rsidR="00D106FB" w:rsidRPr="00CC43CA">
        <w:rPr>
          <w:rFonts w:ascii="Arial" w:eastAsia="Helvetica" w:hAnsi="Arial" w:cs="Arial"/>
          <w:color w:val="1A1A1A"/>
        </w:rPr>
        <w:t xml:space="preserve">. </w:t>
      </w:r>
      <w:r w:rsidR="00505A4E" w:rsidRPr="00CC43CA">
        <w:rPr>
          <w:rFonts w:ascii="Arial" w:eastAsia="Helvetica" w:hAnsi="Arial" w:cs="Arial"/>
          <w:color w:val="1A1A1A"/>
        </w:rPr>
        <w:t>In relation to crime control and penal policy,</w:t>
      </w:r>
      <w:r w:rsidR="005615C4" w:rsidRPr="00CC43CA">
        <w:rPr>
          <w:rFonts w:ascii="Arial" w:eastAsia="Helvetica" w:hAnsi="Arial" w:cs="Arial"/>
          <w:color w:val="1A1A1A"/>
        </w:rPr>
        <w:t xml:space="preserve"> previous</w:t>
      </w:r>
      <w:r w:rsidR="00505A4E" w:rsidRPr="00CC43CA">
        <w:rPr>
          <w:rFonts w:ascii="Arial" w:eastAsia="Helvetica" w:hAnsi="Arial" w:cs="Arial"/>
          <w:color w:val="1A1A1A"/>
        </w:rPr>
        <w:t xml:space="preserve"> r</w:t>
      </w:r>
      <w:r w:rsidR="00D106FB" w:rsidRPr="00CC43CA">
        <w:rPr>
          <w:rFonts w:ascii="Arial" w:eastAsia="Helvetica" w:hAnsi="Arial" w:cs="Arial"/>
          <w:color w:val="1A1A1A"/>
        </w:rPr>
        <w:t xml:space="preserve">esearch has revealed </w:t>
      </w:r>
      <w:r w:rsidR="00505A4E" w:rsidRPr="00CC43CA">
        <w:rPr>
          <w:rFonts w:ascii="Arial" w:eastAsia="Helvetica" w:hAnsi="Arial" w:cs="Arial"/>
          <w:color w:val="1A1A1A"/>
        </w:rPr>
        <w:t>the</w:t>
      </w:r>
      <w:r w:rsidR="00D416BF" w:rsidRPr="00CC43CA">
        <w:rPr>
          <w:rFonts w:ascii="Arial" w:eastAsia="Helvetica" w:hAnsi="Arial" w:cs="Arial"/>
          <w:color w:val="1A1A1A"/>
        </w:rPr>
        <w:t xml:space="preserve"> broader macro-social factors</w:t>
      </w:r>
      <w:r w:rsidR="0004414D">
        <w:rPr>
          <w:rStyle w:val="FootnoteReference"/>
          <w:rFonts w:ascii="Arial" w:eastAsia="Helvetica" w:hAnsi="Arial" w:cs="Arial"/>
          <w:color w:val="1A1A1A"/>
        </w:rPr>
        <w:footnoteReference w:id="2"/>
      </w:r>
      <w:r w:rsidR="001748AF" w:rsidRPr="00CC43CA">
        <w:rPr>
          <w:rFonts w:ascii="Arial" w:eastAsia="Helvetica" w:hAnsi="Arial" w:cs="Arial"/>
          <w:color w:val="1A1A1A"/>
        </w:rPr>
        <w:t xml:space="preserve"> </w:t>
      </w:r>
      <w:r w:rsidR="00D416BF" w:rsidRPr="00CC43CA">
        <w:rPr>
          <w:rFonts w:ascii="Arial" w:eastAsia="Helvetica" w:hAnsi="Arial" w:cs="Arial"/>
          <w:color w:val="1A1A1A"/>
        </w:rPr>
        <w:t>and distinctive ‘domestic’ institutional features</w:t>
      </w:r>
      <w:r w:rsidR="00D106FB" w:rsidRPr="00CC43CA">
        <w:rPr>
          <w:rFonts w:ascii="Arial" w:eastAsia="Helvetica" w:hAnsi="Arial" w:cs="Arial"/>
          <w:color w:val="1A1A1A"/>
        </w:rPr>
        <w:t xml:space="preserve"> of political economy</w:t>
      </w:r>
      <w:r w:rsidR="008E5294">
        <w:rPr>
          <w:rStyle w:val="FootnoteReference"/>
          <w:rFonts w:ascii="Arial" w:eastAsia="Helvetica" w:hAnsi="Arial" w:cs="Arial"/>
          <w:color w:val="1A1A1A"/>
        </w:rPr>
        <w:footnoteReference w:id="3"/>
      </w:r>
      <w:r w:rsidR="008E5294">
        <w:rPr>
          <w:rFonts w:ascii="Arial" w:eastAsia="Helvetica" w:hAnsi="Arial" w:cs="Arial"/>
          <w:color w:val="1A1A1A"/>
        </w:rPr>
        <w:t xml:space="preserve"> </w:t>
      </w:r>
      <w:r w:rsidR="00505A4E" w:rsidRPr="00CC43CA">
        <w:rPr>
          <w:rFonts w:ascii="Arial" w:eastAsia="Helvetica" w:hAnsi="Arial" w:cs="Arial"/>
          <w:color w:val="1A1A1A"/>
        </w:rPr>
        <w:t>that</w:t>
      </w:r>
      <w:r w:rsidR="001748AF" w:rsidRPr="00CC43CA">
        <w:rPr>
          <w:rFonts w:ascii="Arial" w:eastAsia="Helvetica" w:hAnsi="Arial" w:cs="Arial"/>
          <w:color w:val="1A1A1A"/>
        </w:rPr>
        <w:t xml:space="preserve"> </w:t>
      </w:r>
      <w:r w:rsidR="00D84A62" w:rsidRPr="00CC43CA">
        <w:rPr>
          <w:rFonts w:ascii="Arial" w:eastAsia="Helvetica" w:hAnsi="Arial" w:cs="Arial"/>
          <w:color w:val="1A1A1A"/>
        </w:rPr>
        <w:t>work to shape</w:t>
      </w:r>
      <w:r w:rsidR="00D416BF" w:rsidRPr="00CC43CA">
        <w:rPr>
          <w:rFonts w:ascii="Arial" w:eastAsia="Helvetica" w:hAnsi="Arial" w:cs="Arial"/>
          <w:color w:val="1A1A1A"/>
        </w:rPr>
        <w:t xml:space="preserve"> policy trajectories</w:t>
      </w:r>
      <w:r w:rsidR="001748AF" w:rsidRPr="00CC43CA">
        <w:rPr>
          <w:rFonts w:ascii="Arial" w:eastAsia="Helvetica" w:hAnsi="Arial" w:cs="Arial"/>
          <w:color w:val="1A1A1A"/>
        </w:rPr>
        <w:t xml:space="preserve"> in different national contexts</w:t>
      </w:r>
      <w:r w:rsidR="00D416BF" w:rsidRPr="00CC43CA">
        <w:rPr>
          <w:rFonts w:ascii="Arial" w:eastAsia="Helvetica" w:hAnsi="Arial" w:cs="Arial"/>
          <w:color w:val="1A1A1A"/>
        </w:rPr>
        <w:t xml:space="preserve">. </w:t>
      </w:r>
      <w:r w:rsidR="00D4555C">
        <w:rPr>
          <w:rFonts w:ascii="Arial" w:eastAsia="Helvetica" w:hAnsi="Arial" w:cs="Arial"/>
          <w:color w:val="1A1A1A"/>
        </w:rPr>
        <w:t>Although c</w:t>
      </w:r>
      <w:r w:rsidR="00D416BF" w:rsidRPr="00CC43CA">
        <w:rPr>
          <w:rFonts w:ascii="Arial" w:eastAsia="Helvetica" w:hAnsi="Arial" w:cs="Arial"/>
          <w:color w:val="1A1A1A"/>
        </w:rPr>
        <w:t xml:space="preserve">omparative </w:t>
      </w:r>
      <w:r w:rsidR="00D106FB" w:rsidRPr="00CC43CA">
        <w:rPr>
          <w:rFonts w:ascii="Arial" w:eastAsia="Helvetica" w:hAnsi="Arial" w:cs="Arial"/>
          <w:color w:val="1A1A1A"/>
        </w:rPr>
        <w:t>criminologis</w:t>
      </w:r>
      <w:r w:rsidR="00D84A62" w:rsidRPr="00CC43CA">
        <w:rPr>
          <w:rFonts w:ascii="Arial" w:eastAsia="Helvetica" w:hAnsi="Arial" w:cs="Arial"/>
          <w:color w:val="1A1A1A"/>
        </w:rPr>
        <w:t>ts and legal scholars have to date</w:t>
      </w:r>
      <w:r w:rsidR="00505A4E" w:rsidRPr="00CC43CA">
        <w:rPr>
          <w:rFonts w:ascii="Arial" w:eastAsia="Helvetica" w:hAnsi="Arial" w:cs="Arial"/>
          <w:color w:val="1A1A1A"/>
        </w:rPr>
        <w:t xml:space="preserve"> </w:t>
      </w:r>
      <w:r w:rsidR="001748AF" w:rsidRPr="00CC43CA">
        <w:rPr>
          <w:rFonts w:ascii="Arial" w:eastAsia="Helvetica" w:hAnsi="Arial" w:cs="Arial"/>
          <w:color w:val="1A1A1A"/>
        </w:rPr>
        <w:t>devoted less</w:t>
      </w:r>
      <w:r w:rsidR="00D106FB" w:rsidRPr="00CC43CA">
        <w:rPr>
          <w:rFonts w:ascii="Arial" w:eastAsia="Helvetica" w:hAnsi="Arial" w:cs="Arial"/>
          <w:color w:val="1A1A1A"/>
        </w:rPr>
        <w:t xml:space="preserve"> attention to</w:t>
      </w:r>
      <w:r w:rsidR="00505A4E" w:rsidRPr="00CC43CA">
        <w:rPr>
          <w:rFonts w:ascii="Arial" w:eastAsia="Helvetica" w:hAnsi="Arial" w:cs="Arial"/>
          <w:color w:val="1A1A1A"/>
        </w:rPr>
        <w:t xml:space="preserve"> </w:t>
      </w:r>
      <w:r w:rsidR="00505A4E" w:rsidRPr="00CC43CA">
        <w:rPr>
          <w:rFonts w:ascii="Arial" w:eastAsia="Helvetica" w:hAnsi="Arial" w:cs="Arial"/>
          <w:i/>
          <w:color w:val="1A1A1A"/>
        </w:rPr>
        <w:t>processes</w:t>
      </w:r>
      <w:r w:rsidR="00505A4E" w:rsidRPr="00CC43CA">
        <w:rPr>
          <w:rFonts w:ascii="Arial" w:eastAsia="Helvetica" w:hAnsi="Arial" w:cs="Arial"/>
          <w:color w:val="1A1A1A"/>
        </w:rPr>
        <w:t xml:space="preserve"> of policy formation, and </w:t>
      </w:r>
      <w:r w:rsidR="00530E65" w:rsidRPr="00CC43CA">
        <w:rPr>
          <w:rFonts w:ascii="Arial" w:eastAsia="Helvetica" w:hAnsi="Arial" w:cs="Arial"/>
          <w:color w:val="1A1A1A"/>
        </w:rPr>
        <w:t xml:space="preserve">more </w:t>
      </w:r>
      <w:r w:rsidR="00537BDF" w:rsidRPr="00CC43CA">
        <w:rPr>
          <w:rFonts w:ascii="Arial" w:eastAsia="Helvetica" w:hAnsi="Arial" w:cs="Arial"/>
          <w:color w:val="1A1A1A"/>
        </w:rPr>
        <w:t>specifically</w:t>
      </w:r>
      <w:r w:rsidR="00505A4E" w:rsidRPr="00CC43CA">
        <w:rPr>
          <w:rFonts w:ascii="Arial" w:eastAsia="Helvetica" w:hAnsi="Arial" w:cs="Arial"/>
          <w:color w:val="1A1A1A"/>
        </w:rPr>
        <w:t xml:space="preserve">, the role of </w:t>
      </w:r>
      <w:r w:rsidR="00D416BF" w:rsidRPr="00CC43CA">
        <w:rPr>
          <w:rFonts w:ascii="Arial" w:eastAsia="Helvetica" w:hAnsi="Arial" w:cs="Arial"/>
          <w:color w:val="1A1A1A"/>
        </w:rPr>
        <w:t xml:space="preserve">cross-national movement of </w:t>
      </w:r>
      <w:r w:rsidR="001748AF" w:rsidRPr="00CC43CA">
        <w:rPr>
          <w:rFonts w:ascii="Arial" w:eastAsia="Helvetica" w:hAnsi="Arial" w:cs="Arial"/>
          <w:color w:val="1A1A1A"/>
        </w:rPr>
        <w:t xml:space="preserve">particular </w:t>
      </w:r>
      <w:r w:rsidR="00D416BF" w:rsidRPr="00CC43CA">
        <w:rPr>
          <w:rFonts w:ascii="Arial" w:eastAsia="Helvetica" w:hAnsi="Arial" w:cs="Arial"/>
          <w:color w:val="1A1A1A"/>
        </w:rPr>
        <w:t>po</w:t>
      </w:r>
      <w:r w:rsidR="00F233B5" w:rsidRPr="00CC43CA">
        <w:rPr>
          <w:rFonts w:ascii="Arial" w:eastAsia="Helvetica" w:hAnsi="Arial" w:cs="Arial"/>
          <w:color w:val="1A1A1A"/>
        </w:rPr>
        <w:t>licies and practices</w:t>
      </w:r>
      <w:r w:rsidR="00D4555C">
        <w:rPr>
          <w:rFonts w:ascii="Arial" w:eastAsia="Helvetica" w:hAnsi="Arial" w:cs="Arial"/>
          <w:color w:val="1A1A1A"/>
        </w:rPr>
        <w:t>,</w:t>
      </w:r>
      <w:r w:rsidR="008E5294">
        <w:rPr>
          <w:rStyle w:val="FootnoteReference"/>
          <w:rFonts w:ascii="Arial" w:eastAsia="Helvetica" w:hAnsi="Arial" w:cs="Arial"/>
          <w:color w:val="1A1A1A"/>
        </w:rPr>
        <w:footnoteReference w:id="4"/>
      </w:r>
      <w:r w:rsidR="00A57FC1" w:rsidRPr="00CC43CA">
        <w:rPr>
          <w:rFonts w:ascii="Arial" w:eastAsia="Helvetica" w:hAnsi="Arial" w:cs="Arial"/>
          <w:color w:val="1A1A1A"/>
        </w:rPr>
        <w:t xml:space="preserve"> </w:t>
      </w:r>
      <w:r w:rsidR="00537BDF" w:rsidRPr="00CC43CA">
        <w:rPr>
          <w:rFonts w:ascii="Arial" w:eastAsia="Helvetica" w:hAnsi="Arial" w:cs="Arial"/>
          <w:color w:val="1A1A1A"/>
        </w:rPr>
        <w:t xml:space="preserve">there </w:t>
      </w:r>
      <w:r w:rsidR="00D4555C">
        <w:rPr>
          <w:rFonts w:ascii="Arial" w:eastAsia="Helvetica" w:hAnsi="Arial" w:cs="Arial"/>
          <w:color w:val="1A1A1A"/>
        </w:rPr>
        <w:t>is</w:t>
      </w:r>
      <w:r w:rsidR="001748AF" w:rsidRPr="00CC43CA">
        <w:rPr>
          <w:rFonts w:ascii="Arial" w:eastAsia="Helvetica" w:hAnsi="Arial" w:cs="Arial"/>
          <w:color w:val="1A1A1A"/>
        </w:rPr>
        <w:t xml:space="preserve"> a </w:t>
      </w:r>
      <w:r w:rsidR="001748AF" w:rsidRPr="00CC43CA">
        <w:rPr>
          <w:rFonts w:ascii="Arial" w:eastAsia="Helvetica" w:hAnsi="Arial" w:cs="Arial"/>
          <w:color w:val="1A1A1A"/>
        </w:rPr>
        <w:lastRenderedPageBreak/>
        <w:t>s</w:t>
      </w:r>
      <w:r w:rsidR="00537BDF" w:rsidRPr="00CC43CA">
        <w:rPr>
          <w:rFonts w:ascii="Arial" w:eastAsia="Helvetica" w:hAnsi="Arial" w:cs="Arial"/>
          <w:color w:val="1A1A1A"/>
        </w:rPr>
        <w:t xml:space="preserve">mall </w:t>
      </w:r>
      <w:r w:rsidR="00D4555C">
        <w:rPr>
          <w:rFonts w:ascii="Arial" w:eastAsia="Helvetica" w:hAnsi="Arial" w:cs="Arial"/>
          <w:color w:val="1A1A1A"/>
        </w:rPr>
        <w:t xml:space="preserve">and developing </w:t>
      </w:r>
      <w:r w:rsidR="00537BDF" w:rsidRPr="00CC43CA">
        <w:rPr>
          <w:rFonts w:ascii="Arial" w:eastAsia="Helvetica" w:hAnsi="Arial" w:cs="Arial"/>
          <w:color w:val="1A1A1A"/>
        </w:rPr>
        <w:t>body of empirical work</w:t>
      </w:r>
      <w:r w:rsidR="001748AF" w:rsidRPr="00CC43CA">
        <w:rPr>
          <w:rFonts w:ascii="Arial" w:eastAsia="Helvetica" w:hAnsi="Arial" w:cs="Arial"/>
          <w:color w:val="1A1A1A"/>
        </w:rPr>
        <w:t xml:space="preserve"> that focuses on the international mobility of crime control, justice and security policies. This paper r</w:t>
      </w:r>
      <w:r w:rsidR="00C32AF7" w:rsidRPr="00CC43CA">
        <w:rPr>
          <w:rFonts w:ascii="Arial" w:eastAsia="Helvetica" w:hAnsi="Arial" w:cs="Arial"/>
          <w:color w:val="1A1A1A"/>
        </w:rPr>
        <w:t>eflect</w:t>
      </w:r>
      <w:r w:rsidR="00D4555C">
        <w:rPr>
          <w:rFonts w:ascii="Arial" w:eastAsia="Helvetica" w:hAnsi="Arial" w:cs="Arial"/>
          <w:color w:val="1A1A1A"/>
        </w:rPr>
        <w:t>s</w:t>
      </w:r>
      <w:r w:rsidR="00C32AF7" w:rsidRPr="00CC43CA">
        <w:rPr>
          <w:rFonts w:ascii="Arial" w:eastAsia="Helvetica" w:hAnsi="Arial" w:cs="Arial"/>
          <w:color w:val="1A1A1A"/>
        </w:rPr>
        <w:t xml:space="preserve"> on the </w:t>
      </w:r>
      <w:r w:rsidR="00A57FC1" w:rsidRPr="00CC43CA">
        <w:rPr>
          <w:rFonts w:ascii="Arial" w:eastAsia="Helvetica" w:hAnsi="Arial" w:cs="Arial"/>
          <w:color w:val="1A1A1A"/>
        </w:rPr>
        <w:t>contribution of</w:t>
      </w:r>
      <w:r w:rsidR="00D106FB" w:rsidRPr="00CC43CA">
        <w:rPr>
          <w:rFonts w:ascii="Arial" w:eastAsia="Helvetica" w:hAnsi="Arial" w:cs="Arial"/>
          <w:color w:val="1A1A1A"/>
        </w:rPr>
        <w:t xml:space="preserve"> </w:t>
      </w:r>
      <w:r w:rsidR="001748AF" w:rsidRPr="00CC43CA">
        <w:rPr>
          <w:rFonts w:ascii="Arial" w:eastAsia="Helvetica" w:hAnsi="Arial" w:cs="Arial"/>
          <w:color w:val="1A1A1A"/>
        </w:rPr>
        <w:t>this research to</w:t>
      </w:r>
      <w:r w:rsidR="00C32AF7" w:rsidRPr="00CC43CA">
        <w:rPr>
          <w:rFonts w:ascii="Arial" w:eastAsia="Helvetica" w:hAnsi="Arial" w:cs="Arial"/>
          <w:color w:val="1A1A1A"/>
        </w:rPr>
        <w:t xml:space="preserve"> thinking about</w:t>
      </w:r>
      <w:r w:rsidR="00530E65" w:rsidRPr="00CC43CA">
        <w:rPr>
          <w:rFonts w:ascii="Arial" w:eastAsia="Helvetica" w:hAnsi="Arial" w:cs="Arial"/>
          <w:color w:val="1A1A1A"/>
        </w:rPr>
        <w:t xml:space="preserve"> the possibilities for</w:t>
      </w:r>
      <w:r w:rsidR="005615C4" w:rsidRPr="00CC43CA">
        <w:rPr>
          <w:rFonts w:ascii="Arial" w:eastAsia="Helvetica" w:hAnsi="Arial" w:cs="Arial"/>
          <w:color w:val="1A1A1A"/>
        </w:rPr>
        <w:t xml:space="preserve"> and </w:t>
      </w:r>
      <w:r w:rsidR="00530E65" w:rsidRPr="00CC43CA">
        <w:rPr>
          <w:rFonts w:ascii="Arial" w:eastAsia="Helvetica" w:hAnsi="Arial" w:cs="Arial"/>
          <w:color w:val="1A1A1A"/>
        </w:rPr>
        <w:t xml:space="preserve">the </w:t>
      </w:r>
      <w:r w:rsidR="005615C4" w:rsidRPr="00CC43CA">
        <w:rPr>
          <w:rFonts w:ascii="Arial" w:eastAsia="Helvetica" w:hAnsi="Arial" w:cs="Arial"/>
          <w:color w:val="1A1A1A"/>
        </w:rPr>
        <w:t>desirability of cross-national exchange</w:t>
      </w:r>
      <w:r w:rsidR="000216CF" w:rsidRPr="00CC43CA">
        <w:rPr>
          <w:rFonts w:ascii="Arial" w:eastAsia="Helvetica" w:hAnsi="Arial" w:cs="Arial"/>
          <w:color w:val="1A1A1A"/>
        </w:rPr>
        <w:t xml:space="preserve"> in policies related to security and justice.</w:t>
      </w:r>
    </w:p>
    <w:p w14:paraId="61000CF3" w14:textId="77777777" w:rsidR="00D106FB" w:rsidRPr="00CC43CA" w:rsidRDefault="00D106FB" w:rsidP="00F30E5E">
      <w:pPr>
        <w:spacing w:after="0" w:line="276" w:lineRule="auto"/>
        <w:rPr>
          <w:rFonts w:ascii="Arial" w:eastAsia="Helvetica" w:hAnsi="Arial" w:cs="Arial"/>
          <w:color w:val="1A1A1A"/>
        </w:rPr>
      </w:pPr>
    </w:p>
    <w:p w14:paraId="1940C493" w14:textId="58063062" w:rsidR="00F80329" w:rsidRPr="00CC43CA" w:rsidRDefault="00D4555C" w:rsidP="00F30E5E">
      <w:pPr>
        <w:spacing w:after="0" w:line="276" w:lineRule="auto"/>
        <w:rPr>
          <w:rFonts w:ascii="Arial" w:eastAsia="Helvetica" w:hAnsi="Arial" w:cs="Arial"/>
          <w:color w:val="1A1A1A"/>
        </w:rPr>
      </w:pPr>
      <w:r>
        <w:rPr>
          <w:rFonts w:ascii="Arial" w:eastAsia="Helvetica" w:hAnsi="Arial" w:cs="Arial"/>
          <w:color w:val="1A1A1A"/>
        </w:rPr>
        <w:t>It</w:t>
      </w:r>
      <w:r w:rsidR="00C32AF7" w:rsidRPr="00CC43CA">
        <w:rPr>
          <w:rFonts w:ascii="Arial" w:eastAsia="Helvetica" w:hAnsi="Arial" w:cs="Arial"/>
          <w:color w:val="1A1A1A"/>
        </w:rPr>
        <w:t xml:space="preserve"> </w:t>
      </w:r>
      <w:r w:rsidR="00E12009">
        <w:rPr>
          <w:rFonts w:ascii="Arial" w:eastAsia="Helvetica" w:hAnsi="Arial" w:cs="Arial"/>
          <w:color w:val="1A1A1A"/>
        </w:rPr>
        <w:t>addresses</w:t>
      </w:r>
      <w:r w:rsidR="00C32AF7" w:rsidRPr="00CC43CA">
        <w:rPr>
          <w:rFonts w:ascii="Arial" w:eastAsia="Helvetica" w:hAnsi="Arial" w:cs="Arial"/>
          <w:color w:val="1A1A1A"/>
        </w:rPr>
        <w:t xml:space="preserve"> two broad categories</w:t>
      </w:r>
      <w:r w:rsidR="00A57FC1" w:rsidRPr="00CC43CA">
        <w:rPr>
          <w:rFonts w:ascii="Arial" w:eastAsia="Helvetica" w:hAnsi="Arial" w:cs="Arial"/>
          <w:color w:val="1A1A1A"/>
        </w:rPr>
        <w:t xml:space="preserve"> of</w:t>
      </w:r>
      <w:r w:rsidR="00537BDF" w:rsidRPr="00CC43CA">
        <w:rPr>
          <w:rFonts w:ascii="Arial" w:eastAsia="Helvetica" w:hAnsi="Arial" w:cs="Arial"/>
          <w:color w:val="1A1A1A"/>
        </w:rPr>
        <w:t xml:space="preserve"> question</w:t>
      </w:r>
      <w:r w:rsidR="00A57FC1" w:rsidRPr="00CC43CA">
        <w:rPr>
          <w:rFonts w:ascii="Arial" w:eastAsia="Helvetica" w:hAnsi="Arial" w:cs="Arial"/>
          <w:color w:val="1A1A1A"/>
        </w:rPr>
        <w:t xml:space="preserve">. </w:t>
      </w:r>
      <w:r w:rsidR="00537BDF" w:rsidRPr="00CC43CA">
        <w:rPr>
          <w:rFonts w:ascii="Arial" w:eastAsia="Helvetica" w:hAnsi="Arial" w:cs="Arial"/>
          <w:color w:val="1A1A1A"/>
        </w:rPr>
        <w:t>The first concerns</w:t>
      </w:r>
      <w:r w:rsidR="005615C4" w:rsidRPr="00CC43CA">
        <w:rPr>
          <w:rFonts w:ascii="Arial" w:eastAsia="Helvetica" w:hAnsi="Arial" w:cs="Arial"/>
          <w:color w:val="1A1A1A"/>
        </w:rPr>
        <w:t xml:space="preserve"> </w:t>
      </w:r>
      <w:r w:rsidR="00A57FC1" w:rsidRPr="00CC43CA">
        <w:rPr>
          <w:rFonts w:ascii="Arial" w:eastAsia="Helvetica" w:hAnsi="Arial" w:cs="Arial"/>
          <w:color w:val="1A1A1A"/>
        </w:rPr>
        <w:t>empirical questions relating to h</w:t>
      </w:r>
      <w:r w:rsidR="00F353BB" w:rsidRPr="00CC43CA">
        <w:rPr>
          <w:rFonts w:ascii="Arial" w:eastAsia="Helvetica" w:hAnsi="Arial" w:cs="Arial"/>
          <w:color w:val="1A1A1A"/>
        </w:rPr>
        <w:t xml:space="preserve">ow </w:t>
      </w:r>
      <w:r w:rsidR="005615C4" w:rsidRPr="00CC43CA">
        <w:rPr>
          <w:rFonts w:ascii="Arial" w:eastAsia="Helvetica" w:hAnsi="Arial" w:cs="Arial"/>
          <w:color w:val="1A1A1A"/>
        </w:rPr>
        <w:t xml:space="preserve">far and </w:t>
      </w:r>
      <w:r w:rsidR="00A57FC1" w:rsidRPr="00CC43CA">
        <w:rPr>
          <w:rFonts w:ascii="Arial" w:eastAsia="Helvetica" w:hAnsi="Arial" w:cs="Arial"/>
          <w:color w:val="1A1A1A"/>
        </w:rPr>
        <w:t>in</w:t>
      </w:r>
      <w:r w:rsidR="00F353BB" w:rsidRPr="00CC43CA">
        <w:rPr>
          <w:rFonts w:ascii="Arial" w:eastAsia="Helvetica" w:hAnsi="Arial" w:cs="Arial"/>
          <w:color w:val="1A1A1A"/>
        </w:rPr>
        <w:t xml:space="preserve"> what ways</w:t>
      </w:r>
      <w:r w:rsidR="00D106FB" w:rsidRPr="00CC43CA">
        <w:rPr>
          <w:rFonts w:ascii="Arial" w:eastAsia="Helvetica" w:hAnsi="Arial" w:cs="Arial"/>
          <w:color w:val="1A1A1A"/>
        </w:rPr>
        <w:t xml:space="preserve"> </w:t>
      </w:r>
      <w:r w:rsidR="005615C4" w:rsidRPr="00CC43CA">
        <w:rPr>
          <w:rFonts w:ascii="Arial" w:eastAsia="Helvetica" w:hAnsi="Arial" w:cs="Arial"/>
          <w:color w:val="1A1A1A"/>
        </w:rPr>
        <w:t xml:space="preserve">crime, </w:t>
      </w:r>
      <w:r w:rsidR="00F353BB" w:rsidRPr="00CC43CA">
        <w:rPr>
          <w:rFonts w:ascii="Arial" w:eastAsia="Helvetica" w:hAnsi="Arial" w:cs="Arial"/>
          <w:color w:val="1A1A1A"/>
        </w:rPr>
        <w:t>security and justice</w:t>
      </w:r>
      <w:r w:rsidR="00A57FC1" w:rsidRPr="00CC43CA">
        <w:rPr>
          <w:rFonts w:ascii="Arial" w:eastAsia="Helvetica" w:hAnsi="Arial" w:cs="Arial"/>
          <w:color w:val="1A1A1A"/>
        </w:rPr>
        <w:t xml:space="preserve"> </w:t>
      </w:r>
      <w:r w:rsidR="00537BDF" w:rsidRPr="00CC43CA">
        <w:rPr>
          <w:rFonts w:ascii="Arial" w:eastAsia="Helvetica" w:hAnsi="Arial" w:cs="Arial"/>
          <w:color w:val="1A1A1A"/>
        </w:rPr>
        <w:t xml:space="preserve">policies </w:t>
      </w:r>
      <w:r w:rsidR="00A57FC1" w:rsidRPr="00CC43CA">
        <w:rPr>
          <w:rFonts w:ascii="Arial" w:eastAsia="Helvetica" w:hAnsi="Arial" w:cs="Arial"/>
          <w:color w:val="1A1A1A"/>
        </w:rPr>
        <w:t>actually</w:t>
      </w:r>
      <w:r w:rsidR="00F353BB" w:rsidRPr="00CC43CA">
        <w:rPr>
          <w:rFonts w:ascii="Arial" w:eastAsia="Helvetica" w:hAnsi="Arial" w:cs="Arial"/>
          <w:color w:val="1A1A1A"/>
        </w:rPr>
        <w:t xml:space="preserve"> travel across national boundaries, </w:t>
      </w:r>
      <w:r w:rsidR="00D84A62" w:rsidRPr="00CC43CA">
        <w:rPr>
          <w:rFonts w:ascii="Arial" w:eastAsia="Helvetica" w:hAnsi="Arial" w:cs="Arial"/>
          <w:color w:val="1A1A1A"/>
        </w:rPr>
        <w:t xml:space="preserve">what happens to them in the process, </w:t>
      </w:r>
      <w:r w:rsidR="00F353BB" w:rsidRPr="00CC43CA">
        <w:rPr>
          <w:rFonts w:ascii="Arial" w:eastAsia="Helvetica" w:hAnsi="Arial" w:cs="Arial"/>
          <w:color w:val="1A1A1A"/>
        </w:rPr>
        <w:t xml:space="preserve">and what </w:t>
      </w:r>
      <w:r w:rsidR="00D106FB" w:rsidRPr="00CC43CA">
        <w:rPr>
          <w:rFonts w:ascii="Arial" w:eastAsia="Helvetica" w:hAnsi="Arial" w:cs="Arial"/>
          <w:color w:val="1A1A1A"/>
        </w:rPr>
        <w:t>factors might explain</w:t>
      </w:r>
      <w:r w:rsidR="00F353BB" w:rsidRPr="00CC43CA">
        <w:rPr>
          <w:rFonts w:ascii="Arial" w:eastAsia="Helvetica" w:hAnsi="Arial" w:cs="Arial"/>
          <w:color w:val="1A1A1A"/>
        </w:rPr>
        <w:t xml:space="preserve"> such phenomena</w:t>
      </w:r>
      <w:r w:rsidR="00D106FB" w:rsidRPr="00CC43CA">
        <w:rPr>
          <w:rFonts w:ascii="Arial" w:eastAsia="Helvetica" w:hAnsi="Arial" w:cs="Arial"/>
          <w:color w:val="1A1A1A"/>
        </w:rPr>
        <w:t>.</w:t>
      </w:r>
      <w:r w:rsidR="005615C4" w:rsidRPr="00CC43CA">
        <w:rPr>
          <w:rFonts w:ascii="Arial" w:eastAsia="Helvetica" w:hAnsi="Arial" w:cs="Arial"/>
          <w:color w:val="1A1A1A"/>
        </w:rPr>
        <w:t xml:space="preserve"> T</w:t>
      </w:r>
      <w:r w:rsidR="00C32AF7" w:rsidRPr="00CC43CA">
        <w:rPr>
          <w:rFonts w:ascii="Arial" w:eastAsia="Helvetica" w:hAnsi="Arial" w:cs="Arial"/>
          <w:color w:val="1A1A1A"/>
        </w:rPr>
        <w:t xml:space="preserve">he second </w:t>
      </w:r>
      <w:r w:rsidR="00500F07" w:rsidRPr="00CC43CA">
        <w:rPr>
          <w:rFonts w:ascii="Arial" w:eastAsia="Helvetica" w:hAnsi="Arial" w:cs="Arial"/>
          <w:color w:val="1A1A1A"/>
        </w:rPr>
        <w:t>concerns how we might view cross-national policy flows</w:t>
      </w:r>
      <w:r w:rsidR="00F80329" w:rsidRPr="00CC43CA">
        <w:rPr>
          <w:rFonts w:ascii="Arial" w:eastAsia="Helvetica" w:hAnsi="Arial" w:cs="Arial"/>
          <w:color w:val="1A1A1A"/>
        </w:rPr>
        <w:t xml:space="preserve"> </w:t>
      </w:r>
      <w:r w:rsidR="007A0BC1">
        <w:rPr>
          <w:rFonts w:ascii="Arial" w:eastAsia="Helvetica" w:hAnsi="Arial" w:cs="Arial"/>
          <w:color w:val="1A1A1A"/>
        </w:rPr>
        <w:t xml:space="preserve">normatively </w:t>
      </w:r>
      <w:r w:rsidR="00F80329" w:rsidRPr="00CC43CA">
        <w:rPr>
          <w:rFonts w:ascii="Arial" w:eastAsia="Helvetica" w:hAnsi="Arial" w:cs="Arial"/>
          <w:color w:val="1A1A1A"/>
        </w:rPr>
        <w:t>– assuming that they are a significant empirical reality</w:t>
      </w:r>
      <w:r w:rsidR="00500F07" w:rsidRPr="00CC43CA">
        <w:rPr>
          <w:rFonts w:ascii="Arial" w:eastAsia="Helvetica" w:hAnsi="Arial" w:cs="Arial"/>
          <w:color w:val="1A1A1A"/>
        </w:rPr>
        <w:t>.</w:t>
      </w:r>
      <w:r w:rsidR="00630C21">
        <w:rPr>
          <w:rFonts w:ascii="Arial" w:eastAsia="Helvetica" w:hAnsi="Arial" w:cs="Arial"/>
          <w:color w:val="1A1A1A"/>
        </w:rPr>
        <w:t xml:space="preserve"> We begin with</w:t>
      </w:r>
      <w:r w:rsidR="00243160" w:rsidRPr="00CC43CA">
        <w:rPr>
          <w:rFonts w:ascii="Arial" w:eastAsia="Helvetica" w:hAnsi="Arial" w:cs="Arial"/>
          <w:color w:val="1A1A1A"/>
        </w:rPr>
        <w:t xml:space="preserve"> a brief overview of what </w:t>
      </w:r>
      <w:r w:rsidR="00630C21">
        <w:rPr>
          <w:rFonts w:ascii="Arial" w:eastAsia="Helvetica" w:hAnsi="Arial" w:cs="Arial"/>
          <w:color w:val="1A1A1A"/>
        </w:rPr>
        <w:t xml:space="preserve">existing research </w:t>
      </w:r>
      <w:r w:rsidR="00243160" w:rsidRPr="00CC43CA">
        <w:rPr>
          <w:rFonts w:ascii="Arial" w:eastAsia="Helvetica" w:hAnsi="Arial" w:cs="Arial"/>
          <w:color w:val="1A1A1A"/>
        </w:rPr>
        <w:t xml:space="preserve">has revealed about the empirical questions concerning the extent, nature, </w:t>
      </w:r>
      <w:r w:rsidR="003C1A30" w:rsidRPr="00CC43CA">
        <w:rPr>
          <w:rFonts w:ascii="Arial" w:eastAsia="Helvetica" w:hAnsi="Arial" w:cs="Arial"/>
          <w:color w:val="1A1A1A"/>
        </w:rPr>
        <w:t>and mechanisms</w:t>
      </w:r>
      <w:r w:rsidR="00243160" w:rsidRPr="00CC43CA">
        <w:rPr>
          <w:rFonts w:ascii="Arial" w:eastAsia="Helvetica" w:hAnsi="Arial" w:cs="Arial"/>
          <w:color w:val="1A1A1A"/>
        </w:rPr>
        <w:t xml:space="preserve"> of cross-national policy movement</w:t>
      </w:r>
      <w:r w:rsidR="00F80329" w:rsidRPr="00CC43CA">
        <w:rPr>
          <w:rFonts w:ascii="Arial" w:eastAsia="Helvetica" w:hAnsi="Arial" w:cs="Arial"/>
          <w:color w:val="1A1A1A"/>
        </w:rPr>
        <w:t xml:space="preserve"> in security and justice</w:t>
      </w:r>
      <w:r w:rsidR="00243160" w:rsidRPr="00CC43CA">
        <w:rPr>
          <w:rFonts w:ascii="Arial" w:eastAsia="Helvetica" w:hAnsi="Arial" w:cs="Arial"/>
          <w:color w:val="1A1A1A"/>
        </w:rPr>
        <w:t xml:space="preserve">. The second </w:t>
      </w:r>
      <w:r w:rsidR="00F80329" w:rsidRPr="00CC43CA">
        <w:rPr>
          <w:rFonts w:ascii="Arial" w:eastAsia="Helvetica" w:hAnsi="Arial" w:cs="Arial"/>
          <w:color w:val="1A1A1A"/>
        </w:rPr>
        <w:t>section considers</w:t>
      </w:r>
      <w:r w:rsidR="00243160" w:rsidRPr="00CC43CA">
        <w:rPr>
          <w:rFonts w:ascii="Arial" w:eastAsia="Helvetica" w:hAnsi="Arial" w:cs="Arial"/>
          <w:color w:val="1A1A1A"/>
        </w:rPr>
        <w:t xml:space="preserve"> the </w:t>
      </w:r>
      <w:r w:rsidR="00E929A4">
        <w:rPr>
          <w:rFonts w:ascii="Arial" w:eastAsia="Helvetica" w:hAnsi="Arial" w:cs="Arial"/>
          <w:color w:val="1A1A1A"/>
        </w:rPr>
        <w:t xml:space="preserve">reasons why much research in relation to policy transfer in crime control has viewed the phenomenon in a negative light. The third section explores the possibilities for progressive cross-national policy </w:t>
      </w:r>
      <w:r w:rsidR="006F265E">
        <w:rPr>
          <w:rFonts w:ascii="Arial" w:eastAsia="Helvetica" w:hAnsi="Arial" w:cs="Arial"/>
          <w:color w:val="1A1A1A"/>
        </w:rPr>
        <w:t>movement and</w:t>
      </w:r>
      <w:r w:rsidR="00005ECF">
        <w:rPr>
          <w:rFonts w:ascii="Arial" w:eastAsia="Helvetica" w:hAnsi="Arial" w:cs="Arial"/>
          <w:color w:val="1A1A1A"/>
        </w:rPr>
        <w:t xml:space="preserve"> discusses </w:t>
      </w:r>
      <w:r w:rsidR="00E929A4">
        <w:rPr>
          <w:rFonts w:ascii="Arial" w:eastAsia="Helvetica" w:hAnsi="Arial" w:cs="Arial"/>
          <w:color w:val="1A1A1A"/>
        </w:rPr>
        <w:t>some</w:t>
      </w:r>
      <w:r w:rsidR="00005ECF">
        <w:rPr>
          <w:rFonts w:ascii="Arial" w:eastAsia="Helvetica" w:hAnsi="Arial" w:cs="Arial"/>
          <w:color w:val="1A1A1A"/>
        </w:rPr>
        <w:t xml:space="preserve"> </w:t>
      </w:r>
      <w:r w:rsidR="00E929A4">
        <w:rPr>
          <w:rFonts w:ascii="Arial" w:eastAsia="Helvetica" w:hAnsi="Arial" w:cs="Arial"/>
          <w:color w:val="1A1A1A"/>
        </w:rPr>
        <w:t xml:space="preserve">normative principles that might inform assessments of prospective policy transfer in crime, security and justice. </w:t>
      </w:r>
    </w:p>
    <w:p w14:paraId="30002F87" w14:textId="77777777" w:rsidR="00172BF0" w:rsidRPr="00CC43CA" w:rsidRDefault="00172BF0" w:rsidP="00F30E5E">
      <w:pPr>
        <w:spacing w:after="0" w:line="276" w:lineRule="auto"/>
        <w:rPr>
          <w:rFonts w:ascii="Arial" w:eastAsia="Helvetica" w:hAnsi="Arial" w:cs="Arial"/>
          <w:b/>
          <w:color w:val="1A1A1A"/>
        </w:rPr>
      </w:pPr>
    </w:p>
    <w:p w14:paraId="3701123C" w14:textId="74E201C1" w:rsidR="007D63EE" w:rsidRPr="00CC43CA" w:rsidRDefault="00FB6999" w:rsidP="00CA1FED">
      <w:pPr>
        <w:spacing w:after="0" w:line="276" w:lineRule="auto"/>
        <w:jc w:val="center"/>
        <w:rPr>
          <w:rFonts w:ascii="Arial" w:eastAsia="Helvetica" w:hAnsi="Arial" w:cs="Arial"/>
          <w:b/>
          <w:color w:val="1A1A1A"/>
        </w:rPr>
      </w:pPr>
      <w:r>
        <w:rPr>
          <w:rFonts w:ascii="Arial" w:eastAsia="Helvetica" w:hAnsi="Arial" w:cs="Arial"/>
          <w:b/>
          <w:color w:val="1A1A1A"/>
        </w:rPr>
        <w:t>CROSS NATIONAL MOVEMENT OF SECURITY AND JUSTICE POLICIES: KEY RESEARCH FINDINGS</w:t>
      </w:r>
    </w:p>
    <w:p w14:paraId="2A4D8413" w14:textId="7AD089F7" w:rsidR="00B13250" w:rsidRPr="00CC43CA" w:rsidRDefault="00B13250" w:rsidP="00F30E5E">
      <w:pPr>
        <w:spacing w:after="0" w:line="276" w:lineRule="auto"/>
        <w:rPr>
          <w:rFonts w:ascii="Arial" w:eastAsia="Helvetica" w:hAnsi="Arial" w:cs="Arial"/>
          <w:b/>
          <w:color w:val="1A1A1A"/>
        </w:rPr>
      </w:pPr>
    </w:p>
    <w:p w14:paraId="008CF783" w14:textId="5CCFC257" w:rsidR="009E3FF4" w:rsidRPr="00CC43CA" w:rsidRDefault="00FB6999" w:rsidP="00F30E5E">
      <w:pPr>
        <w:spacing w:after="0" w:line="276" w:lineRule="auto"/>
        <w:rPr>
          <w:rFonts w:ascii="Arial" w:eastAsia="Helvetica" w:hAnsi="Arial" w:cs="Arial"/>
          <w:b/>
          <w:i/>
          <w:color w:val="1A1A1A"/>
        </w:rPr>
      </w:pPr>
      <w:r>
        <w:rPr>
          <w:rFonts w:ascii="Arial" w:eastAsia="Helvetica" w:hAnsi="Arial" w:cs="Arial"/>
          <w:b/>
          <w:i/>
          <w:color w:val="1A1A1A"/>
        </w:rPr>
        <w:t xml:space="preserve">1. </w:t>
      </w:r>
      <w:r w:rsidR="003E43F5" w:rsidRPr="00CC43CA">
        <w:rPr>
          <w:rFonts w:ascii="Arial" w:eastAsia="Helvetica" w:hAnsi="Arial" w:cs="Arial"/>
          <w:b/>
          <w:i/>
          <w:color w:val="1A1A1A"/>
        </w:rPr>
        <w:t>What is meant by ‘policy transfer’ and related concepts?</w:t>
      </w:r>
    </w:p>
    <w:p w14:paraId="62AD7E68" w14:textId="3C41EAC6" w:rsidR="00361514" w:rsidRDefault="007D63EE" w:rsidP="00895502">
      <w:pPr>
        <w:spacing w:after="0" w:line="276" w:lineRule="auto"/>
        <w:rPr>
          <w:rFonts w:ascii="Arial" w:eastAsia="Helvetica" w:hAnsi="Arial" w:cs="Arial"/>
          <w:color w:val="1A1A1A"/>
        </w:rPr>
      </w:pPr>
      <w:r w:rsidRPr="00CC43CA">
        <w:rPr>
          <w:rFonts w:ascii="Arial" w:eastAsia="Helvetica" w:hAnsi="Arial" w:cs="Arial"/>
          <w:color w:val="1A1A1A"/>
        </w:rPr>
        <w:t xml:space="preserve">Space limitations </w:t>
      </w:r>
      <w:r w:rsidR="009E3FF4" w:rsidRPr="00CC43CA">
        <w:rPr>
          <w:rFonts w:ascii="Arial" w:eastAsia="Helvetica" w:hAnsi="Arial" w:cs="Arial"/>
          <w:color w:val="1A1A1A"/>
        </w:rPr>
        <w:t>preclude an extensive review</w:t>
      </w:r>
      <w:r w:rsidRPr="00CC43CA">
        <w:rPr>
          <w:rFonts w:ascii="Arial" w:eastAsia="Helvetica" w:hAnsi="Arial" w:cs="Arial"/>
          <w:color w:val="1A1A1A"/>
        </w:rPr>
        <w:t xml:space="preserve"> of the policy transfer</w:t>
      </w:r>
      <w:r w:rsidR="002367D1">
        <w:rPr>
          <w:rFonts w:ascii="Arial" w:eastAsia="Helvetica" w:hAnsi="Arial" w:cs="Arial"/>
          <w:color w:val="1A1A1A"/>
        </w:rPr>
        <w:t>/</w:t>
      </w:r>
      <w:r w:rsidR="008E4EBC" w:rsidRPr="00CC43CA">
        <w:rPr>
          <w:rFonts w:ascii="Arial" w:eastAsia="Helvetica" w:hAnsi="Arial" w:cs="Arial"/>
          <w:color w:val="1A1A1A"/>
        </w:rPr>
        <w:t>mobilities</w:t>
      </w:r>
      <w:r w:rsidR="009E3FF4" w:rsidRPr="00CC43CA">
        <w:rPr>
          <w:rFonts w:ascii="Arial" w:eastAsia="Helvetica" w:hAnsi="Arial" w:cs="Arial"/>
          <w:color w:val="1A1A1A"/>
        </w:rPr>
        <w:t xml:space="preserve"> </w:t>
      </w:r>
      <w:r w:rsidR="002367D1">
        <w:rPr>
          <w:rFonts w:ascii="Arial" w:eastAsia="Helvetica" w:hAnsi="Arial" w:cs="Arial"/>
          <w:color w:val="1A1A1A"/>
        </w:rPr>
        <w:t xml:space="preserve">literatures generally or specifically </w:t>
      </w:r>
      <w:r w:rsidR="009E3FF4" w:rsidRPr="00CC43CA">
        <w:rPr>
          <w:rFonts w:ascii="Arial" w:eastAsia="Helvetica" w:hAnsi="Arial" w:cs="Arial"/>
          <w:color w:val="1A1A1A"/>
        </w:rPr>
        <w:t>in relation to the field of crime control.</w:t>
      </w:r>
      <w:r w:rsidR="00C82970">
        <w:rPr>
          <w:rStyle w:val="FootnoteReference"/>
          <w:rFonts w:ascii="Arial" w:eastAsia="Helvetica" w:hAnsi="Arial" w:cs="Arial"/>
          <w:color w:val="1A1A1A"/>
        </w:rPr>
        <w:footnoteReference w:id="5"/>
      </w:r>
      <w:r w:rsidR="008E4EBC" w:rsidRPr="00CC43CA">
        <w:rPr>
          <w:rFonts w:ascii="Arial" w:eastAsia="Helvetica" w:hAnsi="Arial" w:cs="Arial"/>
          <w:color w:val="1A1A1A"/>
        </w:rPr>
        <w:t xml:space="preserve"> F</w:t>
      </w:r>
      <w:r w:rsidRPr="00CC43CA">
        <w:rPr>
          <w:rFonts w:ascii="Arial" w:eastAsia="Helvetica" w:hAnsi="Arial" w:cs="Arial"/>
          <w:color w:val="1A1A1A"/>
        </w:rPr>
        <w:t>or c</w:t>
      </w:r>
      <w:r w:rsidR="00E01272" w:rsidRPr="00CC43CA">
        <w:rPr>
          <w:rFonts w:ascii="Arial" w:eastAsia="Helvetica" w:hAnsi="Arial" w:cs="Arial"/>
          <w:color w:val="1A1A1A"/>
        </w:rPr>
        <w:t>urren</w:t>
      </w:r>
      <w:r w:rsidR="00895502" w:rsidRPr="00CC43CA">
        <w:rPr>
          <w:rFonts w:ascii="Arial" w:eastAsia="Helvetica" w:hAnsi="Arial" w:cs="Arial"/>
          <w:color w:val="1A1A1A"/>
        </w:rPr>
        <w:t>t purposes</w:t>
      </w:r>
      <w:r w:rsidR="00530E65" w:rsidRPr="00CC43CA">
        <w:rPr>
          <w:rFonts w:ascii="Arial" w:eastAsia="Helvetica" w:hAnsi="Arial" w:cs="Arial"/>
          <w:color w:val="1A1A1A"/>
        </w:rPr>
        <w:t xml:space="preserve">, we </w:t>
      </w:r>
      <w:r w:rsidR="00C660F9">
        <w:rPr>
          <w:rFonts w:ascii="Arial" w:eastAsia="Helvetica" w:hAnsi="Arial" w:cs="Arial"/>
          <w:color w:val="1A1A1A"/>
        </w:rPr>
        <w:t>attempt to offer some conceptual clarity together with a summary of</w:t>
      </w:r>
      <w:r w:rsidR="00D84A62" w:rsidRPr="00CC43CA">
        <w:rPr>
          <w:rFonts w:ascii="Arial" w:eastAsia="Helvetica" w:hAnsi="Arial" w:cs="Arial"/>
          <w:color w:val="1A1A1A"/>
        </w:rPr>
        <w:t xml:space="preserve"> key empirical findings</w:t>
      </w:r>
      <w:r w:rsidR="00895502" w:rsidRPr="00CC43CA">
        <w:rPr>
          <w:rFonts w:ascii="Arial" w:eastAsia="Helvetica" w:hAnsi="Arial" w:cs="Arial"/>
          <w:color w:val="1A1A1A"/>
        </w:rPr>
        <w:t xml:space="preserve"> </w:t>
      </w:r>
      <w:r w:rsidR="00C660F9">
        <w:rPr>
          <w:rFonts w:ascii="Arial" w:eastAsia="Helvetica" w:hAnsi="Arial" w:cs="Arial"/>
          <w:color w:val="1A1A1A"/>
        </w:rPr>
        <w:t>in</w:t>
      </w:r>
      <w:r w:rsidR="00D84A62" w:rsidRPr="00CC43CA">
        <w:rPr>
          <w:rFonts w:ascii="Arial" w:eastAsia="Helvetica" w:hAnsi="Arial" w:cs="Arial"/>
          <w:color w:val="1A1A1A"/>
        </w:rPr>
        <w:t xml:space="preserve"> the field of security and justice. </w:t>
      </w:r>
      <w:r w:rsidR="00E01272" w:rsidRPr="00CC43CA">
        <w:rPr>
          <w:rFonts w:ascii="Arial" w:eastAsia="Helvetica" w:hAnsi="Arial" w:cs="Arial"/>
          <w:color w:val="1A1A1A"/>
        </w:rPr>
        <w:t>The scholarly study of cross nationa</w:t>
      </w:r>
      <w:r w:rsidR="00D84A62" w:rsidRPr="00CC43CA">
        <w:rPr>
          <w:rFonts w:ascii="Arial" w:eastAsia="Helvetica" w:hAnsi="Arial" w:cs="Arial"/>
          <w:color w:val="1A1A1A"/>
        </w:rPr>
        <w:t>l policy movement started with</w:t>
      </w:r>
      <w:r w:rsidR="00895502" w:rsidRPr="00CC43CA">
        <w:rPr>
          <w:rFonts w:ascii="Arial" w:eastAsia="Helvetica" w:hAnsi="Arial" w:cs="Arial"/>
          <w:color w:val="1A1A1A"/>
        </w:rPr>
        <w:t xml:space="preserve"> </w:t>
      </w:r>
      <w:r w:rsidR="00E01272" w:rsidRPr="00CC43CA">
        <w:rPr>
          <w:rFonts w:ascii="Arial" w:eastAsia="Helvetica" w:hAnsi="Arial" w:cs="Arial"/>
          <w:color w:val="1A1A1A"/>
        </w:rPr>
        <w:t xml:space="preserve">studies of what was termed </w:t>
      </w:r>
      <w:r w:rsidR="008A684E" w:rsidRPr="00CC43CA">
        <w:rPr>
          <w:rFonts w:ascii="Arial" w:eastAsia="Helvetica" w:hAnsi="Arial" w:cs="Arial"/>
          <w:color w:val="1A1A1A"/>
        </w:rPr>
        <w:t>policy ‘diffusion’</w:t>
      </w:r>
      <w:r w:rsidR="00E01272" w:rsidRPr="00CC43CA">
        <w:rPr>
          <w:rFonts w:ascii="Arial" w:eastAsia="Helvetica" w:hAnsi="Arial" w:cs="Arial"/>
          <w:color w:val="1A1A1A"/>
        </w:rPr>
        <w:t>.</w:t>
      </w:r>
      <w:r w:rsidR="00FD72F5">
        <w:rPr>
          <w:rStyle w:val="FootnoteReference"/>
          <w:rFonts w:ascii="Arial" w:eastAsia="Helvetica" w:hAnsi="Arial" w:cs="Arial"/>
          <w:color w:val="1A1A1A"/>
        </w:rPr>
        <w:footnoteReference w:id="6"/>
      </w:r>
      <w:r w:rsidR="00E01272" w:rsidRPr="00CC43CA">
        <w:rPr>
          <w:rFonts w:ascii="Arial" w:eastAsia="Helvetica" w:hAnsi="Arial" w:cs="Arial"/>
          <w:color w:val="1A1A1A"/>
        </w:rPr>
        <w:t xml:space="preserve"> </w:t>
      </w:r>
      <w:r w:rsidR="00C660F9">
        <w:rPr>
          <w:rFonts w:ascii="Arial" w:eastAsia="Helvetica" w:hAnsi="Arial" w:cs="Arial"/>
          <w:color w:val="1A1A1A"/>
        </w:rPr>
        <w:t>This examined</w:t>
      </w:r>
      <w:r w:rsidR="00005ECF">
        <w:rPr>
          <w:rFonts w:ascii="Arial" w:eastAsia="Helvetica" w:hAnsi="Arial" w:cs="Arial"/>
          <w:color w:val="1A1A1A"/>
        </w:rPr>
        <w:t xml:space="preserve"> the ‘</w:t>
      </w:r>
      <w:r w:rsidR="00005ECF" w:rsidRPr="00005ECF">
        <w:rPr>
          <w:rFonts w:ascii="Arial" w:eastAsia="Helvetica" w:hAnsi="Arial" w:cs="Arial"/>
          <w:color w:val="1A1A1A"/>
        </w:rPr>
        <w:t>spreading, dispersion and dissemination of ideas or practices from a common source or point of origin’</w:t>
      </w:r>
      <w:r w:rsidR="00895502" w:rsidRPr="00CC43CA">
        <w:rPr>
          <w:rFonts w:ascii="Arial" w:eastAsia="Helvetica" w:hAnsi="Arial" w:cs="Arial"/>
          <w:color w:val="1A1A1A"/>
        </w:rPr>
        <w:t>.</w:t>
      </w:r>
      <w:r w:rsidR="00005ECF">
        <w:rPr>
          <w:rStyle w:val="FootnoteReference"/>
          <w:rFonts w:ascii="Arial" w:eastAsia="Helvetica" w:hAnsi="Arial" w:cs="Arial"/>
          <w:color w:val="1A1A1A"/>
        </w:rPr>
        <w:footnoteReference w:id="7"/>
      </w:r>
      <w:r w:rsidR="00895502" w:rsidRPr="00CC43CA">
        <w:rPr>
          <w:rFonts w:ascii="Arial" w:eastAsia="Helvetica" w:hAnsi="Arial" w:cs="Arial"/>
          <w:color w:val="1A1A1A"/>
        </w:rPr>
        <w:t xml:space="preserve"> </w:t>
      </w:r>
      <w:r w:rsidR="00C660F9">
        <w:rPr>
          <w:rFonts w:ascii="Arial" w:eastAsia="Helvetica" w:hAnsi="Arial" w:cs="Arial"/>
          <w:color w:val="1A1A1A"/>
        </w:rPr>
        <w:t>It</w:t>
      </w:r>
      <w:r w:rsidR="00895502" w:rsidRPr="00CC43CA">
        <w:rPr>
          <w:rFonts w:ascii="Arial" w:eastAsia="Helvetica" w:hAnsi="Arial" w:cs="Arial"/>
          <w:color w:val="1A1A1A"/>
        </w:rPr>
        <w:t xml:space="preserve"> involve</w:t>
      </w:r>
      <w:r w:rsidR="00C660F9">
        <w:rPr>
          <w:rFonts w:ascii="Arial" w:eastAsia="Helvetica" w:hAnsi="Arial" w:cs="Arial"/>
          <w:color w:val="1A1A1A"/>
        </w:rPr>
        <w:t>d</w:t>
      </w:r>
      <w:r w:rsidR="00895502" w:rsidRPr="00CC43CA">
        <w:rPr>
          <w:rFonts w:ascii="Arial" w:eastAsia="Helvetica" w:hAnsi="Arial" w:cs="Arial"/>
          <w:color w:val="1A1A1A"/>
        </w:rPr>
        <w:t xml:space="preserve"> mapping and </w:t>
      </w:r>
      <w:r w:rsidR="001920D3">
        <w:rPr>
          <w:rFonts w:ascii="Arial" w:eastAsia="Helvetica" w:hAnsi="Arial" w:cs="Arial"/>
          <w:color w:val="1A1A1A"/>
        </w:rPr>
        <w:t>developing explanations for</w:t>
      </w:r>
      <w:r w:rsidR="00E01272" w:rsidRPr="00CC43CA">
        <w:rPr>
          <w:rFonts w:ascii="Arial" w:eastAsia="Helvetica" w:hAnsi="Arial" w:cs="Arial"/>
          <w:color w:val="1A1A1A"/>
        </w:rPr>
        <w:t xml:space="preserve"> the </w:t>
      </w:r>
      <w:r w:rsidR="00490A11" w:rsidRPr="00CC43CA">
        <w:rPr>
          <w:rFonts w:ascii="Arial" w:eastAsia="Helvetica" w:hAnsi="Arial" w:cs="Arial"/>
          <w:color w:val="1A1A1A"/>
        </w:rPr>
        <w:t>spread of particular policy approaches across space and time</w:t>
      </w:r>
      <w:r w:rsidR="00E01272" w:rsidRPr="00CC43CA">
        <w:rPr>
          <w:rFonts w:ascii="Arial" w:eastAsia="Helvetica" w:hAnsi="Arial" w:cs="Arial"/>
          <w:color w:val="1A1A1A"/>
        </w:rPr>
        <w:t xml:space="preserve">, and for the most part </w:t>
      </w:r>
      <w:r w:rsidR="00C660F9">
        <w:rPr>
          <w:rFonts w:ascii="Arial" w:eastAsia="Helvetica" w:hAnsi="Arial" w:cs="Arial"/>
          <w:color w:val="1A1A1A"/>
        </w:rPr>
        <w:t>was</w:t>
      </w:r>
      <w:r w:rsidR="00E01272" w:rsidRPr="00CC43CA">
        <w:rPr>
          <w:rFonts w:ascii="Arial" w:eastAsia="Helvetica" w:hAnsi="Arial" w:cs="Arial"/>
          <w:color w:val="1A1A1A"/>
        </w:rPr>
        <w:t xml:space="preserve"> explored via large scale statistical studies</w:t>
      </w:r>
      <w:r w:rsidR="00490A11" w:rsidRPr="00CC43CA">
        <w:rPr>
          <w:rFonts w:ascii="Arial" w:eastAsia="Helvetica" w:hAnsi="Arial" w:cs="Arial"/>
          <w:color w:val="1A1A1A"/>
        </w:rPr>
        <w:t>.</w:t>
      </w:r>
      <w:r w:rsidR="00005ECF">
        <w:rPr>
          <w:rStyle w:val="FootnoteReference"/>
          <w:rFonts w:ascii="Arial" w:eastAsia="Helvetica" w:hAnsi="Arial" w:cs="Arial"/>
          <w:color w:val="1A1A1A"/>
        </w:rPr>
        <w:footnoteReference w:id="8"/>
      </w:r>
      <w:r w:rsidR="00490A11" w:rsidRPr="00CC43CA">
        <w:rPr>
          <w:rFonts w:ascii="Arial" w:eastAsia="Helvetica" w:hAnsi="Arial" w:cs="Arial"/>
          <w:color w:val="1A1A1A"/>
        </w:rPr>
        <w:t xml:space="preserve"> </w:t>
      </w:r>
      <w:r w:rsidR="00D84A62" w:rsidRPr="00CC43CA">
        <w:rPr>
          <w:rFonts w:ascii="Arial" w:eastAsia="Helvetica" w:hAnsi="Arial" w:cs="Arial"/>
          <w:color w:val="1A1A1A"/>
        </w:rPr>
        <w:t>From the 1990s onwards, s</w:t>
      </w:r>
      <w:r w:rsidR="00E01272" w:rsidRPr="00CC43CA">
        <w:rPr>
          <w:rFonts w:ascii="Arial" w:eastAsia="Helvetica" w:hAnsi="Arial" w:cs="Arial"/>
          <w:color w:val="1A1A1A"/>
        </w:rPr>
        <w:t xml:space="preserve">cholars </w:t>
      </w:r>
      <w:r w:rsidR="00895502" w:rsidRPr="00CC43CA">
        <w:rPr>
          <w:rFonts w:ascii="Arial" w:eastAsia="Helvetica" w:hAnsi="Arial" w:cs="Arial"/>
          <w:color w:val="1A1A1A"/>
        </w:rPr>
        <w:t>–</w:t>
      </w:r>
      <w:r w:rsidR="00D84A62" w:rsidRPr="00CC43CA">
        <w:rPr>
          <w:rFonts w:ascii="Arial" w:eastAsia="Helvetica" w:hAnsi="Arial" w:cs="Arial"/>
          <w:color w:val="1A1A1A"/>
        </w:rPr>
        <w:t xml:space="preserve"> largely from within political sc</w:t>
      </w:r>
      <w:r w:rsidR="00530E65" w:rsidRPr="00CC43CA">
        <w:rPr>
          <w:rFonts w:ascii="Arial" w:eastAsia="Helvetica" w:hAnsi="Arial" w:cs="Arial"/>
          <w:color w:val="1A1A1A"/>
        </w:rPr>
        <w:t>ience and policy analysis –</w:t>
      </w:r>
      <w:r w:rsidR="00D84A62" w:rsidRPr="00CC43CA">
        <w:rPr>
          <w:rFonts w:ascii="Arial" w:eastAsia="Helvetica" w:hAnsi="Arial" w:cs="Arial"/>
          <w:color w:val="1A1A1A"/>
        </w:rPr>
        <w:t xml:space="preserve"> bec</w:t>
      </w:r>
      <w:r w:rsidR="00530E65" w:rsidRPr="00CC43CA">
        <w:rPr>
          <w:rFonts w:ascii="Arial" w:eastAsia="Helvetica" w:hAnsi="Arial" w:cs="Arial"/>
          <w:color w:val="1A1A1A"/>
        </w:rPr>
        <w:t>a</w:t>
      </w:r>
      <w:r w:rsidR="00D84A62" w:rsidRPr="00CC43CA">
        <w:rPr>
          <w:rFonts w:ascii="Arial" w:eastAsia="Helvetica" w:hAnsi="Arial" w:cs="Arial"/>
          <w:color w:val="1A1A1A"/>
        </w:rPr>
        <w:t xml:space="preserve">me </w:t>
      </w:r>
      <w:r w:rsidR="00E01272" w:rsidRPr="00CC43CA">
        <w:rPr>
          <w:rFonts w:ascii="Arial" w:eastAsia="Helvetica" w:hAnsi="Arial" w:cs="Arial"/>
          <w:color w:val="1A1A1A"/>
        </w:rPr>
        <w:t xml:space="preserve">interested in </w:t>
      </w:r>
      <w:r w:rsidR="00D84A62" w:rsidRPr="00CC43CA">
        <w:rPr>
          <w:rFonts w:ascii="Arial" w:eastAsia="Helvetica" w:hAnsi="Arial" w:cs="Arial"/>
          <w:color w:val="1A1A1A"/>
        </w:rPr>
        <w:t xml:space="preserve">the phenomenon of </w:t>
      </w:r>
      <w:r w:rsidR="00E01272" w:rsidRPr="00CC43CA">
        <w:rPr>
          <w:rFonts w:ascii="Arial" w:eastAsia="Helvetica" w:hAnsi="Arial" w:cs="Arial"/>
          <w:color w:val="1A1A1A"/>
        </w:rPr>
        <w:t>c</w:t>
      </w:r>
      <w:r w:rsidR="00490A11" w:rsidRPr="00CC43CA">
        <w:rPr>
          <w:rFonts w:ascii="Arial" w:eastAsia="Helvetica" w:hAnsi="Arial" w:cs="Arial"/>
          <w:color w:val="1A1A1A"/>
        </w:rPr>
        <w:t xml:space="preserve">ross-national </w:t>
      </w:r>
      <w:r w:rsidR="00D84A62" w:rsidRPr="00CC43CA">
        <w:rPr>
          <w:rFonts w:ascii="Arial" w:eastAsia="Helvetica" w:hAnsi="Arial" w:cs="Arial"/>
          <w:color w:val="1A1A1A"/>
        </w:rPr>
        <w:t>‘lesson drawing’</w:t>
      </w:r>
      <w:r w:rsidR="00C05818">
        <w:rPr>
          <w:rFonts w:ascii="Arial" w:eastAsia="Helvetica" w:hAnsi="Arial" w:cs="Arial"/>
          <w:color w:val="1A1A1A"/>
        </w:rPr>
        <w:t>:</w:t>
      </w:r>
      <w:r w:rsidR="00D84A62" w:rsidRPr="00CC43CA">
        <w:rPr>
          <w:rFonts w:ascii="Arial" w:eastAsia="Helvetica" w:hAnsi="Arial" w:cs="Arial"/>
          <w:color w:val="1A1A1A"/>
        </w:rPr>
        <w:t xml:space="preserve"> </w:t>
      </w:r>
      <w:r w:rsidR="00530E65" w:rsidRPr="00CC43CA">
        <w:rPr>
          <w:rFonts w:ascii="Arial" w:eastAsia="Helvetica" w:hAnsi="Arial" w:cs="Arial"/>
          <w:color w:val="1A1A1A"/>
        </w:rPr>
        <w:t xml:space="preserve">meaning </w:t>
      </w:r>
      <w:r w:rsidR="00490A11" w:rsidRPr="00CC43CA">
        <w:rPr>
          <w:rFonts w:ascii="Arial" w:eastAsia="Helvetica" w:hAnsi="Arial" w:cs="Arial"/>
          <w:color w:val="1A1A1A"/>
        </w:rPr>
        <w:t>the ways in which policy-makers</w:t>
      </w:r>
      <w:r w:rsidR="006847FA" w:rsidRPr="00CC43CA">
        <w:rPr>
          <w:rFonts w:ascii="Arial" w:eastAsia="Helvetica" w:hAnsi="Arial" w:cs="Arial"/>
          <w:color w:val="1A1A1A"/>
        </w:rPr>
        <w:t xml:space="preserve"> take </w:t>
      </w:r>
      <w:r w:rsidR="00530E65" w:rsidRPr="00CC43CA">
        <w:rPr>
          <w:rFonts w:ascii="Arial" w:eastAsia="Helvetica" w:hAnsi="Arial" w:cs="Arial"/>
          <w:color w:val="1A1A1A"/>
        </w:rPr>
        <w:t xml:space="preserve">active </w:t>
      </w:r>
      <w:r w:rsidR="006847FA" w:rsidRPr="00CC43CA">
        <w:rPr>
          <w:rFonts w:ascii="Arial" w:eastAsia="Helvetica" w:hAnsi="Arial" w:cs="Arial"/>
          <w:color w:val="1A1A1A"/>
        </w:rPr>
        <w:t>steps to</w:t>
      </w:r>
      <w:r w:rsidR="00490A11" w:rsidRPr="00CC43CA">
        <w:rPr>
          <w:rFonts w:ascii="Arial" w:eastAsia="Helvetica" w:hAnsi="Arial" w:cs="Arial"/>
          <w:color w:val="1A1A1A"/>
        </w:rPr>
        <w:t xml:space="preserve"> ‘learn from elsewhere’ and to what effect</w:t>
      </w:r>
      <w:r w:rsidR="00E01272" w:rsidRPr="00CC43CA">
        <w:rPr>
          <w:rFonts w:ascii="Arial" w:eastAsia="Helvetica" w:hAnsi="Arial" w:cs="Arial"/>
          <w:color w:val="1A1A1A"/>
        </w:rPr>
        <w:t>.</w:t>
      </w:r>
      <w:r w:rsidR="00FD72F5">
        <w:rPr>
          <w:rStyle w:val="FootnoteReference"/>
          <w:rFonts w:ascii="Arial" w:eastAsia="Helvetica" w:hAnsi="Arial" w:cs="Arial"/>
          <w:color w:val="1A1A1A"/>
        </w:rPr>
        <w:footnoteReference w:id="9"/>
      </w:r>
      <w:r w:rsidR="00E01272" w:rsidRPr="00CC43CA">
        <w:rPr>
          <w:rFonts w:ascii="Arial" w:eastAsia="Helvetica" w:hAnsi="Arial" w:cs="Arial"/>
          <w:color w:val="1A1A1A"/>
        </w:rPr>
        <w:t xml:space="preserve"> T</w:t>
      </w:r>
      <w:r w:rsidR="00490A11" w:rsidRPr="00CC43CA">
        <w:rPr>
          <w:rFonts w:ascii="Arial" w:eastAsia="Helvetica" w:hAnsi="Arial" w:cs="Arial"/>
          <w:color w:val="1A1A1A"/>
        </w:rPr>
        <w:t xml:space="preserve">he </w:t>
      </w:r>
      <w:r w:rsidR="006847FA" w:rsidRPr="00CC43CA">
        <w:rPr>
          <w:rFonts w:ascii="Arial" w:eastAsia="Helvetica" w:hAnsi="Arial" w:cs="Arial"/>
          <w:color w:val="1A1A1A"/>
        </w:rPr>
        <w:t xml:space="preserve">broader </w:t>
      </w:r>
      <w:r w:rsidR="00490A11" w:rsidRPr="00CC43CA">
        <w:rPr>
          <w:rFonts w:ascii="Arial" w:eastAsia="Helvetica" w:hAnsi="Arial" w:cs="Arial"/>
          <w:color w:val="1A1A1A"/>
        </w:rPr>
        <w:t>notion of ‘policy transfer’</w:t>
      </w:r>
      <w:r w:rsidR="00C05818">
        <w:rPr>
          <w:rFonts w:ascii="Arial" w:eastAsia="Helvetica" w:hAnsi="Arial" w:cs="Arial"/>
          <w:color w:val="1A1A1A"/>
        </w:rPr>
        <w:t xml:space="preserve">, </w:t>
      </w:r>
      <w:r w:rsidR="006847FA" w:rsidRPr="00CC43CA">
        <w:rPr>
          <w:rFonts w:ascii="Arial" w:eastAsia="Helvetica" w:hAnsi="Arial" w:cs="Arial"/>
          <w:color w:val="1A1A1A"/>
        </w:rPr>
        <w:t xml:space="preserve">which moves beyond voluntarist notions of ‘learning’ to include more coerced or imposed forms of cross-jurisdictional </w:t>
      </w:r>
      <w:r w:rsidR="006847FA" w:rsidRPr="00CC43CA">
        <w:rPr>
          <w:rFonts w:ascii="Arial" w:eastAsia="Helvetica" w:hAnsi="Arial" w:cs="Arial"/>
          <w:color w:val="1A1A1A"/>
        </w:rPr>
        <w:lastRenderedPageBreak/>
        <w:t>policy movement</w:t>
      </w:r>
      <w:r w:rsidR="00C05818">
        <w:rPr>
          <w:rFonts w:ascii="Arial" w:eastAsia="Helvetica" w:hAnsi="Arial" w:cs="Arial"/>
          <w:color w:val="1A1A1A"/>
        </w:rPr>
        <w:t xml:space="preserve">, </w:t>
      </w:r>
      <w:r w:rsidR="00490A11" w:rsidRPr="00CC43CA">
        <w:rPr>
          <w:rFonts w:ascii="Arial" w:eastAsia="Helvetica" w:hAnsi="Arial" w:cs="Arial"/>
          <w:color w:val="1A1A1A"/>
        </w:rPr>
        <w:t>gained currency within pol</w:t>
      </w:r>
      <w:r w:rsidR="006847FA" w:rsidRPr="00CC43CA">
        <w:rPr>
          <w:rFonts w:ascii="Arial" w:eastAsia="Helvetica" w:hAnsi="Arial" w:cs="Arial"/>
          <w:color w:val="1A1A1A"/>
        </w:rPr>
        <w:t>itical science during the 1990s. This was</w:t>
      </w:r>
      <w:r w:rsidR="00E01272" w:rsidRPr="00CC43CA">
        <w:rPr>
          <w:rFonts w:ascii="Arial" w:eastAsia="Helvetica" w:hAnsi="Arial" w:cs="Arial"/>
          <w:color w:val="1A1A1A"/>
        </w:rPr>
        <w:t xml:space="preserve"> </w:t>
      </w:r>
      <w:r w:rsidR="00490A11" w:rsidRPr="00CC43CA">
        <w:rPr>
          <w:rFonts w:ascii="Arial" w:eastAsia="Helvetica" w:hAnsi="Arial" w:cs="Arial"/>
          <w:color w:val="1A1A1A"/>
        </w:rPr>
        <w:t>defined as</w:t>
      </w:r>
      <w:r w:rsidR="00113A62" w:rsidRPr="00CC43CA">
        <w:rPr>
          <w:rFonts w:ascii="Arial" w:hAnsi="Arial" w:cs="Arial"/>
          <w:sz w:val="22"/>
          <w:szCs w:val="22"/>
          <w:lang w:eastAsia="en-US"/>
        </w:rPr>
        <w:t xml:space="preserve"> </w:t>
      </w:r>
      <w:r w:rsidR="006847FA" w:rsidRPr="00CC43CA">
        <w:rPr>
          <w:rFonts w:ascii="Arial" w:eastAsia="Helvetica" w:hAnsi="Arial" w:cs="Arial"/>
          <w:color w:val="1A1A1A"/>
        </w:rPr>
        <w:t>the process</w:t>
      </w:r>
      <w:r w:rsidR="00113A62" w:rsidRPr="00CC43CA">
        <w:rPr>
          <w:rFonts w:ascii="Arial" w:eastAsia="Helvetica" w:hAnsi="Arial" w:cs="Arial"/>
          <w:color w:val="1A1A1A"/>
        </w:rPr>
        <w:t xml:space="preserve"> via which ‘knowledge about policies, administrative arrangements, institutions and ideas in one political setting (past or present) is used in the development of policies, administrative arrangements, institutions and ideas in another political setting’</w:t>
      </w:r>
      <w:r w:rsidR="00530E65" w:rsidRPr="00CC43CA">
        <w:rPr>
          <w:rFonts w:ascii="Arial" w:eastAsia="Helvetica" w:hAnsi="Arial" w:cs="Arial"/>
          <w:color w:val="1A1A1A"/>
        </w:rPr>
        <w:t>.</w:t>
      </w:r>
      <w:r w:rsidR="00FD72F5">
        <w:rPr>
          <w:rStyle w:val="FootnoteReference"/>
          <w:rFonts w:ascii="Arial" w:eastAsia="Helvetica" w:hAnsi="Arial" w:cs="Arial"/>
          <w:color w:val="1A1A1A"/>
        </w:rPr>
        <w:footnoteReference w:id="10"/>
      </w:r>
      <w:r w:rsidR="00530E65" w:rsidRPr="00CC43CA">
        <w:rPr>
          <w:rFonts w:ascii="Arial" w:eastAsia="Helvetica" w:hAnsi="Arial" w:cs="Arial"/>
          <w:color w:val="1A1A1A"/>
        </w:rPr>
        <w:t xml:space="preserve"> </w:t>
      </w:r>
      <w:r w:rsidR="00672E1E">
        <w:rPr>
          <w:rFonts w:ascii="Arial" w:eastAsia="Helvetica" w:hAnsi="Arial" w:cs="Arial"/>
          <w:color w:val="1A1A1A"/>
        </w:rPr>
        <w:t xml:space="preserve">Such work is </w:t>
      </w:r>
      <w:r w:rsidR="00F7720E" w:rsidRPr="00CC43CA">
        <w:rPr>
          <w:rFonts w:ascii="Arial" w:eastAsia="Helvetica" w:hAnsi="Arial" w:cs="Arial"/>
          <w:color w:val="1A1A1A"/>
        </w:rPr>
        <w:t>mostly based on qualitative case studies of the transfer of</w:t>
      </w:r>
      <w:r w:rsidR="00113A62" w:rsidRPr="00CC43CA">
        <w:rPr>
          <w:rFonts w:ascii="Arial" w:eastAsia="Helvetica" w:hAnsi="Arial" w:cs="Arial"/>
          <w:color w:val="1A1A1A"/>
        </w:rPr>
        <w:t xml:space="preserve"> ‘concrete’ manifes</w:t>
      </w:r>
      <w:r w:rsidR="00F7720E" w:rsidRPr="00CC43CA">
        <w:rPr>
          <w:rFonts w:ascii="Arial" w:eastAsia="Helvetica" w:hAnsi="Arial" w:cs="Arial"/>
          <w:color w:val="1A1A1A"/>
        </w:rPr>
        <w:t>tations of ‘policy’ (e</w:t>
      </w:r>
      <w:r w:rsidR="00672E1E">
        <w:rPr>
          <w:rFonts w:ascii="Arial" w:eastAsia="Helvetica" w:hAnsi="Arial" w:cs="Arial"/>
          <w:color w:val="1A1A1A"/>
        </w:rPr>
        <w:t>.</w:t>
      </w:r>
      <w:r w:rsidR="00F7720E" w:rsidRPr="00CC43CA">
        <w:rPr>
          <w:rFonts w:ascii="Arial" w:eastAsia="Helvetica" w:hAnsi="Arial" w:cs="Arial"/>
          <w:color w:val="1A1A1A"/>
        </w:rPr>
        <w:t xml:space="preserve">g. </w:t>
      </w:r>
      <w:r w:rsidR="00113A62" w:rsidRPr="00CC43CA">
        <w:rPr>
          <w:rFonts w:ascii="Arial" w:eastAsia="Helvetica" w:hAnsi="Arial" w:cs="Arial"/>
          <w:color w:val="1A1A1A"/>
        </w:rPr>
        <w:t>particular institutional forms, legislation, legal rulings or written policy programmes</w:t>
      </w:r>
      <w:r w:rsidR="00F7720E" w:rsidRPr="00CC43CA">
        <w:rPr>
          <w:rFonts w:ascii="Arial" w:eastAsia="Helvetica" w:hAnsi="Arial" w:cs="Arial"/>
          <w:color w:val="1A1A1A"/>
        </w:rPr>
        <w:t>) comprising a mixture of interviews with key policy actor</w:t>
      </w:r>
      <w:r w:rsidR="00A855BB">
        <w:rPr>
          <w:rFonts w:ascii="Arial" w:eastAsia="Helvetica" w:hAnsi="Arial" w:cs="Arial"/>
          <w:color w:val="1A1A1A"/>
        </w:rPr>
        <w:t>s and documentary analysis. This has</w:t>
      </w:r>
      <w:r w:rsidR="00113A62" w:rsidRPr="00CC43CA">
        <w:rPr>
          <w:rFonts w:ascii="Arial" w:eastAsia="Helvetica" w:hAnsi="Arial" w:cs="Arial"/>
          <w:color w:val="1A1A1A"/>
        </w:rPr>
        <w:t xml:space="preserve"> been arguably the dominant influence </w:t>
      </w:r>
      <w:r w:rsidR="00F7720E" w:rsidRPr="00CC43CA">
        <w:rPr>
          <w:rFonts w:ascii="Arial" w:eastAsia="Helvetica" w:hAnsi="Arial" w:cs="Arial"/>
          <w:color w:val="1A1A1A"/>
        </w:rPr>
        <w:t xml:space="preserve">to date </w:t>
      </w:r>
      <w:r w:rsidR="00113A62" w:rsidRPr="00CC43CA">
        <w:rPr>
          <w:rFonts w:ascii="Arial" w:eastAsia="Helvetica" w:hAnsi="Arial" w:cs="Arial"/>
          <w:color w:val="1A1A1A"/>
        </w:rPr>
        <w:t>on studies of policy movement in</w:t>
      </w:r>
      <w:r w:rsidR="00F7720E" w:rsidRPr="00CC43CA">
        <w:rPr>
          <w:rFonts w:ascii="Arial" w:eastAsia="Helvetica" w:hAnsi="Arial" w:cs="Arial"/>
          <w:color w:val="1A1A1A"/>
        </w:rPr>
        <w:t xml:space="preserve"> crime, security and justice. </w:t>
      </w:r>
    </w:p>
    <w:p w14:paraId="1D94B5EE" w14:textId="77777777" w:rsidR="00361514" w:rsidRDefault="00361514" w:rsidP="00895502">
      <w:pPr>
        <w:spacing w:after="0" w:line="276" w:lineRule="auto"/>
        <w:rPr>
          <w:rFonts w:ascii="Arial" w:eastAsia="Helvetica" w:hAnsi="Arial" w:cs="Arial"/>
          <w:color w:val="1A1A1A"/>
        </w:rPr>
      </w:pPr>
    </w:p>
    <w:p w14:paraId="1773764C" w14:textId="3EFB65B9" w:rsidR="007D63EE" w:rsidRPr="00CC43CA" w:rsidRDefault="00F7720E" w:rsidP="00895502">
      <w:pPr>
        <w:spacing w:after="0" w:line="276" w:lineRule="auto"/>
        <w:rPr>
          <w:rFonts w:ascii="Arial" w:eastAsia="Helvetica" w:hAnsi="Arial" w:cs="Arial"/>
          <w:color w:val="1A1A1A"/>
        </w:rPr>
      </w:pPr>
      <w:r w:rsidRPr="00CC43CA">
        <w:rPr>
          <w:rFonts w:ascii="Arial" w:eastAsia="Helvetica" w:hAnsi="Arial" w:cs="Arial"/>
          <w:color w:val="1A1A1A"/>
        </w:rPr>
        <w:t>An</w:t>
      </w:r>
      <w:r w:rsidR="00113A62" w:rsidRPr="00CC43CA">
        <w:rPr>
          <w:rFonts w:ascii="Arial" w:eastAsia="Helvetica" w:hAnsi="Arial" w:cs="Arial"/>
          <w:color w:val="1A1A1A"/>
        </w:rPr>
        <w:t xml:space="preserve"> important </w:t>
      </w:r>
      <w:r w:rsidRPr="00CC43CA">
        <w:rPr>
          <w:rFonts w:ascii="Arial" w:eastAsia="Helvetica" w:hAnsi="Arial" w:cs="Arial"/>
          <w:color w:val="1A1A1A"/>
        </w:rPr>
        <w:t xml:space="preserve">recent </w:t>
      </w:r>
      <w:r w:rsidR="00113A62" w:rsidRPr="00CC43CA">
        <w:rPr>
          <w:rFonts w:ascii="Arial" w:eastAsia="Helvetica" w:hAnsi="Arial" w:cs="Arial"/>
          <w:color w:val="1A1A1A"/>
        </w:rPr>
        <w:t xml:space="preserve">development </w:t>
      </w:r>
      <w:r w:rsidR="00672E1E">
        <w:rPr>
          <w:rFonts w:ascii="Arial" w:eastAsia="Helvetica" w:hAnsi="Arial" w:cs="Arial"/>
          <w:color w:val="1A1A1A"/>
        </w:rPr>
        <w:t>in</w:t>
      </w:r>
      <w:r w:rsidR="00113A62" w:rsidRPr="00CC43CA">
        <w:rPr>
          <w:rFonts w:ascii="Arial" w:eastAsia="Helvetica" w:hAnsi="Arial" w:cs="Arial"/>
          <w:color w:val="1A1A1A"/>
        </w:rPr>
        <w:t xml:space="preserve"> the field has been provided b</w:t>
      </w:r>
      <w:r w:rsidR="00895502" w:rsidRPr="00CC43CA">
        <w:rPr>
          <w:rFonts w:ascii="Arial" w:eastAsia="Helvetica" w:hAnsi="Arial" w:cs="Arial"/>
          <w:color w:val="1A1A1A"/>
        </w:rPr>
        <w:t>y ‘critical policy scholars’</w:t>
      </w:r>
      <w:r w:rsidRPr="00CC43CA">
        <w:rPr>
          <w:rFonts w:ascii="Arial" w:eastAsia="Helvetica" w:hAnsi="Arial" w:cs="Arial"/>
          <w:color w:val="1A1A1A"/>
        </w:rPr>
        <w:t xml:space="preserve">, primarily working </w:t>
      </w:r>
      <w:r w:rsidR="00113A62" w:rsidRPr="00CC43CA">
        <w:rPr>
          <w:rFonts w:ascii="Arial" w:eastAsia="Helvetica" w:hAnsi="Arial" w:cs="Arial"/>
          <w:color w:val="1A1A1A"/>
        </w:rPr>
        <w:t>in the field of human geography</w:t>
      </w:r>
      <w:r w:rsidRPr="00CC43CA">
        <w:rPr>
          <w:rFonts w:ascii="Arial" w:eastAsia="Helvetica" w:hAnsi="Arial" w:cs="Arial"/>
          <w:color w:val="1A1A1A"/>
        </w:rPr>
        <w:t>,</w:t>
      </w:r>
      <w:r w:rsidR="00530E65" w:rsidRPr="00CC43CA">
        <w:rPr>
          <w:rFonts w:ascii="Arial" w:eastAsia="Helvetica" w:hAnsi="Arial" w:cs="Arial"/>
          <w:color w:val="1A1A1A"/>
        </w:rPr>
        <w:t xml:space="preserve"> who have proposed the notion o</w:t>
      </w:r>
      <w:r w:rsidRPr="00CC43CA">
        <w:rPr>
          <w:rFonts w:ascii="Arial" w:eastAsia="Helvetica" w:hAnsi="Arial" w:cs="Arial"/>
          <w:color w:val="1A1A1A"/>
        </w:rPr>
        <w:t>f ‘policy mobilities’</w:t>
      </w:r>
      <w:r w:rsidR="00490A11" w:rsidRPr="00CC43CA">
        <w:rPr>
          <w:rFonts w:ascii="Arial" w:eastAsia="Helvetica" w:hAnsi="Arial" w:cs="Arial"/>
          <w:color w:val="1A1A1A"/>
        </w:rPr>
        <w:t>.</w:t>
      </w:r>
      <w:r w:rsidR="00FD72F5">
        <w:rPr>
          <w:rStyle w:val="FootnoteReference"/>
          <w:rFonts w:ascii="Arial" w:eastAsia="Helvetica" w:hAnsi="Arial" w:cs="Arial"/>
          <w:color w:val="1A1A1A"/>
        </w:rPr>
        <w:footnoteReference w:id="11"/>
      </w:r>
      <w:r w:rsidR="00490A11" w:rsidRPr="00CC43CA">
        <w:rPr>
          <w:rFonts w:ascii="Arial" w:eastAsia="Helvetica" w:hAnsi="Arial" w:cs="Arial"/>
          <w:color w:val="1A1A1A"/>
        </w:rPr>
        <w:t xml:space="preserve"> </w:t>
      </w:r>
      <w:r w:rsidR="00530E65" w:rsidRPr="00CC43CA">
        <w:rPr>
          <w:rFonts w:ascii="Arial" w:eastAsia="Helvetica" w:hAnsi="Arial" w:cs="Arial"/>
          <w:color w:val="1A1A1A"/>
        </w:rPr>
        <w:t>This research has provided a</w:t>
      </w:r>
      <w:r w:rsidR="00113A62" w:rsidRPr="00CC43CA">
        <w:rPr>
          <w:rFonts w:ascii="Arial" w:eastAsia="Helvetica" w:hAnsi="Arial" w:cs="Arial"/>
          <w:color w:val="1A1A1A"/>
        </w:rPr>
        <w:t xml:space="preserve"> vigorous cr</w:t>
      </w:r>
      <w:r w:rsidR="006847FA" w:rsidRPr="00CC43CA">
        <w:rPr>
          <w:rFonts w:ascii="Arial" w:eastAsia="Helvetica" w:hAnsi="Arial" w:cs="Arial"/>
          <w:color w:val="1A1A1A"/>
        </w:rPr>
        <w:t xml:space="preserve">itique of the terminology and methodologies associated with the </w:t>
      </w:r>
      <w:r w:rsidR="00530E65" w:rsidRPr="00CC43CA">
        <w:rPr>
          <w:rFonts w:ascii="Arial" w:eastAsia="Helvetica" w:hAnsi="Arial" w:cs="Arial"/>
          <w:color w:val="1A1A1A"/>
        </w:rPr>
        <w:t xml:space="preserve">‘orthodox’ </w:t>
      </w:r>
      <w:r w:rsidR="001C116F" w:rsidRPr="00CC43CA">
        <w:rPr>
          <w:rFonts w:ascii="Arial" w:eastAsia="Helvetica" w:hAnsi="Arial" w:cs="Arial"/>
          <w:color w:val="1A1A1A"/>
        </w:rPr>
        <w:t>study of ‘policy transfer’. It</w:t>
      </w:r>
      <w:r w:rsidR="006847FA" w:rsidRPr="00CC43CA">
        <w:rPr>
          <w:rFonts w:ascii="Arial" w:eastAsia="Helvetica" w:hAnsi="Arial" w:cs="Arial"/>
          <w:color w:val="1A1A1A"/>
        </w:rPr>
        <w:t xml:space="preserve"> suggest</w:t>
      </w:r>
      <w:r w:rsidR="001C116F" w:rsidRPr="00CC43CA">
        <w:rPr>
          <w:rFonts w:ascii="Arial" w:eastAsia="Helvetica" w:hAnsi="Arial" w:cs="Arial"/>
          <w:color w:val="1A1A1A"/>
        </w:rPr>
        <w:t>s</w:t>
      </w:r>
      <w:r w:rsidR="00113A62" w:rsidRPr="00CC43CA">
        <w:rPr>
          <w:rFonts w:ascii="Arial" w:eastAsia="Helvetica" w:hAnsi="Arial" w:cs="Arial"/>
          <w:color w:val="1A1A1A"/>
        </w:rPr>
        <w:t xml:space="preserve"> that such perspecti</w:t>
      </w:r>
      <w:r w:rsidR="001C116F" w:rsidRPr="00CC43CA">
        <w:rPr>
          <w:rFonts w:ascii="Arial" w:eastAsia="Helvetica" w:hAnsi="Arial" w:cs="Arial"/>
          <w:color w:val="1A1A1A"/>
        </w:rPr>
        <w:t>ves present a</w:t>
      </w:r>
      <w:r w:rsidR="00113A62" w:rsidRPr="00CC43CA">
        <w:rPr>
          <w:rFonts w:ascii="Arial" w:eastAsia="Helvetica" w:hAnsi="Arial" w:cs="Arial"/>
          <w:color w:val="1A1A1A"/>
        </w:rPr>
        <w:t xml:space="preserve"> simplified notion of ‘policy’, an</w:t>
      </w:r>
      <w:r w:rsidRPr="00CC43CA">
        <w:rPr>
          <w:rFonts w:ascii="Arial" w:eastAsia="Helvetica" w:hAnsi="Arial" w:cs="Arial"/>
          <w:color w:val="1A1A1A"/>
        </w:rPr>
        <w:t>d adopt naive</w:t>
      </w:r>
      <w:r w:rsidR="00113A62" w:rsidRPr="00CC43CA">
        <w:rPr>
          <w:rFonts w:ascii="Arial" w:eastAsia="Helvetica" w:hAnsi="Arial" w:cs="Arial"/>
          <w:color w:val="1A1A1A"/>
        </w:rPr>
        <w:t xml:space="preserve"> ‘rational choice’ assumptions about the process of policy transfer </w:t>
      </w:r>
      <w:r w:rsidR="006847FA" w:rsidRPr="00CC43CA">
        <w:rPr>
          <w:rFonts w:ascii="Arial" w:eastAsia="Helvetica" w:hAnsi="Arial" w:cs="Arial"/>
          <w:color w:val="1A1A1A"/>
        </w:rPr>
        <w:t>based on overly-narrow analys</w:t>
      </w:r>
      <w:r w:rsidR="00672E1E">
        <w:rPr>
          <w:rFonts w:ascii="Arial" w:eastAsia="Helvetica" w:hAnsi="Arial" w:cs="Arial"/>
          <w:color w:val="1A1A1A"/>
        </w:rPr>
        <w:t>e</w:t>
      </w:r>
      <w:r w:rsidR="006847FA" w:rsidRPr="00CC43CA">
        <w:rPr>
          <w:rFonts w:ascii="Arial" w:eastAsia="Helvetica" w:hAnsi="Arial" w:cs="Arial"/>
          <w:color w:val="1A1A1A"/>
        </w:rPr>
        <w:t xml:space="preserve">s of ‘formal’ policy documents and the accounts of </w:t>
      </w:r>
      <w:r w:rsidRPr="00CC43CA">
        <w:rPr>
          <w:rFonts w:ascii="Arial" w:eastAsia="Helvetica" w:hAnsi="Arial" w:cs="Arial"/>
          <w:color w:val="1A1A1A"/>
        </w:rPr>
        <w:t xml:space="preserve">national </w:t>
      </w:r>
      <w:r w:rsidR="006847FA" w:rsidRPr="00CC43CA">
        <w:rPr>
          <w:rFonts w:ascii="Arial" w:eastAsia="Helvetica" w:hAnsi="Arial" w:cs="Arial"/>
          <w:color w:val="1A1A1A"/>
        </w:rPr>
        <w:t>elite policy actors.</w:t>
      </w:r>
      <w:r w:rsidR="00113A62" w:rsidRPr="00CC43CA">
        <w:rPr>
          <w:rFonts w:ascii="Arial" w:eastAsia="Helvetica" w:hAnsi="Arial" w:cs="Arial"/>
          <w:color w:val="1A1A1A"/>
        </w:rPr>
        <w:t xml:space="preserve"> </w:t>
      </w:r>
      <w:r w:rsidRPr="00CC43CA">
        <w:rPr>
          <w:rFonts w:ascii="Arial" w:eastAsia="Helvetica" w:hAnsi="Arial" w:cs="Arial"/>
          <w:color w:val="1A1A1A"/>
        </w:rPr>
        <w:t>Policy mobilities scholars advocate</w:t>
      </w:r>
      <w:r w:rsidR="00E01272" w:rsidRPr="00CC43CA">
        <w:rPr>
          <w:rFonts w:ascii="Arial" w:eastAsia="Helvetica" w:hAnsi="Arial" w:cs="Arial"/>
          <w:color w:val="1A1A1A"/>
        </w:rPr>
        <w:t xml:space="preserve"> a focus on the social construction of </w:t>
      </w:r>
      <w:r w:rsidR="006847FA" w:rsidRPr="00CC43CA">
        <w:rPr>
          <w:rFonts w:ascii="Arial" w:eastAsia="Helvetica" w:hAnsi="Arial" w:cs="Arial"/>
          <w:color w:val="1A1A1A"/>
        </w:rPr>
        <w:t>the more fluid and emergent notion</w:t>
      </w:r>
      <w:r w:rsidR="00E01272" w:rsidRPr="00CC43CA">
        <w:rPr>
          <w:rFonts w:ascii="Arial" w:eastAsia="Helvetica" w:hAnsi="Arial" w:cs="Arial"/>
          <w:color w:val="1A1A1A"/>
        </w:rPr>
        <w:t xml:space="preserve"> of ‘policy assemblages’ </w:t>
      </w:r>
      <w:r w:rsidR="006847FA" w:rsidRPr="00CC43CA">
        <w:rPr>
          <w:rFonts w:ascii="Arial" w:eastAsia="Helvetica" w:hAnsi="Arial" w:cs="Arial"/>
          <w:color w:val="1A1A1A"/>
        </w:rPr>
        <w:t xml:space="preserve">that are shaped </w:t>
      </w:r>
      <w:r w:rsidR="00E01272" w:rsidRPr="00CC43CA">
        <w:rPr>
          <w:rFonts w:ascii="Arial" w:eastAsia="Helvetica" w:hAnsi="Arial" w:cs="Arial"/>
          <w:color w:val="1A1A1A"/>
        </w:rPr>
        <w:t>within particular ideological and political contexts</w:t>
      </w:r>
      <w:r w:rsidR="006847FA" w:rsidRPr="00CC43CA">
        <w:rPr>
          <w:rFonts w:ascii="Arial" w:eastAsia="Helvetica" w:hAnsi="Arial" w:cs="Arial"/>
          <w:color w:val="1A1A1A"/>
        </w:rPr>
        <w:t>, drawing on ethnographic research in a variety of state, non-state and supra-state policy-making sites</w:t>
      </w:r>
      <w:r w:rsidR="001C116F" w:rsidRPr="00CC43CA">
        <w:rPr>
          <w:rFonts w:ascii="Arial" w:eastAsia="Helvetica" w:hAnsi="Arial" w:cs="Arial"/>
          <w:color w:val="1A1A1A"/>
        </w:rPr>
        <w:t>.</w:t>
      </w:r>
      <w:r w:rsidR="00FD72F5">
        <w:rPr>
          <w:rStyle w:val="FootnoteReference"/>
          <w:rFonts w:ascii="Arial" w:eastAsia="Helvetica" w:hAnsi="Arial" w:cs="Arial"/>
          <w:color w:val="1A1A1A"/>
        </w:rPr>
        <w:footnoteReference w:id="12"/>
      </w:r>
      <w:r w:rsidR="00E01272" w:rsidRPr="00CC43CA">
        <w:rPr>
          <w:rFonts w:ascii="Arial" w:eastAsia="Helvetica" w:hAnsi="Arial" w:cs="Arial"/>
          <w:color w:val="1A1A1A"/>
        </w:rPr>
        <w:t xml:space="preserve"> </w:t>
      </w:r>
      <w:r w:rsidR="00113A62" w:rsidRPr="00CC43CA">
        <w:rPr>
          <w:rFonts w:ascii="Arial" w:eastAsia="Helvetica" w:hAnsi="Arial" w:cs="Arial"/>
          <w:color w:val="1A1A1A"/>
        </w:rPr>
        <w:t>Across all of these different perspec</w:t>
      </w:r>
      <w:r w:rsidR="00E01272" w:rsidRPr="00CC43CA">
        <w:rPr>
          <w:rFonts w:ascii="Arial" w:eastAsia="Helvetica" w:hAnsi="Arial" w:cs="Arial"/>
          <w:color w:val="1A1A1A"/>
        </w:rPr>
        <w:t>tives, there h</w:t>
      </w:r>
      <w:r w:rsidR="001C116F" w:rsidRPr="00CC43CA">
        <w:rPr>
          <w:rFonts w:ascii="Arial" w:eastAsia="Helvetica" w:hAnsi="Arial" w:cs="Arial"/>
          <w:color w:val="1A1A1A"/>
        </w:rPr>
        <w:t>as been relatively</w:t>
      </w:r>
      <w:r w:rsidR="00113A62" w:rsidRPr="00CC43CA">
        <w:rPr>
          <w:rFonts w:ascii="Arial" w:eastAsia="Helvetica" w:hAnsi="Arial" w:cs="Arial"/>
          <w:color w:val="1A1A1A"/>
        </w:rPr>
        <w:t xml:space="preserve"> little focus </w:t>
      </w:r>
      <w:r w:rsidR="006847FA" w:rsidRPr="00CC43CA">
        <w:rPr>
          <w:rFonts w:ascii="Arial" w:eastAsia="Helvetica" w:hAnsi="Arial" w:cs="Arial"/>
          <w:color w:val="1A1A1A"/>
        </w:rPr>
        <w:t xml:space="preserve">to date </w:t>
      </w:r>
      <w:r w:rsidR="00113A62" w:rsidRPr="00CC43CA">
        <w:rPr>
          <w:rFonts w:ascii="Arial" w:eastAsia="Helvetica" w:hAnsi="Arial" w:cs="Arial"/>
          <w:color w:val="1A1A1A"/>
        </w:rPr>
        <w:t xml:space="preserve">upon the arenas </w:t>
      </w:r>
      <w:r w:rsidR="00E01272" w:rsidRPr="00CC43CA">
        <w:rPr>
          <w:rFonts w:ascii="Arial" w:eastAsia="Helvetica" w:hAnsi="Arial" w:cs="Arial"/>
          <w:color w:val="1A1A1A"/>
        </w:rPr>
        <w:t xml:space="preserve">of crime, security and justice compared with other areas of public policy, </w:t>
      </w:r>
      <w:r w:rsidR="00113A62" w:rsidRPr="00CC43CA">
        <w:rPr>
          <w:rFonts w:ascii="Arial" w:eastAsia="Helvetica" w:hAnsi="Arial" w:cs="Arial"/>
          <w:color w:val="1A1A1A"/>
        </w:rPr>
        <w:t>although there</w:t>
      </w:r>
      <w:r w:rsidR="00E01272" w:rsidRPr="00CC43CA">
        <w:rPr>
          <w:rFonts w:ascii="Arial" w:eastAsia="Helvetica" w:hAnsi="Arial" w:cs="Arial"/>
          <w:color w:val="1A1A1A"/>
        </w:rPr>
        <w:t xml:space="preserve"> are some important </w:t>
      </w:r>
      <w:r w:rsidR="00113A62" w:rsidRPr="00CC43CA">
        <w:rPr>
          <w:rFonts w:ascii="Arial" w:eastAsia="Helvetica" w:hAnsi="Arial" w:cs="Arial"/>
          <w:color w:val="1A1A1A"/>
        </w:rPr>
        <w:t>exemplars in each category</w:t>
      </w:r>
      <w:r w:rsidR="00E01272" w:rsidRPr="00CC43CA">
        <w:rPr>
          <w:rFonts w:ascii="Arial" w:eastAsia="Helvetica" w:hAnsi="Arial" w:cs="Arial"/>
          <w:color w:val="1A1A1A"/>
        </w:rPr>
        <w:t xml:space="preserve"> which we will draw upon below. </w:t>
      </w:r>
    </w:p>
    <w:p w14:paraId="05000835" w14:textId="6D4786F5" w:rsidR="00113A62" w:rsidRPr="00CC43CA" w:rsidRDefault="00113A62" w:rsidP="00F30E5E">
      <w:pPr>
        <w:spacing w:after="0" w:line="276" w:lineRule="auto"/>
        <w:rPr>
          <w:rFonts w:ascii="Arial" w:eastAsia="Helvetica" w:hAnsi="Arial" w:cs="Arial"/>
          <w:color w:val="1A1A1A"/>
        </w:rPr>
      </w:pPr>
    </w:p>
    <w:p w14:paraId="2F07A8A5" w14:textId="1A014982" w:rsidR="00E01272" w:rsidRPr="00CC43CA" w:rsidRDefault="00FB6999" w:rsidP="00F30E5E">
      <w:pPr>
        <w:spacing w:after="0" w:line="276" w:lineRule="auto"/>
        <w:rPr>
          <w:rFonts w:ascii="Arial" w:eastAsia="Helvetica" w:hAnsi="Arial" w:cs="Arial"/>
          <w:b/>
          <w:i/>
          <w:color w:val="1A1A1A"/>
        </w:rPr>
      </w:pPr>
      <w:r>
        <w:rPr>
          <w:rFonts w:ascii="Arial" w:eastAsia="Helvetica" w:hAnsi="Arial" w:cs="Arial"/>
          <w:b/>
          <w:i/>
          <w:color w:val="1A1A1A"/>
        </w:rPr>
        <w:t xml:space="preserve">2. </w:t>
      </w:r>
      <w:r w:rsidR="00E01272" w:rsidRPr="00CC43CA">
        <w:rPr>
          <w:rFonts w:ascii="Arial" w:eastAsia="Helvetica" w:hAnsi="Arial" w:cs="Arial"/>
          <w:b/>
          <w:i/>
          <w:color w:val="1A1A1A"/>
        </w:rPr>
        <w:t>How much policy transf</w:t>
      </w:r>
      <w:r w:rsidR="004B0A63" w:rsidRPr="00CC43CA">
        <w:rPr>
          <w:rFonts w:ascii="Arial" w:eastAsia="Helvetica" w:hAnsi="Arial" w:cs="Arial"/>
          <w:b/>
          <w:i/>
          <w:color w:val="1A1A1A"/>
        </w:rPr>
        <w:t>er</w:t>
      </w:r>
      <w:r w:rsidR="00E01272" w:rsidRPr="00CC43CA">
        <w:rPr>
          <w:rFonts w:ascii="Arial" w:eastAsia="Helvetica" w:hAnsi="Arial" w:cs="Arial"/>
          <w:b/>
          <w:i/>
          <w:color w:val="1A1A1A"/>
        </w:rPr>
        <w:t>?</w:t>
      </w:r>
    </w:p>
    <w:p w14:paraId="62C80EAB" w14:textId="7CC37E86" w:rsidR="008E10C5" w:rsidRPr="00CC43CA" w:rsidRDefault="001C116F" w:rsidP="00F30E5E">
      <w:pPr>
        <w:spacing w:after="0" w:line="276" w:lineRule="auto"/>
        <w:rPr>
          <w:rFonts w:ascii="Arial" w:eastAsia="Helvetica" w:hAnsi="Arial" w:cs="Arial"/>
          <w:color w:val="1A1A1A"/>
        </w:rPr>
      </w:pPr>
      <w:r w:rsidRPr="00CC43CA">
        <w:rPr>
          <w:rFonts w:ascii="Arial" w:eastAsia="Helvetica" w:hAnsi="Arial" w:cs="Arial"/>
          <w:color w:val="1A1A1A"/>
        </w:rPr>
        <w:t>The starting point for most</w:t>
      </w:r>
      <w:r w:rsidR="00E01272" w:rsidRPr="00CC43CA">
        <w:rPr>
          <w:rFonts w:ascii="Arial" w:eastAsia="Helvetica" w:hAnsi="Arial" w:cs="Arial"/>
          <w:color w:val="1A1A1A"/>
        </w:rPr>
        <w:t xml:space="preserve"> work on cross-national crime policy movement</w:t>
      </w:r>
      <w:r w:rsidR="006847FA" w:rsidRPr="00CC43CA">
        <w:rPr>
          <w:rFonts w:ascii="Arial" w:eastAsia="Helvetica" w:hAnsi="Arial" w:cs="Arial"/>
          <w:color w:val="1A1A1A"/>
        </w:rPr>
        <w:t>, including our own,</w:t>
      </w:r>
      <w:r w:rsidRPr="00CC43CA">
        <w:rPr>
          <w:rFonts w:ascii="Arial" w:eastAsia="Helvetica" w:hAnsi="Arial" w:cs="Arial"/>
          <w:color w:val="1A1A1A"/>
        </w:rPr>
        <w:t xml:space="preserve"> is </w:t>
      </w:r>
      <w:r w:rsidR="00E01272" w:rsidRPr="00CC43CA">
        <w:rPr>
          <w:rFonts w:ascii="Arial" w:eastAsia="Helvetica" w:hAnsi="Arial" w:cs="Arial"/>
          <w:color w:val="1A1A1A"/>
        </w:rPr>
        <w:t xml:space="preserve">the assumption that this is </w:t>
      </w:r>
      <w:r w:rsidR="008E10C5" w:rsidRPr="00CC43CA">
        <w:rPr>
          <w:rFonts w:ascii="Arial" w:eastAsia="Helvetica" w:hAnsi="Arial" w:cs="Arial"/>
          <w:color w:val="1A1A1A"/>
        </w:rPr>
        <w:t>a</w:t>
      </w:r>
      <w:r w:rsidR="00E01272" w:rsidRPr="00CC43CA">
        <w:rPr>
          <w:rFonts w:ascii="Arial" w:eastAsia="Helvetica" w:hAnsi="Arial" w:cs="Arial"/>
          <w:color w:val="1A1A1A"/>
        </w:rPr>
        <w:t xml:space="preserve"> significant empirical</w:t>
      </w:r>
      <w:r w:rsidR="003D7B93" w:rsidRPr="00CC43CA">
        <w:rPr>
          <w:rFonts w:ascii="Arial" w:eastAsia="Helvetica" w:hAnsi="Arial" w:cs="Arial"/>
          <w:color w:val="1A1A1A"/>
        </w:rPr>
        <w:t xml:space="preserve"> feature of contemporary policy-making</w:t>
      </w:r>
      <w:r w:rsidR="008E10C5" w:rsidRPr="00CC43CA">
        <w:rPr>
          <w:rFonts w:ascii="Arial" w:eastAsia="Helvetica" w:hAnsi="Arial" w:cs="Arial"/>
          <w:color w:val="1A1A1A"/>
        </w:rPr>
        <w:t xml:space="preserve"> that is growing in frequency and velocity</w:t>
      </w:r>
      <w:r w:rsidR="00E01272" w:rsidRPr="00CC43CA">
        <w:rPr>
          <w:rFonts w:ascii="Arial" w:eastAsia="Helvetica" w:hAnsi="Arial" w:cs="Arial"/>
          <w:color w:val="1A1A1A"/>
        </w:rPr>
        <w:t xml:space="preserve">. </w:t>
      </w:r>
      <w:r w:rsidR="00361514">
        <w:rPr>
          <w:rFonts w:ascii="Arial" w:eastAsia="Helvetica" w:hAnsi="Arial" w:cs="Arial"/>
          <w:color w:val="1A1A1A"/>
        </w:rPr>
        <w:t xml:space="preserve">Though </w:t>
      </w:r>
      <w:r w:rsidR="006847FA" w:rsidRPr="00CC43CA">
        <w:rPr>
          <w:rFonts w:ascii="Arial" w:eastAsia="Helvetica" w:hAnsi="Arial" w:cs="Arial"/>
          <w:color w:val="1A1A1A"/>
        </w:rPr>
        <w:t>rigorous evidence about</w:t>
      </w:r>
      <w:r w:rsidR="00E01272" w:rsidRPr="00CC43CA">
        <w:rPr>
          <w:rFonts w:ascii="Arial" w:eastAsia="Helvetica" w:hAnsi="Arial" w:cs="Arial"/>
          <w:color w:val="1A1A1A"/>
        </w:rPr>
        <w:t xml:space="preserve"> scale and trends</w:t>
      </w:r>
      <w:r w:rsidR="00361514">
        <w:rPr>
          <w:rFonts w:ascii="Arial" w:eastAsia="Helvetica" w:hAnsi="Arial" w:cs="Arial"/>
          <w:color w:val="1A1A1A"/>
        </w:rPr>
        <w:t xml:space="preserve"> is not available</w:t>
      </w:r>
      <w:r w:rsidR="00E01272" w:rsidRPr="00CC43CA">
        <w:rPr>
          <w:rFonts w:ascii="Arial" w:eastAsia="Helvetica" w:hAnsi="Arial" w:cs="Arial"/>
          <w:color w:val="1A1A1A"/>
        </w:rPr>
        <w:t xml:space="preserve">, </w:t>
      </w:r>
      <w:r w:rsidR="00361514">
        <w:rPr>
          <w:rFonts w:ascii="Arial" w:eastAsia="Helvetica" w:hAnsi="Arial" w:cs="Arial"/>
          <w:color w:val="1A1A1A"/>
        </w:rPr>
        <w:t>we</w:t>
      </w:r>
      <w:r w:rsidR="003D7B93" w:rsidRPr="00CC43CA">
        <w:rPr>
          <w:rFonts w:ascii="Arial" w:eastAsia="Helvetica" w:hAnsi="Arial" w:cs="Arial"/>
          <w:color w:val="1A1A1A"/>
        </w:rPr>
        <w:t xml:space="preserve"> know that the cross-national movement of policies, and self-conscious attempts at importing and/or exporting policy ideas and practices across national boundaries ha</w:t>
      </w:r>
      <w:r w:rsidR="00361514">
        <w:rPr>
          <w:rFonts w:ascii="Arial" w:eastAsia="Helvetica" w:hAnsi="Arial" w:cs="Arial"/>
          <w:color w:val="1A1A1A"/>
        </w:rPr>
        <w:t>ve</w:t>
      </w:r>
      <w:r w:rsidR="003D7B93" w:rsidRPr="00CC43CA">
        <w:rPr>
          <w:rFonts w:ascii="Arial" w:eastAsia="Helvetica" w:hAnsi="Arial" w:cs="Arial"/>
          <w:color w:val="1A1A1A"/>
        </w:rPr>
        <w:t xml:space="preserve"> a long his</w:t>
      </w:r>
      <w:r w:rsidR="00AE0AE7" w:rsidRPr="00CC43CA">
        <w:rPr>
          <w:rFonts w:ascii="Arial" w:eastAsia="Helvetica" w:hAnsi="Arial" w:cs="Arial"/>
          <w:color w:val="1A1A1A"/>
        </w:rPr>
        <w:t>tory</w:t>
      </w:r>
      <w:r w:rsidR="006714E3">
        <w:rPr>
          <w:rStyle w:val="FootnoteReference"/>
          <w:rFonts w:ascii="Arial" w:eastAsia="Helvetica" w:hAnsi="Arial" w:cs="Arial"/>
          <w:color w:val="1A1A1A"/>
        </w:rPr>
        <w:footnoteReference w:id="13"/>
      </w:r>
      <w:r w:rsidR="00AE0AE7" w:rsidRPr="00CC43CA">
        <w:rPr>
          <w:rFonts w:ascii="Arial" w:eastAsia="Helvetica" w:hAnsi="Arial" w:cs="Arial"/>
          <w:color w:val="1A1A1A"/>
        </w:rPr>
        <w:t xml:space="preserve"> </w:t>
      </w:r>
      <w:r w:rsidR="00361514">
        <w:rPr>
          <w:rFonts w:ascii="Arial" w:eastAsia="Helvetica" w:hAnsi="Arial" w:cs="Arial"/>
          <w:color w:val="1A1A1A"/>
        </w:rPr>
        <w:t>and</w:t>
      </w:r>
      <w:r w:rsidR="003D7B93" w:rsidRPr="00CC43CA">
        <w:rPr>
          <w:rFonts w:ascii="Arial" w:eastAsia="Helvetica" w:hAnsi="Arial" w:cs="Arial"/>
          <w:color w:val="1A1A1A"/>
        </w:rPr>
        <w:t xml:space="preserve"> it is plausible to </w:t>
      </w:r>
      <w:r w:rsidR="00361514">
        <w:rPr>
          <w:rFonts w:ascii="Arial" w:eastAsia="Helvetica" w:hAnsi="Arial" w:cs="Arial"/>
          <w:color w:val="1A1A1A"/>
        </w:rPr>
        <w:t>assume</w:t>
      </w:r>
      <w:r w:rsidR="00361514" w:rsidRPr="00CC43CA">
        <w:rPr>
          <w:rFonts w:ascii="Arial" w:eastAsia="Helvetica" w:hAnsi="Arial" w:cs="Arial"/>
          <w:color w:val="1A1A1A"/>
        </w:rPr>
        <w:t xml:space="preserve"> </w:t>
      </w:r>
      <w:r w:rsidR="003D7B93" w:rsidRPr="00CC43CA">
        <w:rPr>
          <w:rFonts w:ascii="Arial" w:eastAsia="Helvetica" w:hAnsi="Arial" w:cs="Arial"/>
          <w:color w:val="1A1A1A"/>
        </w:rPr>
        <w:t xml:space="preserve">that </w:t>
      </w:r>
      <w:r w:rsidR="00C23A36" w:rsidRPr="00CC43CA">
        <w:rPr>
          <w:rFonts w:ascii="Arial" w:eastAsia="Helvetica" w:hAnsi="Arial" w:cs="Arial"/>
          <w:color w:val="1A1A1A"/>
        </w:rPr>
        <w:t xml:space="preserve">pressures towards </w:t>
      </w:r>
      <w:r w:rsidR="003D7B93" w:rsidRPr="00CC43CA">
        <w:rPr>
          <w:rFonts w:ascii="Arial" w:eastAsia="Helvetica" w:hAnsi="Arial" w:cs="Arial"/>
          <w:color w:val="1A1A1A"/>
        </w:rPr>
        <w:t>cross-national policy movement ha</w:t>
      </w:r>
      <w:r w:rsidR="00C23A36" w:rsidRPr="00CC43CA">
        <w:rPr>
          <w:rFonts w:ascii="Arial" w:eastAsia="Helvetica" w:hAnsi="Arial" w:cs="Arial"/>
          <w:color w:val="1A1A1A"/>
        </w:rPr>
        <w:t>ve</w:t>
      </w:r>
      <w:r w:rsidR="003D7B93" w:rsidRPr="00CC43CA">
        <w:rPr>
          <w:rFonts w:ascii="Arial" w:eastAsia="Helvetica" w:hAnsi="Arial" w:cs="Arial"/>
          <w:color w:val="1A1A1A"/>
        </w:rPr>
        <w:t xml:space="preserve"> increased substantially i</w:t>
      </w:r>
      <w:r w:rsidRPr="00CC43CA">
        <w:rPr>
          <w:rFonts w:ascii="Arial" w:eastAsia="Helvetica" w:hAnsi="Arial" w:cs="Arial"/>
          <w:color w:val="1A1A1A"/>
        </w:rPr>
        <w:t>n recent years. This is certainly the strong impression of many informed commentators</w:t>
      </w:r>
      <w:r w:rsidR="00F7070C">
        <w:rPr>
          <w:rFonts w:ascii="Arial" w:eastAsia="Helvetica" w:hAnsi="Arial" w:cs="Arial"/>
          <w:color w:val="1A1A1A"/>
        </w:rPr>
        <w:t xml:space="preserve">, and </w:t>
      </w:r>
      <w:r w:rsidR="003D7B93" w:rsidRPr="00CC43CA">
        <w:rPr>
          <w:rFonts w:ascii="Arial" w:eastAsia="Helvetica" w:hAnsi="Arial" w:cs="Arial"/>
          <w:color w:val="1A1A1A"/>
        </w:rPr>
        <w:t xml:space="preserve">is </w:t>
      </w:r>
      <w:r w:rsidRPr="00CC43CA">
        <w:rPr>
          <w:rFonts w:ascii="Arial" w:eastAsia="Helvetica" w:hAnsi="Arial" w:cs="Arial"/>
          <w:color w:val="1A1A1A"/>
        </w:rPr>
        <w:t xml:space="preserve">also </w:t>
      </w:r>
      <w:r w:rsidR="003D7B93" w:rsidRPr="00CC43CA">
        <w:rPr>
          <w:rFonts w:ascii="Arial" w:eastAsia="Helvetica" w:hAnsi="Arial" w:cs="Arial"/>
          <w:color w:val="1A1A1A"/>
        </w:rPr>
        <w:t xml:space="preserve">based on the widespread acknowledgement of </w:t>
      </w:r>
      <w:r w:rsidR="00F7070C">
        <w:rPr>
          <w:rFonts w:ascii="Arial" w:eastAsia="Helvetica" w:hAnsi="Arial" w:cs="Arial"/>
          <w:color w:val="1A1A1A"/>
        </w:rPr>
        <w:lastRenderedPageBreak/>
        <w:t xml:space="preserve">the </w:t>
      </w:r>
      <w:r w:rsidR="003D7B93" w:rsidRPr="00CC43CA">
        <w:rPr>
          <w:rFonts w:ascii="Arial" w:eastAsia="Helvetica" w:hAnsi="Arial" w:cs="Arial"/>
          <w:color w:val="1A1A1A"/>
        </w:rPr>
        <w:t xml:space="preserve">enhanced mobility </w:t>
      </w:r>
      <w:r w:rsidR="00AE0AE7" w:rsidRPr="00CC43CA">
        <w:rPr>
          <w:rFonts w:ascii="Arial" w:eastAsia="Helvetica" w:hAnsi="Arial" w:cs="Arial"/>
          <w:color w:val="1A1A1A"/>
        </w:rPr>
        <w:t xml:space="preserve">of </w:t>
      </w:r>
      <w:r w:rsidR="003D7B93" w:rsidRPr="00CC43CA">
        <w:rPr>
          <w:rFonts w:ascii="Arial" w:eastAsia="Helvetica" w:hAnsi="Arial" w:cs="Arial"/>
          <w:color w:val="1A1A1A"/>
        </w:rPr>
        <w:t>people, goods and service</w:t>
      </w:r>
      <w:r w:rsidR="00AE0AE7" w:rsidRPr="00CC43CA">
        <w:rPr>
          <w:rFonts w:ascii="Arial" w:eastAsia="Helvetica" w:hAnsi="Arial" w:cs="Arial"/>
          <w:color w:val="1A1A1A"/>
        </w:rPr>
        <w:t>s – licit and illicit -</w:t>
      </w:r>
      <w:r w:rsidR="003D7B93" w:rsidRPr="00CC43CA">
        <w:rPr>
          <w:rFonts w:ascii="Arial" w:eastAsia="Helvetica" w:hAnsi="Arial" w:cs="Arial"/>
          <w:color w:val="1A1A1A"/>
        </w:rPr>
        <w:t xml:space="preserve"> across the globe, the speeding up of electronic communications and </w:t>
      </w:r>
      <w:r w:rsidR="008E10C5" w:rsidRPr="00CC43CA">
        <w:rPr>
          <w:rFonts w:ascii="Arial" w:eastAsia="Helvetica" w:hAnsi="Arial" w:cs="Arial"/>
          <w:color w:val="1A1A1A"/>
        </w:rPr>
        <w:t>knowledge exchange</w:t>
      </w:r>
      <w:r w:rsidR="003D7B93" w:rsidRPr="00CC43CA">
        <w:rPr>
          <w:rFonts w:ascii="Arial" w:eastAsia="Helvetica" w:hAnsi="Arial" w:cs="Arial"/>
          <w:color w:val="1A1A1A"/>
        </w:rPr>
        <w:t>, and the growth of formal governance institutions at the global and regional levels</w:t>
      </w:r>
      <w:r w:rsidR="008E10C5" w:rsidRPr="00CC43CA">
        <w:rPr>
          <w:rFonts w:ascii="Arial" w:eastAsia="Helvetica" w:hAnsi="Arial" w:cs="Arial"/>
          <w:color w:val="1A1A1A"/>
        </w:rPr>
        <w:t xml:space="preserve">. However, </w:t>
      </w:r>
      <w:r w:rsidR="00C23A36" w:rsidRPr="00CC43CA">
        <w:rPr>
          <w:rFonts w:ascii="Arial" w:eastAsia="Helvetica" w:hAnsi="Arial" w:cs="Arial"/>
          <w:color w:val="1A1A1A"/>
        </w:rPr>
        <w:t>we should</w:t>
      </w:r>
      <w:r w:rsidR="00AE0AE7" w:rsidRPr="00CC43CA">
        <w:rPr>
          <w:rFonts w:ascii="Arial" w:eastAsia="Helvetica" w:hAnsi="Arial" w:cs="Arial"/>
          <w:color w:val="1A1A1A"/>
        </w:rPr>
        <w:t xml:space="preserve"> </w:t>
      </w:r>
      <w:r w:rsidR="008E10C5" w:rsidRPr="00CC43CA">
        <w:rPr>
          <w:rFonts w:ascii="Arial" w:eastAsia="Helvetica" w:hAnsi="Arial" w:cs="Arial"/>
          <w:color w:val="1A1A1A"/>
        </w:rPr>
        <w:t>b</w:t>
      </w:r>
      <w:r w:rsidR="00AE0AE7" w:rsidRPr="00CC43CA">
        <w:rPr>
          <w:rFonts w:ascii="Arial" w:eastAsia="Helvetica" w:hAnsi="Arial" w:cs="Arial"/>
          <w:color w:val="1A1A1A"/>
        </w:rPr>
        <w:t>eware of exaggerating the extent</w:t>
      </w:r>
      <w:r w:rsidR="008E10C5" w:rsidRPr="00CC43CA">
        <w:rPr>
          <w:rFonts w:ascii="Arial" w:eastAsia="Helvetica" w:hAnsi="Arial" w:cs="Arial"/>
          <w:color w:val="1A1A1A"/>
        </w:rPr>
        <w:t xml:space="preserve"> of the phenomenon</w:t>
      </w:r>
      <w:r w:rsidR="00C23A36" w:rsidRPr="00CC43CA">
        <w:rPr>
          <w:rFonts w:ascii="Arial" w:eastAsia="Helvetica" w:hAnsi="Arial" w:cs="Arial"/>
          <w:color w:val="1A1A1A"/>
        </w:rPr>
        <w:t>, at least in terms of ‘successful’ policy transfers</w:t>
      </w:r>
      <w:r w:rsidR="009E6F73">
        <w:rPr>
          <w:rFonts w:ascii="Arial" w:eastAsia="Helvetica" w:hAnsi="Arial" w:cs="Arial"/>
          <w:color w:val="1A1A1A"/>
        </w:rPr>
        <w:t xml:space="preserve">, and critical policy studies scholars have raised </w:t>
      </w:r>
      <w:r w:rsidR="00540300" w:rsidRPr="00CC43CA">
        <w:rPr>
          <w:rFonts w:ascii="Arial" w:eastAsia="Helvetica" w:hAnsi="Arial" w:cs="Arial"/>
          <w:color w:val="1A1A1A"/>
        </w:rPr>
        <w:t>concerns about</w:t>
      </w:r>
      <w:r w:rsidR="008E10C5" w:rsidRPr="00CC43CA">
        <w:rPr>
          <w:rFonts w:ascii="Arial" w:eastAsia="Helvetica" w:hAnsi="Arial" w:cs="Arial"/>
          <w:color w:val="1A1A1A"/>
        </w:rPr>
        <w:t xml:space="preserve"> the ‘fetishisation’ of</w:t>
      </w:r>
      <w:r w:rsidR="00697E16" w:rsidRPr="00CC43CA">
        <w:rPr>
          <w:rFonts w:ascii="Arial" w:eastAsia="Helvetica" w:hAnsi="Arial" w:cs="Arial"/>
          <w:color w:val="1A1A1A"/>
        </w:rPr>
        <w:t xml:space="preserve"> mobility based on the selection</w:t>
      </w:r>
      <w:r w:rsidR="008E10C5" w:rsidRPr="00CC43CA">
        <w:rPr>
          <w:rFonts w:ascii="Arial" w:eastAsia="Helvetica" w:hAnsi="Arial" w:cs="Arial"/>
          <w:color w:val="1A1A1A"/>
        </w:rPr>
        <w:t xml:space="preserve"> of particular high profile examples of ‘mobile’ policies as the focus for empirical study</w:t>
      </w:r>
      <w:r w:rsidR="00697E16" w:rsidRPr="00CC43CA">
        <w:rPr>
          <w:rFonts w:ascii="Arial" w:eastAsia="Helvetica" w:hAnsi="Arial" w:cs="Arial"/>
          <w:color w:val="1A1A1A"/>
        </w:rPr>
        <w:t>.</w:t>
      </w:r>
      <w:r w:rsidR="006714E3">
        <w:rPr>
          <w:rStyle w:val="FootnoteReference"/>
          <w:rFonts w:ascii="Arial" w:eastAsia="Helvetica" w:hAnsi="Arial" w:cs="Arial"/>
          <w:color w:val="1A1A1A"/>
        </w:rPr>
        <w:footnoteReference w:id="14"/>
      </w:r>
      <w:r w:rsidR="00697E16" w:rsidRPr="00CC43CA">
        <w:rPr>
          <w:rFonts w:ascii="Arial" w:eastAsia="Helvetica" w:hAnsi="Arial" w:cs="Arial"/>
          <w:color w:val="1A1A1A"/>
        </w:rPr>
        <w:t xml:space="preserve"> Such approaches fail to acknowledge the numerous </w:t>
      </w:r>
      <w:r w:rsidR="008E10C5" w:rsidRPr="00CC43CA">
        <w:rPr>
          <w:rFonts w:ascii="Arial" w:eastAsia="Helvetica" w:hAnsi="Arial" w:cs="Arial"/>
          <w:color w:val="1A1A1A"/>
        </w:rPr>
        <w:t>examples of failed or not</w:t>
      </w:r>
      <w:r w:rsidR="00E57F7B" w:rsidRPr="00CC43CA">
        <w:rPr>
          <w:rFonts w:ascii="Arial" w:eastAsia="Helvetica" w:hAnsi="Arial" w:cs="Arial"/>
          <w:color w:val="1A1A1A"/>
        </w:rPr>
        <w:t>-even-attempted transfer, as well as</w:t>
      </w:r>
      <w:r w:rsidR="00697E16" w:rsidRPr="00CC43CA">
        <w:rPr>
          <w:rFonts w:ascii="Arial" w:eastAsia="Helvetica" w:hAnsi="Arial" w:cs="Arial"/>
          <w:color w:val="1A1A1A"/>
        </w:rPr>
        <w:t xml:space="preserve"> the</w:t>
      </w:r>
      <w:r w:rsidR="008E10C5" w:rsidRPr="00CC43CA">
        <w:rPr>
          <w:rFonts w:ascii="Arial" w:eastAsia="Helvetica" w:hAnsi="Arial" w:cs="Arial"/>
          <w:color w:val="1A1A1A"/>
        </w:rPr>
        <w:t xml:space="preserve"> local and national policies that develop in blissful ignorance of similar developments elsewhere. </w:t>
      </w:r>
      <w:r w:rsidR="00A06C43" w:rsidRPr="00CC43CA">
        <w:rPr>
          <w:rFonts w:ascii="Arial" w:eastAsia="Helvetica" w:hAnsi="Arial" w:cs="Arial"/>
          <w:color w:val="1A1A1A"/>
        </w:rPr>
        <w:t>Furthermore,</w:t>
      </w:r>
      <w:r w:rsidR="00697E16" w:rsidRPr="00CC43CA">
        <w:rPr>
          <w:rFonts w:ascii="Arial" w:eastAsia="Helvetica" w:hAnsi="Arial" w:cs="Arial"/>
          <w:color w:val="1A1A1A"/>
        </w:rPr>
        <w:t xml:space="preserve"> it is worth noting how</w:t>
      </w:r>
      <w:r w:rsidR="00A06C43" w:rsidRPr="00CC43CA">
        <w:rPr>
          <w:rFonts w:ascii="Arial" w:eastAsia="Helvetica" w:hAnsi="Arial" w:cs="Arial"/>
          <w:color w:val="1A1A1A"/>
        </w:rPr>
        <w:t xml:space="preserve"> empirical s</w:t>
      </w:r>
      <w:r w:rsidR="00F02C21" w:rsidRPr="00CC43CA">
        <w:rPr>
          <w:rFonts w:ascii="Arial" w:eastAsia="Helvetica" w:hAnsi="Arial" w:cs="Arial"/>
          <w:color w:val="1A1A1A"/>
        </w:rPr>
        <w:t xml:space="preserve">tudies of crime policy transfer have emphasized the difficulty of policy transfer between national contexts. </w:t>
      </w:r>
      <w:r w:rsidR="00C23A36" w:rsidRPr="00CC43CA">
        <w:rPr>
          <w:rFonts w:ascii="Arial" w:eastAsia="Helvetica" w:hAnsi="Arial" w:cs="Arial"/>
          <w:color w:val="1A1A1A"/>
        </w:rPr>
        <w:t>As Tonry notes, despite the undoubted globalising pressures within the fields of crime control, security and justice</w:t>
      </w:r>
      <w:r w:rsidR="00E159C5" w:rsidRPr="00CC43CA">
        <w:rPr>
          <w:rFonts w:ascii="Arial" w:eastAsia="Helvetica" w:hAnsi="Arial" w:cs="Arial"/>
          <w:color w:val="1A1A1A"/>
        </w:rPr>
        <w:t xml:space="preserve"> and the related transfer activities</w:t>
      </w:r>
      <w:r w:rsidR="00C23A36" w:rsidRPr="00CC43CA">
        <w:rPr>
          <w:rFonts w:ascii="Arial" w:eastAsia="Helvetica" w:hAnsi="Arial" w:cs="Arial"/>
          <w:color w:val="1A1A1A"/>
        </w:rPr>
        <w:t>, ‘[i]n practice, remarkably little policy transfer takes place’.</w:t>
      </w:r>
      <w:r w:rsidR="006714E3">
        <w:rPr>
          <w:rStyle w:val="FootnoteReference"/>
          <w:rFonts w:ascii="Arial" w:eastAsia="Helvetica" w:hAnsi="Arial" w:cs="Arial"/>
          <w:color w:val="1A1A1A"/>
        </w:rPr>
        <w:footnoteReference w:id="15"/>
      </w:r>
      <w:r w:rsidR="00C23A36" w:rsidRPr="00CC43CA">
        <w:rPr>
          <w:rFonts w:ascii="Arial" w:eastAsia="Helvetica" w:hAnsi="Arial" w:cs="Arial"/>
          <w:color w:val="1A1A1A"/>
        </w:rPr>
        <w:t xml:space="preserve"> </w:t>
      </w:r>
      <w:r w:rsidR="00F02C21" w:rsidRPr="00CC43CA">
        <w:rPr>
          <w:rFonts w:ascii="Arial" w:eastAsia="Helvetica" w:hAnsi="Arial" w:cs="Arial"/>
          <w:color w:val="1A1A1A"/>
        </w:rPr>
        <w:t>Even when focusing</w:t>
      </w:r>
      <w:r w:rsidR="00697E16" w:rsidRPr="00CC43CA">
        <w:rPr>
          <w:rFonts w:ascii="Arial" w:eastAsia="Helvetica" w:hAnsi="Arial" w:cs="Arial"/>
          <w:color w:val="1A1A1A"/>
        </w:rPr>
        <w:t xml:space="preserve"> on high profile examples of </w:t>
      </w:r>
      <w:r w:rsidR="00E57F7B" w:rsidRPr="00CC43CA">
        <w:rPr>
          <w:rFonts w:ascii="Arial" w:eastAsia="Helvetica" w:hAnsi="Arial" w:cs="Arial"/>
          <w:color w:val="1A1A1A"/>
        </w:rPr>
        <w:t xml:space="preserve">policy developments </w:t>
      </w:r>
      <w:r w:rsidR="00F02C21" w:rsidRPr="00CC43CA">
        <w:rPr>
          <w:rFonts w:ascii="Arial" w:eastAsia="Helvetica" w:hAnsi="Arial" w:cs="Arial"/>
          <w:color w:val="1A1A1A"/>
        </w:rPr>
        <w:t>widely perceived as ha</w:t>
      </w:r>
      <w:r w:rsidR="00697E16" w:rsidRPr="00CC43CA">
        <w:rPr>
          <w:rFonts w:ascii="Arial" w:eastAsia="Helvetica" w:hAnsi="Arial" w:cs="Arial"/>
          <w:color w:val="1A1A1A"/>
        </w:rPr>
        <w:t>ving been the outcome</w:t>
      </w:r>
      <w:r w:rsidR="00E57F7B" w:rsidRPr="00CC43CA">
        <w:rPr>
          <w:rFonts w:ascii="Arial" w:eastAsia="Helvetica" w:hAnsi="Arial" w:cs="Arial"/>
          <w:color w:val="1A1A1A"/>
        </w:rPr>
        <w:t xml:space="preserve"> of cross national transfer,</w:t>
      </w:r>
      <w:r w:rsidR="00697E16" w:rsidRPr="00CC43CA">
        <w:rPr>
          <w:rFonts w:ascii="Arial" w:eastAsia="Helvetica" w:hAnsi="Arial" w:cs="Arial"/>
          <w:color w:val="1A1A1A"/>
        </w:rPr>
        <w:t xml:space="preserve"> empirical evide</w:t>
      </w:r>
      <w:r w:rsidR="00CF44E3" w:rsidRPr="00CC43CA">
        <w:rPr>
          <w:rFonts w:ascii="Arial" w:eastAsia="Helvetica" w:hAnsi="Arial" w:cs="Arial"/>
          <w:color w:val="1A1A1A"/>
        </w:rPr>
        <w:t>nce suggests that transfer is n</w:t>
      </w:r>
      <w:r w:rsidR="00697E16" w:rsidRPr="00CC43CA">
        <w:rPr>
          <w:rFonts w:ascii="Arial" w:eastAsia="Helvetica" w:hAnsi="Arial" w:cs="Arial"/>
          <w:color w:val="1A1A1A"/>
        </w:rPr>
        <w:t>ever a straightforward matter of ‘importing’ off-the-shelf policy models from elsewhere. Actual examples of ‘s</w:t>
      </w:r>
      <w:r w:rsidR="00131184" w:rsidRPr="00CC43CA">
        <w:rPr>
          <w:rFonts w:ascii="Arial" w:eastAsia="Helvetica" w:hAnsi="Arial" w:cs="Arial"/>
          <w:color w:val="1A1A1A"/>
        </w:rPr>
        <w:t>uccessful</w:t>
      </w:r>
      <w:r w:rsidR="00697E16" w:rsidRPr="00CC43CA">
        <w:rPr>
          <w:rFonts w:ascii="Arial" w:eastAsia="Helvetica" w:hAnsi="Arial" w:cs="Arial"/>
          <w:color w:val="1A1A1A"/>
        </w:rPr>
        <w:t>’ replication</w:t>
      </w:r>
      <w:r w:rsidR="00131184" w:rsidRPr="00CC43CA">
        <w:rPr>
          <w:rFonts w:ascii="Arial" w:eastAsia="Helvetica" w:hAnsi="Arial" w:cs="Arial"/>
          <w:color w:val="1A1A1A"/>
        </w:rPr>
        <w:t xml:space="preserve"> of concrete policies and practices</w:t>
      </w:r>
      <w:r w:rsidR="00697E16" w:rsidRPr="00CC43CA">
        <w:rPr>
          <w:rFonts w:ascii="Arial" w:eastAsia="Helvetica" w:hAnsi="Arial" w:cs="Arial"/>
          <w:color w:val="1A1A1A"/>
        </w:rPr>
        <w:t xml:space="preserve"> are </w:t>
      </w:r>
      <w:r w:rsidR="00032A55">
        <w:rPr>
          <w:rFonts w:ascii="Arial" w:eastAsia="Helvetica" w:hAnsi="Arial" w:cs="Arial"/>
          <w:color w:val="1A1A1A"/>
        </w:rPr>
        <w:t>rare</w:t>
      </w:r>
      <w:r w:rsidR="00F02C21" w:rsidRPr="00CC43CA">
        <w:rPr>
          <w:rFonts w:ascii="Arial" w:eastAsia="Helvetica" w:hAnsi="Arial" w:cs="Arial"/>
          <w:color w:val="1A1A1A"/>
        </w:rPr>
        <w:t>.</w:t>
      </w:r>
      <w:r w:rsidR="006714E3">
        <w:rPr>
          <w:rStyle w:val="FootnoteReference"/>
          <w:rFonts w:ascii="Arial" w:eastAsia="Helvetica" w:hAnsi="Arial" w:cs="Arial"/>
          <w:color w:val="1A1A1A"/>
        </w:rPr>
        <w:footnoteReference w:id="16"/>
      </w:r>
      <w:r w:rsidR="00697E16" w:rsidRPr="00CC43CA">
        <w:rPr>
          <w:rFonts w:ascii="Arial" w:eastAsia="Helvetica" w:hAnsi="Arial" w:cs="Arial"/>
          <w:color w:val="1A1A1A"/>
        </w:rPr>
        <w:t xml:space="preserve"> </w:t>
      </w:r>
      <w:r w:rsidR="00697E16" w:rsidRPr="00CC43CA">
        <w:rPr>
          <w:rFonts w:ascii="Arial" w:eastAsia="Helvetica" w:hAnsi="Arial" w:cs="Arial"/>
          <w:i/>
          <w:color w:val="1A1A1A"/>
        </w:rPr>
        <w:t>Contra</w:t>
      </w:r>
      <w:r w:rsidR="00697E16" w:rsidRPr="00CC43CA">
        <w:rPr>
          <w:rFonts w:ascii="Arial" w:eastAsia="Helvetica" w:hAnsi="Arial" w:cs="Arial"/>
          <w:color w:val="1A1A1A"/>
        </w:rPr>
        <w:t xml:space="preserve"> some of the later arguments of policy mobilities scholars, these and other studies</w:t>
      </w:r>
      <w:r w:rsidR="00E57F7B" w:rsidRPr="00CC43CA">
        <w:rPr>
          <w:rFonts w:ascii="Arial" w:eastAsia="Helvetica" w:hAnsi="Arial" w:cs="Arial"/>
          <w:color w:val="1A1A1A"/>
        </w:rPr>
        <w:t>,</w:t>
      </w:r>
      <w:r w:rsidR="00697E16" w:rsidRPr="00CC43CA">
        <w:rPr>
          <w:rFonts w:ascii="Arial" w:eastAsia="Helvetica" w:hAnsi="Arial" w:cs="Arial"/>
          <w:color w:val="1A1A1A"/>
        </w:rPr>
        <w:t xml:space="preserve"> rooted firmly in political science approac</w:t>
      </w:r>
      <w:r w:rsidR="00E57F7B" w:rsidRPr="00CC43CA">
        <w:rPr>
          <w:rFonts w:ascii="Arial" w:eastAsia="Helvetica" w:hAnsi="Arial" w:cs="Arial"/>
          <w:color w:val="1A1A1A"/>
        </w:rPr>
        <w:t>hes, emphasise the profound complexity and contingency of policy transfer processes. They suggest that policies rarely if ever travel as ‘complete packages’, are shaped by a variety of actors operating at different levels in the system, and provide sharp illustrations of how particular policies</w:t>
      </w:r>
      <w:r w:rsidR="00DC4084" w:rsidRPr="00CC43CA">
        <w:rPr>
          <w:rFonts w:ascii="Arial" w:eastAsia="Helvetica" w:hAnsi="Arial" w:cs="Arial"/>
          <w:color w:val="1A1A1A"/>
        </w:rPr>
        <w:t xml:space="preserve"> mutate and change shape when introduced i</w:t>
      </w:r>
      <w:r w:rsidR="00E57F7B" w:rsidRPr="00CC43CA">
        <w:rPr>
          <w:rFonts w:ascii="Arial" w:eastAsia="Helvetica" w:hAnsi="Arial" w:cs="Arial"/>
          <w:color w:val="1A1A1A"/>
        </w:rPr>
        <w:t>nto different contexts from those</w:t>
      </w:r>
      <w:r w:rsidR="00DC4084" w:rsidRPr="00CC43CA">
        <w:rPr>
          <w:rFonts w:ascii="Arial" w:eastAsia="Helvetica" w:hAnsi="Arial" w:cs="Arial"/>
          <w:color w:val="1A1A1A"/>
        </w:rPr>
        <w:t xml:space="preserve"> in which they developed.</w:t>
      </w:r>
      <w:r w:rsidR="006714E3">
        <w:rPr>
          <w:rStyle w:val="FootnoteReference"/>
          <w:rFonts w:ascii="Arial" w:eastAsia="Helvetica" w:hAnsi="Arial" w:cs="Arial"/>
          <w:color w:val="1A1A1A"/>
        </w:rPr>
        <w:footnoteReference w:id="17"/>
      </w:r>
      <w:r w:rsidR="00F02C21" w:rsidRPr="00CC43CA">
        <w:rPr>
          <w:rFonts w:ascii="Arial" w:eastAsia="Helvetica" w:hAnsi="Arial" w:cs="Arial"/>
          <w:color w:val="1A1A1A"/>
        </w:rPr>
        <w:t xml:space="preserve"> </w:t>
      </w:r>
    </w:p>
    <w:p w14:paraId="7D5792CD" w14:textId="23A7BB2F" w:rsidR="00131184" w:rsidRPr="00CC43CA" w:rsidRDefault="00131184" w:rsidP="00F30E5E">
      <w:pPr>
        <w:spacing w:after="0" w:line="276" w:lineRule="auto"/>
        <w:rPr>
          <w:rFonts w:ascii="Arial" w:eastAsia="Helvetica" w:hAnsi="Arial" w:cs="Arial"/>
          <w:color w:val="1A1A1A"/>
        </w:rPr>
      </w:pPr>
    </w:p>
    <w:p w14:paraId="74C4C586" w14:textId="4F875F53" w:rsidR="00131184" w:rsidRPr="00CC43CA" w:rsidRDefault="00FB6999" w:rsidP="00F30E5E">
      <w:pPr>
        <w:spacing w:after="0" w:line="276" w:lineRule="auto"/>
        <w:rPr>
          <w:rFonts w:ascii="Arial" w:eastAsia="Helvetica" w:hAnsi="Arial" w:cs="Arial"/>
          <w:b/>
          <w:i/>
          <w:color w:val="1A1A1A"/>
        </w:rPr>
      </w:pPr>
      <w:r>
        <w:rPr>
          <w:rFonts w:ascii="Arial" w:eastAsia="Helvetica" w:hAnsi="Arial" w:cs="Arial"/>
          <w:b/>
          <w:i/>
          <w:color w:val="1A1A1A"/>
        </w:rPr>
        <w:t xml:space="preserve">3. </w:t>
      </w:r>
      <w:r w:rsidR="00A74B9A" w:rsidRPr="00CC43CA">
        <w:rPr>
          <w:rFonts w:ascii="Arial" w:eastAsia="Helvetica" w:hAnsi="Arial" w:cs="Arial"/>
          <w:b/>
          <w:i/>
          <w:color w:val="1A1A1A"/>
        </w:rPr>
        <w:t>How are policies transferred?</w:t>
      </w:r>
      <w:r w:rsidR="00131184" w:rsidRPr="00CC43CA">
        <w:rPr>
          <w:rFonts w:ascii="Arial" w:eastAsia="Helvetica" w:hAnsi="Arial" w:cs="Arial"/>
          <w:b/>
          <w:i/>
          <w:color w:val="1A1A1A"/>
        </w:rPr>
        <w:t xml:space="preserve"> </w:t>
      </w:r>
    </w:p>
    <w:p w14:paraId="047BA5C4" w14:textId="77777777" w:rsidR="001339CE" w:rsidRDefault="00071CF3" w:rsidP="00F30E5E">
      <w:pPr>
        <w:spacing w:after="0" w:line="276" w:lineRule="auto"/>
        <w:rPr>
          <w:rFonts w:ascii="Arial" w:eastAsia="Helvetica" w:hAnsi="Arial" w:cs="Arial"/>
          <w:color w:val="1A1A1A"/>
        </w:rPr>
      </w:pPr>
      <w:r w:rsidRPr="00CC43CA">
        <w:rPr>
          <w:rFonts w:ascii="Arial" w:eastAsia="Helvetica" w:hAnsi="Arial" w:cs="Arial"/>
          <w:color w:val="1A1A1A"/>
        </w:rPr>
        <w:t xml:space="preserve">Within the broader literature on policy transfer and diffusion, </w:t>
      </w:r>
      <w:r w:rsidR="00E6766A">
        <w:rPr>
          <w:rFonts w:ascii="Arial" w:eastAsia="Helvetica" w:hAnsi="Arial" w:cs="Arial"/>
          <w:color w:val="1A1A1A"/>
        </w:rPr>
        <w:t xml:space="preserve">and in relation to </w:t>
      </w:r>
      <w:r w:rsidR="00E6766A" w:rsidRPr="00CC43CA">
        <w:rPr>
          <w:rFonts w:ascii="Arial" w:eastAsia="Helvetica" w:hAnsi="Arial" w:cs="Arial"/>
          <w:color w:val="1A1A1A"/>
        </w:rPr>
        <w:t>crime, security and justice</w:t>
      </w:r>
      <w:r w:rsidR="00E6766A">
        <w:rPr>
          <w:rFonts w:ascii="Arial" w:eastAsia="Helvetica" w:hAnsi="Arial" w:cs="Arial"/>
          <w:color w:val="1A1A1A"/>
        </w:rPr>
        <w:t xml:space="preserve">, </w:t>
      </w:r>
      <w:r w:rsidRPr="00CC43CA">
        <w:rPr>
          <w:rFonts w:ascii="Arial" w:eastAsia="Helvetica" w:hAnsi="Arial" w:cs="Arial"/>
          <w:color w:val="1A1A1A"/>
        </w:rPr>
        <w:t>four main mechanisms have been identified</w:t>
      </w:r>
      <w:r w:rsidR="00E6766A">
        <w:rPr>
          <w:rFonts w:ascii="Arial" w:eastAsia="Helvetica" w:hAnsi="Arial" w:cs="Arial"/>
          <w:color w:val="1A1A1A"/>
        </w:rPr>
        <w:t>:</w:t>
      </w:r>
      <w:r w:rsidR="009D46D5">
        <w:rPr>
          <w:rStyle w:val="FootnoteReference"/>
          <w:rFonts w:ascii="Arial" w:eastAsia="Helvetica" w:hAnsi="Arial" w:cs="Arial"/>
          <w:color w:val="1A1A1A"/>
        </w:rPr>
        <w:footnoteReference w:id="18"/>
      </w:r>
      <w:r w:rsidRPr="00CC43CA">
        <w:rPr>
          <w:rFonts w:ascii="Arial" w:eastAsia="Helvetica" w:hAnsi="Arial" w:cs="Arial"/>
          <w:color w:val="1A1A1A"/>
        </w:rPr>
        <w:t xml:space="preserve"> learning, competition, coercion</w:t>
      </w:r>
      <w:r w:rsidR="00B10867">
        <w:rPr>
          <w:rFonts w:ascii="Arial" w:eastAsia="Helvetica" w:hAnsi="Arial" w:cs="Arial"/>
          <w:color w:val="1A1A1A"/>
        </w:rPr>
        <w:t xml:space="preserve"> and </w:t>
      </w:r>
      <w:r w:rsidR="00B10867" w:rsidRPr="00CC43CA">
        <w:rPr>
          <w:rFonts w:ascii="Arial" w:eastAsia="Helvetica" w:hAnsi="Arial" w:cs="Arial"/>
          <w:color w:val="1A1A1A"/>
        </w:rPr>
        <w:t>mimicry</w:t>
      </w:r>
      <w:r w:rsidRPr="00CC43CA">
        <w:rPr>
          <w:rFonts w:ascii="Arial" w:eastAsia="Helvetica" w:hAnsi="Arial" w:cs="Arial"/>
          <w:color w:val="1A1A1A"/>
        </w:rPr>
        <w:t>.</w:t>
      </w:r>
    </w:p>
    <w:p w14:paraId="5F712D7A" w14:textId="13EA85E1" w:rsidR="005F7AE5" w:rsidRPr="00CC43CA" w:rsidRDefault="005F7AE5" w:rsidP="00F30E5E">
      <w:pPr>
        <w:spacing w:after="0" w:line="276" w:lineRule="auto"/>
        <w:rPr>
          <w:rFonts w:ascii="Arial" w:eastAsia="Helvetica" w:hAnsi="Arial" w:cs="Arial"/>
          <w:color w:val="1A1A1A"/>
        </w:rPr>
      </w:pPr>
    </w:p>
    <w:p w14:paraId="271EB313" w14:textId="721C120E" w:rsidR="005F7AE5" w:rsidRPr="00A30CE7" w:rsidRDefault="00FB6999" w:rsidP="00F30E5E">
      <w:pPr>
        <w:spacing w:after="0" w:line="276" w:lineRule="auto"/>
        <w:rPr>
          <w:rFonts w:ascii="Arial" w:eastAsia="Helvetica" w:hAnsi="Arial" w:cs="Arial"/>
          <w:i/>
          <w:iCs/>
          <w:color w:val="1A1A1A"/>
        </w:rPr>
      </w:pPr>
      <w:r>
        <w:rPr>
          <w:rFonts w:ascii="Arial" w:eastAsia="Helvetica" w:hAnsi="Arial" w:cs="Arial"/>
          <w:i/>
          <w:iCs/>
          <w:color w:val="1A1A1A"/>
        </w:rPr>
        <w:t xml:space="preserve">(a) </w:t>
      </w:r>
      <w:r w:rsidR="005F7AE5" w:rsidRPr="00A30CE7">
        <w:rPr>
          <w:rFonts w:ascii="Arial" w:eastAsia="Helvetica" w:hAnsi="Arial" w:cs="Arial"/>
          <w:i/>
          <w:iCs/>
          <w:color w:val="1A1A1A"/>
        </w:rPr>
        <w:t>Learning</w:t>
      </w:r>
    </w:p>
    <w:p w14:paraId="514A9A79" w14:textId="77777777" w:rsidR="001339CE" w:rsidRDefault="005F7AE5" w:rsidP="009473D2">
      <w:pPr>
        <w:spacing w:after="0" w:line="276" w:lineRule="auto"/>
        <w:rPr>
          <w:rFonts w:ascii="Arial" w:eastAsia="Helvetica" w:hAnsi="Arial" w:cs="Arial"/>
          <w:color w:val="1A1A1A"/>
        </w:rPr>
      </w:pPr>
      <w:r w:rsidRPr="00CC43CA">
        <w:rPr>
          <w:rFonts w:ascii="Arial" w:eastAsia="Helvetica" w:hAnsi="Arial" w:cs="Arial"/>
          <w:color w:val="1A1A1A"/>
        </w:rPr>
        <w:t>A key theme within work on crime (and by extension, security and justice) policy transfer has been the detailed examination of cases fr</w:t>
      </w:r>
      <w:r w:rsidR="004B0A63" w:rsidRPr="00CC43CA">
        <w:rPr>
          <w:rFonts w:ascii="Arial" w:eastAsia="Helvetica" w:hAnsi="Arial" w:cs="Arial"/>
          <w:color w:val="1A1A1A"/>
        </w:rPr>
        <w:t>o</w:t>
      </w:r>
      <w:r w:rsidR="00D81B3B" w:rsidRPr="00CC43CA">
        <w:rPr>
          <w:rFonts w:ascii="Arial" w:eastAsia="Helvetica" w:hAnsi="Arial" w:cs="Arial"/>
          <w:color w:val="1A1A1A"/>
        </w:rPr>
        <w:t xml:space="preserve">m the ‘voluntary’ end of the continuum in which policy actors </w:t>
      </w:r>
      <w:r w:rsidRPr="00CC43CA">
        <w:rPr>
          <w:rFonts w:ascii="Arial" w:eastAsia="Helvetica" w:hAnsi="Arial" w:cs="Arial"/>
          <w:color w:val="1A1A1A"/>
        </w:rPr>
        <w:t xml:space="preserve">appear to </w:t>
      </w:r>
      <w:r w:rsidR="00D81B3B" w:rsidRPr="00CC43CA">
        <w:rPr>
          <w:rFonts w:ascii="Arial" w:eastAsia="Helvetica" w:hAnsi="Arial" w:cs="Arial"/>
          <w:color w:val="1A1A1A"/>
        </w:rPr>
        <w:t xml:space="preserve">have actively sought to learn from elsewhere, or, alternatively, to ‘export’ their policy ideas and innovations beyond their </w:t>
      </w:r>
      <w:r w:rsidR="00D81B3B" w:rsidRPr="00CC43CA">
        <w:rPr>
          <w:rFonts w:ascii="Arial" w:eastAsia="Helvetica" w:hAnsi="Arial" w:cs="Arial"/>
          <w:color w:val="1A1A1A"/>
        </w:rPr>
        <w:lastRenderedPageBreak/>
        <w:t>places of origin.</w:t>
      </w:r>
      <w:r w:rsidRPr="00CC43CA">
        <w:rPr>
          <w:rFonts w:ascii="Arial" w:eastAsia="Helvetica" w:hAnsi="Arial" w:cs="Arial"/>
          <w:color w:val="1A1A1A"/>
        </w:rPr>
        <w:t xml:space="preserve"> For example, o</w:t>
      </w:r>
      <w:r w:rsidR="00D81B3B" w:rsidRPr="00CC43CA">
        <w:rPr>
          <w:rFonts w:ascii="Arial" w:eastAsia="Helvetica" w:hAnsi="Arial" w:cs="Arial"/>
          <w:color w:val="1A1A1A"/>
        </w:rPr>
        <w:t>ur work on the extent to which ideas associated with ‘zero tolerance policing’ crossed the Atlantic from New York to the UK documented the very significant amount of self-conscious transfer activity that was involved</w:t>
      </w:r>
      <w:r w:rsidR="00071CF3" w:rsidRPr="00CC43CA">
        <w:rPr>
          <w:rFonts w:ascii="Arial" w:eastAsia="Helvetica" w:hAnsi="Arial" w:cs="Arial"/>
          <w:color w:val="1A1A1A"/>
        </w:rPr>
        <w:t>.</w:t>
      </w:r>
      <w:r w:rsidR="009D46D5">
        <w:rPr>
          <w:rStyle w:val="FootnoteReference"/>
          <w:rFonts w:ascii="Arial" w:eastAsia="Helvetica" w:hAnsi="Arial" w:cs="Arial"/>
          <w:color w:val="1A1A1A"/>
        </w:rPr>
        <w:footnoteReference w:id="19"/>
      </w:r>
      <w:r w:rsidR="009D46D5">
        <w:rPr>
          <w:rFonts w:ascii="Arial" w:eastAsia="Helvetica" w:hAnsi="Arial" w:cs="Arial"/>
          <w:color w:val="1A1A1A"/>
        </w:rPr>
        <w:t xml:space="preserve"> </w:t>
      </w:r>
      <w:r w:rsidR="00D81B3B" w:rsidRPr="00CC43CA">
        <w:rPr>
          <w:rFonts w:ascii="Arial" w:eastAsia="Helvetica" w:hAnsi="Arial" w:cs="Arial"/>
          <w:color w:val="1A1A1A"/>
        </w:rPr>
        <w:t xml:space="preserve">The recent history of crime control policies in Western developed democracies provides many examples of attempts to </w:t>
      </w:r>
      <w:r w:rsidR="001672B1">
        <w:rPr>
          <w:rFonts w:ascii="Arial" w:eastAsia="Helvetica" w:hAnsi="Arial" w:cs="Arial"/>
          <w:color w:val="1A1A1A"/>
        </w:rPr>
        <w:t xml:space="preserve">import/export </w:t>
      </w:r>
      <w:r w:rsidRPr="00CC43CA">
        <w:rPr>
          <w:rFonts w:ascii="Arial" w:eastAsia="Helvetica" w:hAnsi="Arial" w:cs="Arial"/>
          <w:color w:val="1A1A1A"/>
        </w:rPr>
        <w:t xml:space="preserve">elements of high profile </w:t>
      </w:r>
      <w:r w:rsidR="00B86372" w:rsidRPr="00CC43CA">
        <w:rPr>
          <w:rFonts w:ascii="Arial" w:eastAsia="Helvetica" w:hAnsi="Arial" w:cs="Arial"/>
          <w:color w:val="1A1A1A"/>
        </w:rPr>
        <w:t>policy innovations</w:t>
      </w:r>
      <w:r w:rsidR="00D81B3B" w:rsidRPr="00CC43CA">
        <w:rPr>
          <w:rFonts w:ascii="Arial" w:eastAsia="Helvetica" w:hAnsi="Arial" w:cs="Arial"/>
          <w:color w:val="1A1A1A"/>
        </w:rPr>
        <w:t xml:space="preserve">, including </w:t>
      </w:r>
      <w:r w:rsidR="00071CF3" w:rsidRPr="00CC43CA">
        <w:rPr>
          <w:rFonts w:ascii="Arial" w:eastAsia="Helvetica" w:hAnsi="Arial" w:cs="Arial"/>
          <w:color w:val="1A1A1A"/>
        </w:rPr>
        <w:t>‘Justice Reinvestment’</w:t>
      </w:r>
      <w:r w:rsidR="001514F8">
        <w:rPr>
          <w:rFonts w:ascii="Arial" w:eastAsia="Helvetica" w:hAnsi="Arial" w:cs="Arial"/>
          <w:color w:val="1A1A1A"/>
        </w:rPr>
        <w:t>,</w:t>
      </w:r>
      <w:r w:rsidR="009D46D5">
        <w:rPr>
          <w:rStyle w:val="FootnoteReference"/>
          <w:rFonts w:ascii="Arial" w:eastAsia="Helvetica" w:hAnsi="Arial" w:cs="Arial"/>
          <w:color w:val="1A1A1A"/>
        </w:rPr>
        <w:footnoteReference w:id="20"/>
      </w:r>
      <w:r w:rsidR="00071CF3" w:rsidRPr="00CC43CA">
        <w:rPr>
          <w:rFonts w:ascii="Arial" w:eastAsia="Helvetica" w:hAnsi="Arial" w:cs="Arial"/>
          <w:color w:val="1A1A1A"/>
        </w:rPr>
        <w:t xml:space="preserve"> </w:t>
      </w:r>
      <w:r w:rsidR="00D81B3B" w:rsidRPr="00CC43CA">
        <w:rPr>
          <w:rFonts w:ascii="Arial" w:eastAsia="Helvetica" w:hAnsi="Arial" w:cs="Arial"/>
          <w:color w:val="1A1A1A"/>
        </w:rPr>
        <w:t>drugs courts</w:t>
      </w:r>
      <w:r w:rsidR="001514F8">
        <w:rPr>
          <w:rFonts w:ascii="Arial" w:eastAsia="Helvetica" w:hAnsi="Arial" w:cs="Arial"/>
          <w:color w:val="1A1A1A"/>
        </w:rPr>
        <w:t>,</w:t>
      </w:r>
      <w:r w:rsidR="009D46D5">
        <w:rPr>
          <w:rStyle w:val="FootnoteReference"/>
          <w:rFonts w:ascii="Arial" w:eastAsia="Helvetica" w:hAnsi="Arial" w:cs="Arial"/>
          <w:color w:val="1A1A1A"/>
        </w:rPr>
        <w:footnoteReference w:id="21"/>
      </w:r>
      <w:r w:rsidR="00D81B3B" w:rsidRPr="00CC43CA">
        <w:rPr>
          <w:rFonts w:ascii="Arial" w:eastAsia="Helvetica" w:hAnsi="Arial" w:cs="Arial"/>
          <w:color w:val="1A1A1A"/>
        </w:rPr>
        <w:t xml:space="preserve"> electronic monitoring</w:t>
      </w:r>
      <w:r w:rsidR="001514F8">
        <w:rPr>
          <w:rFonts w:ascii="Arial" w:eastAsia="Helvetica" w:hAnsi="Arial" w:cs="Arial"/>
          <w:color w:val="1A1A1A"/>
        </w:rPr>
        <w:t>,</w:t>
      </w:r>
      <w:r w:rsidR="009D46D5">
        <w:rPr>
          <w:rStyle w:val="FootnoteReference"/>
          <w:rFonts w:ascii="Arial" w:eastAsia="Helvetica" w:hAnsi="Arial" w:cs="Arial"/>
          <w:color w:val="1A1A1A"/>
        </w:rPr>
        <w:footnoteReference w:id="22"/>
      </w:r>
      <w:r w:rsidR="00D81B3B" w:rsidRPr="00CC43CA">
        <w:rPr>
          <w:rFonts w:ascii="Arial" w:eastAsia="Helvetica" w:hAnsi="Arial" w:cs="Arial"/>
          <w:color w:val="1A1A1A"/>
        </w:rPr>
        <w:t xml:space="preserve"> restorative justice</w:t>
      </w:r>
      <w:r w:rsidR="001514F8">
        <w:rPr>
          <w:rFonts w:ascii="Arial" w:eastAsia="Helvetica" w:hAnsi="Arial" w:cs="Arial"/>
          <w:color w:val="1A1A1A"/>
        </w:rPr>
        <w:t>,</w:t>
      </w:r>
      <w:r w:rsidR="009D46D5">
        <w:rPr>
          <w:rStyle w:val="FootnoteReference"/>
          <w:rFonts w:ascii="Arial" w:eastAsia="Helvetica" w:hAnsi="Arial" w:cs="Arial"/>
          <w:color w:val="1A1A1A"/>
        </w:rPr>
        <w:footnoteReference w:id="23"/>
      </w:r>
      <w:r w:rsidR="00D81B3B" w:rsidRPr="00CC43CA">
        <w:rPr>
          <w:rFonts w:ascii="Arial" w:eastAsia="Helvetica" w:hAnsi="Arial" w:cs="Arial"/>
          <w:color w:val="1A1A1A"/>
        </w:rPr>
        <w:t xml:space="preserve"> </w:t>
      </w:r>
      <w:r w:rsidR="00CF4667" w:rsidRPr="00CC43CA">
        <w:rPr>
          <w:rFonts w:ascii="Arial" w:eastAsia="Helvetica" w:hAnsi="Arial" w:cs="Arial"/>
          <w:color w:val="1A1A1A"/>
        </w:rPr>
        <w:t>youth justice</w:t>
      </w:r>
      <w:r w:rsidR="001514F8">
        <w:rPr>
          <w:rFonts w:ascii="Arial" w:eastAsia="Helvetica" w:hAnsi="Arial" w:cs="Arial"/>
          <w:color w:val="1A1A1A"/>
        </w:rPr>
        <w:t>,</w:t>
      </w:r>
      <w:r w:rsidR="009D46D5">
        <w:rPr>
          <w:rStyle w:val="FootnoteReference"/>
          <w:rFonts w:ascii="Arial" w:eastAsia="Helvetica" w:hAnsi="Arial" w:cs="Arial"/>
          <w:color w:val="1A1A1A"/>
        </w:rPr>
        <w:footnoteReference w:id="24"/>
      </w:r>
      <w:r w:rsidR="00DC3936" w:rsidRPr="00CC43CA">
        <w:rPr>
          <w:rFonts w:ascii="Arial" w:eastAsia="Helvetica" w:hAnsi="Arial" w:cs="Arial"/>
          <w:color w:val="1A1A1A"/>
        </w:rPr>
        <w:t xml:space="preserve"> </w:t>
      </w:r>
      <w:r w:rsidR="00D81B3B" w:rsidRPr="00CC43CA">
        <w:rPr>
          <w:rFonts w:ascii="Arial" w:eastAsia="Helvetica" w:hAnsi="Arial" w:cs="Arial"/>
          <w:color w:val="1A1A1A"/>
        </w:rPr>
        <w:t>criminal justice approaches to domestic violence</w:t>
      </w:r>
      <w:r w:rsidR="001514F8">
        <w:rPr>
          <w:rFonts w:ascii="Arial" w:eastAsia="Helvetica" w:hAnsi="Arial" w:cs="Arial"/>
          <w:color w:val="1A1A1A"/>
        </w:rPr>
        <w:t>,</w:t>
      </w:r>
      <w:r w:rsidR="009D46D5">
        <w:rPr>
          <w:rStyle w:val="FootnoteReference"/>
          <w:rFonts w:ascii="Arial" w:eastAsia="Helvetica" w:hAnsi="Arial" w:cs="Arial"/>
          <w:color w:val="1A1A1A"/>
        </w:rPr>
        <w:footnoteReference w:id="25"/>
      </w:r>
      <w:r w:rsidR="00D81B3B" w:rsidRPr="00CC43CA">
        <w:rPr>
          <w:rFonts w:ascii="Arial" w:eastAsia="Helvetica" w:hAnsi="Arial" w:cs="Arial"/>
          <w:color w:val="1A1A1A"/>
        </w:rPr>
        <w:t xml:space="preserve"> community policing models</w:t>
      </w:r>
      <w:r w:rsidR="00EE5220">
        <w:rPr>
          <w:rFonts w:ascii="Arial" w:eastAsia="Helvetica" w:hAnsi="Arial" w:cs="Arial"/>
          <w:color w:val="1A1A1A"/>
        </w:rPr>
        <w:t>,</w:t>
      </w:r>
      <w:r w:rsidR="00EE5220">
        <w:rPr>
          <w:rStyle w:val="FootnoteReference"/>
          <w:rFonts w:ascii="Arial" w:eastAsia="Helvetica" w:hAnsi="Arial" w:cs="Arial"/>
          <w:color w:val="1A1A1A"/>
        </w:rPr>
        <w:footnoteReference w:id="26"/>
      </w:r>
      <w:r w:rsidR="00D81B3B" w:rsidRPr="00CC43CA">
        <w:rPr>
          <w:rFonts w:ascii="Arial" w:eastAsia="Helvetica" w:hAnsi="Arial" w:cs="Arial"/>
          <w:color w:val="1A1A1A"/>
        </w:rPr>
        <w:t xml:space="preserve"> </w:t>
      </w:r>
      <w:r w:rsidR="001672B1">
        <w:rPr>
          <w:rFonts w:ascii="Arial" w:eastAsia="Helvetica" w:hAnsi="Arial" w:cs="Arial"/>
          <w:color w:val="1A1A1A"/>
        </w:rPr>
        <w:t>among others</w:t>
      </w:r>
      <w:r w:rsidR="00B86372" w:rsidRPr="00CC43CA">
        <w:rPr>
          <w:rFonts w:ascii="Arial" w:eastAsia="Helvetica" w:hAnsi="Arial" w:cs="Arial"/>
          <w:color w:val="1A1A1A"/>
        </w:rPr>
        <w:t>.</w:t>
      </w:r>
      <w:r w:rsidR="00041BA7" w:rsidRPr="00CC43CA">
        <w:rPr>
          <w:rFonts w:ascii="Arial" w:eastAsia="Helvetica" w:hAnsi="Arial" w:cs="Arial"/>
          <w:color w:val="1A1A1A"/>
        </w:rPr>
        <w:t xml:space="preserve"> </w:t>
      </w:r>
    </w:p>
    <w:p w14:paraId="5A97AC6E" w14:textId="77777777" w:rsidR="001339CE" w:rsidRDefault="001339CE" w:rsidP="009473D2">
      <w:pPr>
        <w:spacing w:after="0" w:line="276" w:lineRule="auto"/>
        <w:rPr>
          <w:rFonts w:ascii="Arial" w:eastAsia="Helvetica" w:hAnsi="Arial" w:cs="Arial"/>
          <w:color w:val="1A1A1A"/>
        </w:rPr>
      </w:pPr>
    </w:p>
    <w:p w14:paraId="643125D0" w14:textId="0275E49A" w:rsidR="00B86372" w:rsidRPr="00CC43CA" w:rsidRDefault="00041BA7" w:rsidP="009473D2">
      <w:pPr>
        <w:spacing w:after="0" w:line="276" w:lineRule="auto"/>
        <w:rPr>
          <w:rFonts w:ascii="Arial" w:eastAsia="Helvetica" w:hAnsi="Arial" w:cs="Arial"/>
          <w:color w:val="1A1A1A"/>
        </w:rPr>
      </w:pPr>
      <w:r w:rsidRPr="00CC43CA">
        <w:rPr>
          <w:rFonts w:ascii="Arial" w:eastAsia="Helvetica" w:hAnsi="Arial" w:cs="Arial"/>
          <w:color w:val="1A1A1A"/>
        </w:rPr>
        <w:t>Whil</w:t>
      </w:r>
      <w:r w:rsidR="001339CE">
        <w:rPr>
          <w:rFonts w:ascii="Arial" w:eastAsia="Helvetica" w:hAnsi="Arial" w:cs="Arial"/>
          <w:color w:val="1A1A1A"/>
        </w:rPr>
        <w:t>e</w:t>
      </w:r>
      <w:r w:rsidRPr="00CC43CA">
        <w:rPr>
          <w:rFonts w:ascii="Arial" w:eastAsia="Helvetica" w:hAnsi="Arial" w:cs="Arial"/>
          <w:color w:val="1A1A1A"/>
        </w:rPr>
        <w:t xml:space="preserve"> of course it is important not to adopt unrealistic assumptions of ‘pure’ rational choice in relation to learning mechanisms, empirical research has suggested that self-conscious and purposive ‘learning’ – under conditions of bounded rationality – has been an important mechanism of attempted policy transfer within the</w:t>
      </w:r>
      <w:r w:rsidR="001339CE">
        <w:rPr>
          <w:rFonts w:ascii="Arial" w:eastAsia="Helvetica" w:hAnsi="Arial" w:cs="Arial"/>
          <w:color w:val="1A1A1A"/>
        </w:rPr>
        <w:t>se</w:t>
      </w:r>
      <w:r w:rsidRPr="00CC43CA">
        <w:rPr>
          <w:rFonts w:ascii="Arial" w:eastAsia="Helvetica" w:hAnsi="Arial" w:cs="Arial"/>
          <w:color w:val="1A1A1A"/>
        </w:rPr>
        <w:t xml:space="preserve"> fields</w:t>
      </w:r>
      <w:r w:rsidR="001339CE">
        <w:rPr>
          <w:rFonts w:ascii="Arial" w:eastAsia="Helvetica" w:hAnsi="Arial" w:cs="Arial"/>
          <w:color w:val="1A1A1A"/>
        </w:rPr>
        <w:t xml:space="preserve">. </w:t>
      </w:r>
      <w:r w:rsidR="00E167A6" w:rsidRPr="00CC43CA">
        <w:rPr>
          <w:rFonts w:ascii="Arial" w:eastAsia="Helvetica" w:hAnsi="Arial" w:cs="Arial"/>
          <w:color w:val="1A1A1A"/>
        </w:rPr>
        <w:t>One important avenue</w:t>
      </w:r>
      <w:r w:rsidR="00340CCF" w:rsidRPr="00CC43CA">
        <w:rPr>
          <w:rFonts w:ascii="Arial" w:eastAsia="Helvetica" w:hAnsi="Arial" w:cs="Arial"/>
          <w:color w:val="1A1A1A"/>
        </w:rPr>
        <w:t xml:space="preserve"> for policy learning that has been identified in the literature has been the development of transnational ‘episte</w:t>
      </w:r>
      <w:r w:rsidR="008F24E0" w:rsidRPr="00CC43CA">
        <w:rPr>
          <w:rFonts w:ascii="Arial" w:eastAsia="Helvetica" w:hAnsi="Arial" w:cs="Arial"/>
          <w:color w:val="1A1A1A"/>
        </w:rPr>
        <w:t>mic communities’ – expert networks</w:t>
      </w:r>
      <w:r w:rsidR="00340CCF" w:rsidRPr="00CC43CA">
        <w:rPr>
          <w:rFonts w:ascii="Arial" w:eastAsia="Helvetica" w:hAnsi="Arial" w:cs="Arial"/>
          <w:color w:val="1A1A1A"/>
        </w:rPr>
        <w:t xml:space="preserve"> including policy-makers, senior practitioners, scholars, representatives of commercial firms, and NGOs working in the fields of security and justice – which not only facilitate knowledge exchange about particular policy ideas and models but also propagate among members an increasin</w:t>
      </w:r>
      <w:r w:rsidR="008F24E0" w:rsidRPr="00CC43CA">
        <w:rPr>
          <w:rFonts w:ascii="Arial" w:eastAsia="Helvetica" w:hAnsi="Arial" w:cs="Arial"/>
          <w:color w:val="1A1A1A"/>
        </w:rPr>
        <w:t>gly shared set of norms and way</w:t>
      </w:r>
      <w:r w:rsidR="00B9582E">
        <w:rPr>
          <w:rFonts w:ascii="Arial" w:eastAsia="Helvetica" w:hAnsi="Arial" w:cs="Arial"/>
          <w:color w:val="1A1A1A"/>
        </w:rPr>
        <w:t>s</w:t>
      </w:r>
      <w:r w:rsidR="00340CCF" w:rsidRPr="00CC43CA">
        <w:rPr>
          <w:rFonts w:ascii="Arial" w:eastAsia="Helvetica" w:hAnsi="Arial" w:cs="Arial"/>
          <w:color w:val="1A1A1A"/>
        </w:rPr>
        <w:t xml:space="preserve"> of seeing the world. </w:t>
      </w:r>
      <w:r w:rsidR="00421C30">
        <w:rPr>
          <w:rFonts w:ascii="Arial" w:eastAsia="Helvetica" w:hAnsi="Arial" w:cs="Arial"/>
          <w:color w:val="1A1A1A"/>
        </w:rPr>
        <w:t>They</w:t>
      </w:r>
      <w:r w:rsidR="00340CCF" w:rsidRPr="00CC43CA">
        <w:rPr>
          <w:rFonts w:ascii="Arial" w:eastAsia="Helvetica" w:hAnsi="Arial" w:cs="Arial"/>
          <w:color w:val="1A1A1A"/>
        </w:rPr>
        <w:t xml:space="preserve"> have been linked with policy learning in a range of security and justice</w:t>
      </w:r>
      <w:r w:rsidR="00A30CE7">
        <w:rPr>
          <w:rFonts w:ascii="Arial" w:eastAsia="Helvetica" w:hAnsi="Arial" w:cs="Arial"/>
          <w:color w:val="1A1A1A"/>
        </w:rPr>
        <w:t>-related fields</w:t>
      </w:r>
      <w:r w:rsidR="00340CCF" w:rsidRPr="00CC43CA">
        <w:rPr>
          <w:rFonts w:ascii="Arial" w:eastAsia="Helvetica" w:hAnsi="Arial" w:cs="Arial"/>
          <w:color w:val="1A1A1A"/>
        </w:rPr>
        <w:t>, not leas</w:t>
      </w:r>
      <w:r w:rsidR="008F24E0" w:rsidRPr="00CC43CA">
        <w:rPr>
          <w:rFonts w:ascii="Arial" w:eastAsia="Helvetica" w:hAnsi="Arial" w:cs="Arial"/>
          <w:color w:val="1A1A1A"/>
        </w:rPr>
        <w:t>t in the realm of policing</w:t>
      </w:r>
      <w:r w:rsidR="001920D3">
        <w:rPr>
          <w:rFonts w:ascii="Arial" w:eastAsia="Helvetica" w:hAnsi="Arial" w:cs="Arial"/>
          <w:color w:val="1A1A1A"/>
        </w:rPr>
        <w:t>.</w:t>
      </w:r>
      <w:r w:rsidR="00DE2159">
        <w:rPr>
          <w:rStyle w:val="FootnoteReference"/>
          <w:rFonts w:ascii="Arial" w:eastAsia="Helvetica" w:hAnsi="Arial" w:cs="Arial"/>
          <w:color w:val="1A1A1A"/>
        </w:rPr>
        <w:footnoteReference w:id="27"/>
      </w:r>
      <w:r w:rsidR="00340CCF" w:rsidRPr="00CC43CA">
        <w:rPr>
          <w:rFonts w:ascii="Arial" w:eastAsia="Helvetica" w:hAnsi="Arial" w:cs="Arial"/>
          <w:color w:val="1A1A1A"/>
        </w:rPr>
        <w:t xml:space="preserve"> </w:t>
      </w:r>
      <w:r w:rsidR="001920D3">
        <w:rPr>
          <w:rFonts w:ascii="Arial" w:eastAsia="Helvetica" w:hAnsi="Arial" w:cs="Arial"/>
          <w:color w:val="1A1A1A"/>
        </w:rPr>
        <w:t>T</w:t>
      </w:r>
      <w:r w:rsidR="009473D2" w:rsidRPr="00CC43CA">
        <w:rPr>
          <w:rFonts w:ascii="Arial" w:eastAsia="Helvetica" w:hAnsi="Arial" w:cs="Arial"/>
          <w:color w:val="1A1A1A"/>
        </w:rPr>
        <w:t xml:space="preserve">his is not to </w:t>
      </w:r>
      <w:r w:rsidR="001920D3">
        <w:rPr>
          <w:rFonts w:ascii="Arial" w:eastAsia="Helvetica" w:hAnsi="Arial" w:cs="Arial"/>
          <w:color w:val="1A1A1A"/>
        </w:rPr>
        <w:t>argue</w:t>
      </w:r>
      <w:r w:rsidR="009473D2" w:rsidRPr="00CC43CA">
        <w:rPr>
          <w:rFonts w:ascii="Arial" w:eastAsia="Helvetica" w:hAnsi="Arial" w:cs="Arial"/>
          <w:color w:val="1A1A1A"/>
        </w:rPr>
        <w:t xml:space="preserve"> that such epistemic communities</w:t>
      </w:r>
      <w:r w:rsidR="001920D3">
        <w:rPr>
          <w:rFonts w:ascii="Arial" w:eastAsia="Helvetica" w:hAnsi="Arial" w:cs="Arial"/>
          <w:color w:val="1A1A1A"/>
        </w:rPr>
        <w:t xml:space="preserve"> necessarily</w:t>
      </w:r>
      <w:r w:rsidR="009473D2" w:rsidRPr="00CC43CA">
        <w:rPr>
          <w:rFonts w:ascii="Arial" w:eastAsia="Helvetica" w:hAnsi="Arial" w:cs="Arial"/>
          <w:color w:val="1A1A1A"/>
        </w:rPr>
        <w:t xml:space="preserve"> facilitate highly rational forms of policy learning, only that </w:t>
      </w:r>
      <w:r w:rsidR="00540300" w:rsidRPr="00CC43CA">
        <w:rPr>
          <w:rFonts w:ascii="Arial" w:eastAsia="Helvetica" w:hAnsi="Arial" w:cs="Arial"/>
          <w:color w:val="1A1A1A"/>
        </w:rPr>
        <w:t>on some levels at least there are efforts</w:t>
      </w:r>
      <w:r w:rsidR="009473D2" w:rsidRPr="00CC43CA">
        <w:rPr>
          <w:rFonts w:ascii="Arial" w:eastAsia="Helvetica" w:hAnsi="Arial" w:cs="Arial"/>
          <w:color w:val="1A1A1A"/>
        </w:rPr>
        <w:t xml:space="preserve"> to share knowledge, ideas and practices</w:t>
      </w:r>
      <w:r w:rsidR="008A7159" w:rsidRPr="00CC43CA">
        <w:rPr>
          <w:rFonts w:ascii="Arial" w:eastAsia="Helvetica" w:hAnsi="Arial" w:cs="Arial"/>
          <w:color w:val="1A1A1A"/>
        </w:rPr>
        <w:t xml:space="preserve"> that go on to inform policy development in different jurisdictions.</w:t>
      </w:r>
      <w:r w:rsidR="00540300" w:rsidRPr="00CC43CA">
        <w:rPr>
          <w:rFonts w:ascii="Arial" w:eastAsia="Helvetica" w:hAnsi="Arial" w:cs="Arial"/>
          <w:color w:val="1A1A1A"/>
        </w:rPr>
        <w:t xml:space="preserve"> </w:t>
      </w:r>
    </w:p>
    <w:p w14:paraId="15F7C2F5" w14:textId="27792EA6" w:rsidR="00B86372" w:rsidRPr="00CC43CA" w:rsidRDefault="00B86372" w:rsidP="00F30E5E">
      <w:pPr>
        <w:spacing w:after="0" w:line="276" w:lineRule="auto"/>
        <w:rPr>
          <w:rFonts w:ascii="Arial" w:eastAsia="Helvetica" w:hAnsi="Arial" w:cs="Arial"/>
          <w:color w:val="1A1A1A"/>
        </w:rPr>
      </w:pPr>
    </w:p>
    <w:p w14:paraId="6EFF4BA7" w14:textId="3B66C305" w:rsidR="00340CCF" w:rsidRPr="00A30CE7" w:rsidRDefault="00FB6999" w:rsidP="00F30E5E">
      <w:pPr>
        <w:spacing w:after="0" w:line="276" w:lineRule="auto"/>
        <w:rPr>
          <w:rFonts w:ascii="Arial" w:eastAsia="Helvetica" w:hAnsi="Arial" w:cs="Arial"/>
          <w:i/>
          <w:iCs/>
          <w:color w:val="1A1A1A"/>
        </w:rPr>
      </w:pPr>
      <w:r>
        <w:rPr>
          <w:rFonts w:ascii="Arial" w:eastAsia="Helvetica" w:hAnsi="Arial" w:cs="Arial"/>
          <w:i/>
          <w:iCs/>
          <w:color w:val="1A1A1A"/>
        </w:rPr>
        <w:t xml:space="preserve">(b) </w:t>
      </w:r>
      <w:r w:rsidR="00340CCF" w:rsidRPr="00A30CE7">
        <w:rPr>
          <w:rFonts w:ascii="Arial" w:eastAsia="Helvetica" w:hAnsi="Arial" w:cs="Arial"/>
          <w:i/>
          <w:iCs/>
          <w:color w:val="1A1A1A"/>
        </w:rPr>
        <w:t>Competition</w:t>
      </w:r>
    </w:p>
    <w:p w14:paraId="2CA79031" w14:textId="22B44468" w:rsidR="00340CCF" w:rsidRPr="00CC43CA" w:rsidRDefault="00340CCF" w:rsidP="00F30E5E">
      <w:pPr>
        <w:spacing w:after="0" w:line="276" w:lineRule="auto"/>
        <w:rPr>
          <w:rFonts w:ascii="Arial" w:eastAsia="Helvetica" w:hAnsi="Arial" w:cs="Arial"/>
          <w:color w:val="1A1A1A"/>
        </w:rPr>
      </w:pPr>
      <w:r w:rsidRPr="00CC43CA">
        <w:rPr>
          <w:rFonts w:ascii="Arial" w:eastAsia="Helvetica" w:hAnsi="Arial" w:cs="Arial"/>
          <w:color w:val="1A1A1A"/>
        </w:rPr>
        <w:t xml:space="preserve">This mechanism of policy exchange has perhaps been most associated with the spread of policy approaches outside of the field of security and (criminal) justice, in particular relating to the imposition of international standards in relation to environmental, fiscal or labour </w:t>
      </w:r>
      <w:r w:rsidR="00B00DDA" w:rsidRPr="00CC43CA">
        <w:rPr>
          <w:rFonts w:ascii="Arial" w:eastAsia="Helvetica" w:hAnsi="Arial" w:cs="Arial"/>
          <w:color w:val="1A1A1A"/>
        </w:rPr>
        <w:t xml:space="preserve">market </w:t>
      </w:r>
      <w:r w:rsidR="00E86158">
        <w:rPr>
          <w:rFonts w:ascii="Arial" w:eastAsia="Helvetica" w:hAnsi="Arial" w:cs="Arial"/>
          <w:color w:val="1A1A1A"/>
        </w:rPr>
        <w:t>policy</w:t>
      </w:r>
      <w:r w:rsidR="00B00DDA" w:rsidRPr="00CC43CA">
        <w:rPr>
          <w:rFonts w:ascii="Arial" w:eastAsia="Helvetica" w:hAnsi="Arial" w:cs="Arial"/>
          <w:color w:val="1A1A1A"/>
        </w:rPr>
        <w:t>.</w:t>
      </w:r>
      <w:r w:rsidR="00DE2159">
        <w:rPr>
          <w:rStyle w:val="FootnoteReference"/>
          <w:rFonts w:ascii="Arial" w:eastAsia="Helvetica" w:hAnsi="Arial" w:cs="Arial"/>
          <w:color w:val="1A1A1A"/>
        </w:rPr>
        <w:footnoteReference w:id="28"/>
      </w:r>
      <w:r w:rsidRPr="00CC43CA">
        <w:rPr>
          <w:rFonts w:ascii="Arial" w:eastAsia="Helvetica" w:hAnsi="Arial" w:cs="Arial"/>
          <w:color w:val="1A1A1A"/>
        </w:rPr>
        <w:t xml:space="preserve"> The </w:t>
      </w:r>
      <w:r w:rsidR="00B00DDA" w:rsidRPr="00CC43CA">
        <w:rPr>
          <w:rFonts w:ascii="Arial" w:eastAsia="Helvetica" w:hAnsi="Arial" w:cs="Arial"/>
          <w:color w:val="1A1A1A"/>
        </w:rPr>
        <w:t xml:space="preserve">main thrust of </w:t>
      </w:r>
      <w:r w:rsidRPr="00CC43CA">
        <w:rPr>
          <w:rFonts w:ascii="Arial" w:eastAsia="Helvetica" w:hAnsi="Arial" w:cs="Arial"/>
          <w:color w:val="1A1A1A"/>
        </w:rPr>
        <w:t>argument is</w:t>
      </w:r>
      <w:r w:rsidR="00B00DDA" w:rsidRPr="00CC43CA">
        <w:rPr>
          <w:rFonts w:ascii="Arial" w:eastAsia="Helvetica" w:hAnsi="Arial" w:cs="Arial"/>
          <w:color w:val="1A1A1A"/>
        </w:rPr>
        <w:t xml:space="preserve"> </w:t>
      </w:r>
      <w:r w:rsidR="00CF4667" w:rsidRPr="00CC43CA">
        <w:rPr>
          <w:rFonts w:ascii="Arial" w:eastAsia="Helvetica" w:hAnsi="Arial" w:cs="Arial"/>
          <w:color w:val="1A1A1A"/>
        </w:rPr>
        <w:t xml:space="preserve">that </w:t>
      </w:r>
      <w:r w:rsidR="00B00DDA" w:rsidRPr="00CC43CA">
        <w:rPr>
          <w:rFonts w:ascii="Arial" w:eastAsia="Helvetica" w:hAnsi="Arial" w:cs="Arial"/>
          <w:color w:val="1A1A1A"/>
        </w:rPr>
        <w:lastRenderedPageBreak/>
        <w:t>nations</w:t>
      </w:r>
      <w:r w:rsidR="00CF4667" w:rsidRPr="00CC43CA">
        <w:rPr>
          <w:rFonts w:ascii="Arial" w:eastAsia="Helvetica" w:hAnsi="Arial" w:cs="Arial"/>
          <w:color w:val="1A1A1A"/>
        </w:rPr>
        <w:t xml:space="preserve"> come to</w:t>
      </w:r>
      <w:r w:rsidR="00B00DDA" w:rsidRPr="00CC43CA">
        <w:rPr>
          <w:rFonts w:ascii="Arial" w:eastAsia="Helvetica" w:hAnsi="Arial" w:cs="Arial"/>
          <w:color w:val="1A1A1A"/>
        </w:rPr>
        <w:t xml:space="preserve"> adopt</w:t>
      </w:r>
      <w:r w:rsidRPr="00CC43CA">
        <w:rPr>
          <w:rFonts w:ascii="Arial" w:eastAsia="Helvetica" w:hAnsi="Arial" w:cs="Arial"/>
          <w:color w:val="1A1A1A"/>
        </w:rPr>
        <w:t xml:space="preserve"> similar i</w:t>
      </w:r>
      <w:r w:rsidR="00B00DDA" w:rsidRPr="00CC43CA">
        <w:rPr>
          <w:rFonts w:ascii="Arial" w:eastAsia="Helvetica" w:hAnsi="Arial" w:cs="Arial"/>
          <w:color w:val="1A1A1A"/>
        </w:rPr>
        <w:t xml:space="preserve">nvestor-friendly policies, </w:t>
      </w:r>
      <w:r w:rsidRPr="00CC43CA">
        <w:rPr>
          <w:rFonts w:ascii="Arial" w:eastAsia="Helvetica" w:hAnsi="Arial" w:cs="Arial"/>
          <w:color w:val="1A1A1A"/>
        </w:rPr>
        <w:t>including</w:t>
      </w:r>
      <w:r w:rsidR="00A855BB">
        <w:rPr>
          <w:rFonts w:ascii="Arial" w:eastAsia="Helvetica" w:hAnsi="Arial" w:cs="Arial"/>
          <w:color w:val="1A1A1A"/>
        </w:rPr>
        <w:t xml:space="preserve"> a range of ‘neo</w:t>
      </w:r>
      <w:r w:rsidR="00B00DDA" w:rsidRPr="00CC43CA">
        <w:rPr>
          <w:rFonts w:ascii="Arial" w:eastAsia="Helvetica" w:hAnsi="Arial" w:cs="Arial"/>
          <w:color w:val="1A1A1A"/>
        </w:rPr>
        <w:t>liberal’ reforms such as</w:t>
      </w:r>
      <w:r w:rsidRPr="00CC43CA">
        <w:rPr>
          <w:rFonts w:ascii="Arial" w:eastAsia="Helvetica" w:hAnsi="Arial" w:cs="Arial"/>
          <w:color w:val="1A1A1A"/>
        </w:rPr>
        <w:t xml:space="preserve"> privatization, deregulation, </w:t>
      </w:r>
      <w:r w:rsidR="00B00DDA" w:rsidRPr="00CC43CA">
        <w:rPr>
          <w:rFonts w:ascii="Arial" w:eastAsia="Helvetica" w:hAnsi="Arial" w:cs="Arial"/>
          <w:color w:val="1A1A1A"/>
        </w:rPr>
        <w:t>public sector reform, labour market liberalisation etc. This has been presented by some theorists as a key mechanism in promoting policy convergence between nation states, compet</w:t>
      </w:r>
      <w:r w:rsidR="00A30CE7">
        <w:rPr>
          <w:rFonts w:ascii="Arial" w:eastAsia="Helvetica" w:hAnsi="Arial" w:cs="Arial"/>
          <w:color w:val="1A1A1A"/>
        </w:rPr>
        <w:t>ing</w:t>
      </w:r>
      <w:r w:rsidR="00B00DDA" w:rsidRPr="00CC43CA">
        <w:rPr>
          <w:rFonts w:ascii="Arial" w:eastAsia="Helvetica" w:hAnsi="Arial" w:cs="Arial"/>
          <w:color w:val="1A1A1A"/>
        </w:rPr>
        <w:t xml:space="preserve"> to attract international</w:t>
      </w:r>
      <w:r w:rsidRPr="00CC43CA">
        <w:rPr>
          <w:rFonts w:ascii="Arial" w:eastAsia="Helvetica" w:hAnsi="Arial" w:cs="Arial"/>
          <w:color w:val="1A1A1A"/>
        </w:rPr>
        <w:t xml:space="preserve"> capital flows</w:t>
      </w:r>
      <w:r w:rsidR="00B00DDA" w:rsidRPr="00CC43CA">
        <w:rPr>
          <w:rFonts w:ascii="Arial" w:eastAsia="Helvetica" w:hAnsi="Arial" w:cs="Arial"/>
          <w:color w:val="1A1A1A"/>
        </w:rPr>
        <w:t>.</w:t>
      </w:r>
      <w:r w:rsidR="00DE2159">
        <w:rPr>
          <w:rStyle w:val="FootnoteReference"/>
          <w:rFonts w:ascii="Arial" w:eastAsia="Helvetica" w:hAnsi="Arial" w:cs="Arial"/>
          <w:color w:val="1A1A1A"/>
        </w:rPr>
        <w:footnoteReference w:id="29"/>
      </w:r>
      <w:r w:rsidR="00B00DDA" w:rsidRPr="00CC43CA">
        <w:rPr>
          <w:rFonts w:ascii="Arial" w:eastAsia="Helvetica" w:hAnsi="Arial" w:cs="Arial"/>
          <w:color w:val="1A1A1A"/>
        </w:rPr>
        <w:t xml:space="preserve"> The empirical literature on crime policy flows has, to date, had little to say about this mechanism of policy transfer, although the features of national political economy which it concerns are </w:t>
      </w:r>
      <w:r w:rsidR="00C8703E" w:rsidRPr="00CC43CA">
        <w:rPr>
          <w:rFonts w:ascii="Arial" w:eastAsia="Helvetica" w:hAnsi="Arial" w:cs="Arial"/>
          <w:color w:val="1A1A1A"/>
        </w:rPr>
        <w:t xml:space="preserve">of course </w:t>
      </w:r>
      <w:r w:rsidR="00B00DDA" w:rsidRPr="00CC43CA">
        <w:rPr>
          <w:rFonts w:ascii="Arial" w:eastAsia="Helvetica" w:hAnsi="Arial" w:cs="Arial"/>
          <w:color w:val="1A1A1A"/>
        </w:rPr>
        <w:t xml:space="preserve">a vital conditioning factor in shaping domestic justice and security problems and policies. An important exception to this </w:t>
      </w:r>
      <w:r w:rsidR="00D1687D">
        <w:rPr>
          <w:rFonts w:ascii="Arial" w:eastAsia="Helvetica" w:hAnsi="Arial" w:cs="Arial"/>
          <w:color w:val="1A1A1A"/>
        </w:rPr>
        <w:t xml:space="preserve">general absence </w:t>
      </w:r>
      <w:r w:rsidR="00B00DDA" w:rsidRPr="00CC43CA">
        <w:rPr>
          <w:rFonts w:ascii="Arial" w:eastAsia="Helvetica" w:hAnsi="Arial" w:cs="Arial"/>
          <w:color w:val="1A1A1A"/>
        </w:rPr>
        <w:t>is Sharman</w:t>
      </w:r>
      <w:r w:rsidR="00A30CE7">
        <w:rPr>
          <w:rFonts w:ascii="Arial" w:eastAsia="Helvetica" w:hAnsi="Arial" w:cs="Arial"/>
          <w:color w:val="1A1A1A"/>
        </w:rPr>
        <w:t>’s</w:t>
      </w:r>
      <w:r w:rsidR="00DE2159">
        <w:rPr>
          <w:rStyle w:val="FootnoteReference"/>
          <w:rFonts w:ascii="Arial" w:eastAsia="Helvetica" w:hAnsi="Arial" w:cs="Arial"/>
          <w:color w:val="1A1A1A"/>
        </w:rPr>
        <w:footnoteReference w:id="30"/>
      </w:r>
      <w:r w:rsidR="00B00DDA" w:rsidRPr="00CC43CA">
        <w:rPr>
          <w:rFonts w:ascii="Arial" w:eastAsia="Helvetica" w:hAnsi="Arial" w:cs="Arial"/>
          <w:color w:val="1A1A1A"/>
        </w:rPr>
        <w:t xml:space="preserve"> </w:t>
      </w:r>
      <w:r w:rsidR="00A30CE7">
        <w:rPr>
          <w:rFonts w:ascii="Arial" w:eastAsia="Helvetica" w:hAnsi="Arial" w:cs="Arial"/>
          <w:color w:val="1A1A1A"/>
        </w:rPr>
        <w:t xml:space="preserve">work </w:t>
      </w:r>
      <w:r w:rsidR="00B00DDA" w:rsidRPr="00CC43CA">
        <w:rPr>
          <w:rFonts w:ascii="Arial" w:eastAsia="Helvetica" w:hAnsi="Arial" w:cs="Arial"/>
          <w:color w:val="1A1A1A"/>
        </w:rPr>
        <w:t>o</w:t>
      </w:r>
      <w:r w:rsidR="00A30CE7">
        <w:rPr>
          <w:rFonts w:ascii="Arial" w:eastAsia="Helvetica" w:hAnsi="Arial" w:cs="Arial"/>
          <w:color w:val="1A1A1A"/>
        </w:rPr>
        <w:t>n</w:t>
      </w:r>
      <w:r w:rsidR="00B00DDA" w:rsidRPr="00CC43CA">
        <w:rPr>
          <w:rFonts w:ascii="Arial" w:eastAsia="Helvetica" w:hAnsi="Arial" w:cs="Arial"/>
          <w:color w:val="1A1A1A"/>
        </w:rPr>
        <w:t xml:space="preserve"> policy diffusion of Anti Money Laundering (AML) policies driven in developing countries by the Financial Action Task Force (FATF). Although </w:t>
      </w:r>
      <w:r w:rsidR="00A30CE7">
        <w:rPr>
          <w:rFonts w:ascii="Arial" w:eastAsia="Helvetica" w:hAnsi="Arial" w:cs="Arial"/>
          <w:color w:val="1A1A1A"/>
        </w:rPr>
        <w:t>he</w:t>
      </w:r>
      <w:r w:rsidR="00B00DDA" w:rsidRPr="00CC43CA">
        <w:rPr>
          <w:rFonts w:ascii="Arial" w:eastAsia="Helvetica" w:hAnsi="Arial" w:cs="Arial"/>
          <w:color w:val="1A1A1A"/>
        </w:rPr>
        <w:t xml:space="preserve"> found evidence of a combination of mechanisms at work, competition </w:t>
      </w:r>
      <w:r w:rsidR="00D1687D">
        <w:rPr>
          <w:rFonts w:ascii="Arial" w:eastAsia="Helvetica" w:hAnsi="Arial" w:cs="Arial"/>
          <w:color w:val="1A1A1A"/>
        </w:rPr>
        <w:t>between</w:t>
      </w:r>
      <w:r w:rsidR="00B00DDA" w:rsidRPr="00CC43CA">
        <w:rPr>
          <w:rFonts w:ascii="Arial" w:eastAsia="Helvetica" w:hAnsi="Arial" w:cs="Arial"/>
          <w:color w:val="1A1A1A"/>
        </w:rPr>
        <w:t xml:space="preserve"> developing states to demonstrate to potential inward investors that they were compliant with international AML regulations and could be a safe haven for capital investment</w:t>
      </w:r>
      <w:r w:rsidR="00D1687D">
        <w:rPr>
          <w:rFonts w:ascii="Arial" w:eastAsia="Helvetica" w:hAnsi="Arial" w:cs="Arial"/>
          <w:color w:val="1A1A1A"/>
        </w:rPr>
        <w:t xml:space="preserve"> was especially important</w:t>
      </w:r>
      <w:r w:rsidR="00B00DDA" w:rsidRPr="00CC43CA">
        <w:rPr>
          <w:rFonts w:ascii="Arial" w:eastAsia="Helvetica" w:hAnsi="Arial" w:cs="Arial"/>
          <w:color w:val="1A1A1A"/>
        </w:rPr>
        <w:t>.</w:t>
      </w:r>
      <w:r w:rsidR="00CF4667" w:rsidRPr="00CC43CA">
        <w:rPr>
          <w:rFonts w:ascii="Arial" w:eastAsia="Helvetica" w:hAnsi="Arial" w:cs="Arial"/>
          <w:color w:val="1A1A1A"/>
        </w:rPr>
        <w:t xml:space="preserve"> More recently, this form of mechanism, in combination with aspects of those described under ‘coercion’ below, has been seen as an active feature of the transfer of ‘Northern’ approaches to crime reduction, policing and justice reform</w:t>
      </w:r>
      <w:r w:rsidR="00BB3000">
        <w:rPr>
          <w:rFonts w:ascii="Arial" w:eastAsia="Helvetica" w:hAnsi="Arial" w:cs="Arial"/>
          <w:color w:val="1A1A1A"/>
        </w:rPr>
        <w:t>:</w:t>
      </w:r>
      <w:r w:rsidR="00CF4667" w:rsidRPr="00CC43CA">
        <w:rPr>
          <w:rFonts w:ascii="Arial" w:eastAsia="Helvetica" w:hAnsi="Arial" w:cs="Arial"/>
          <w:color w:val="1A1A1A"/>
        </w:rPr>
        <w:t xml:space="preserve"> crime and insecurity ha</w:t>
      </w:r>
      <w:r w:rsidR="00BB3000">
        <w:rPr>
          <w:rFonts w:ascii="Arial" w:eastAsia="Helvetica" w:hAnsi="Arial" w:cs="Arial"/>
          <w:color w:val="1A1A1A"/>
        </w:rPr>
        <w:t>ve</w:t>
      </w:r>
      <w:r w:rsidR="00CF4667" w:rsidRPr="00CC43CA">
        <w:rPr>
          <w:rFonts w:ascii="Arial" w:eastAsia="Helvetica" w:hAnsi="Arial" w:cs="Arial"/>
          <w:color w:val="1A1A1A"/>
        </w:rPr>
        <w:t xml:space="preserve"> become defined by international financial organisations and donor countries as important obstacles to the promotion of economic growth in developing countries.</w:t>
      </w:r>
      <w:r w:rsidR="00DE2159">
        <w:rPr>
          <w:rStyle w:val="FootnoteReference"/>
          <w:rFonts w:ascii="Arial" w:eastAsia="Helvetica" w:hAnsi="Arial" w:cs="Arial"/>
          <w:color w:val="1A1A1A"/>
        </w:rPr>
        <w:footnoteReference w:id="31"/>
      </w:r>
      <w:r w:rsidR="00CF4667" w:rsidRPr="00CC43CA">
        <w:rPr>
          <w:rFonts w:ascii="Arial" w:eastAsia="Helvetica" w:hAnsi="Arial" w:cs="Arial"/>
          <w:color w:val="1A1A1A"/>
        </w:rPr>
        <w:t xml:space="preserve"> </w:t>
      </w:r>
    </w:p>
    <w:p w14:paraId="5A62F0EF" w14:textId="20C1D4AC" w:rsidR="005A002D" w:rsidRPr="00CC43CA" w:rsidRDefault="005A002D" w:rsidP="00F30E5E">
      <w:pPr>
        <w:spacing w:after="0" w:line="276" w:lineRule="auto"/>
        <w:rPr>
          <w:rFonts w:ascii="Arial" w:eastAsia="Helvetica" w:hAnsi="Arial" w:cs="Arial"/>
          <w:color w:val="1A1A1A"/>
        </w:rPr>
      </w:pPr>
    </w:p>
    <w:p w14:paraId="7669193C" w14:textId="476FBF30" w:rsidR="005A002D" w:rsidRPr="00CA1FED" w:rsidRDefault="00FB6999" w:rsidP="00F30E5E">
      <w:pPr>
        <w:spacing w:after="0" w:line="276" w:lineRule="auto"/>
        <w:rPr>
          <w:rFonts w:ascii="Arial" w:eastAsia="Helvetica" w:hAnsi="Arial" w:cs="Arial"/>
          <w:i/>
          <w:iCs/>
          <w:color w:val="1A1A1A"/>
        </w:rPr>
      </w:pPr>
      <w:r w:rsidRPr="00CA1FED">
        <w:rPr>
          <w:rFonts w:ascii="Arial" w:eastAsia="Helvetica" w:hAnsi="Arial" w:cs="Arial"/>
          <w:i/>
          <w:iCs/>
          <w:color w:val="1A1A1A"/>
        </w:rPr>
        <w:t xml:space="preserve">(c) </w:t>
      </w:r>
      <w:r w:rsidR="005A002D" w:rsidRPr="00CA1FED">
        <w:rPr>
          <w:rFonts w:ascii="Arial" w:eastAsia="Helvetica" w:hAnsi="Arial" w:cs="Arial"/>
          <w:i/>
          <w:iCs/>
          <w:color w:val="1A1A1A"/>
        </w:rPr>
        <w:t>Coercion</w:t>
      </w:r>
    </w:p>
    <w:p w14:paraId="7576A831" w14:textId="4CF7B2D9" w:rsidR="009C0838" w:rsidRPr="00CC43CA" w:rsidRDefault="005A002D" w:rsidP="00F30E5E">
      <w:pPr>
        <w:spacing w:after="0" w:line="276" w:lineRule="auto"/>
        <w:rPr>
          <w:rFonts w:ascii="Arial" w:eastAsia="Helvetica" w:hAnsi="Arial" w:cs="Arial"/>
          <w:color w:val="1A1A1A"/>
        </w:rPr>
      </w:pPr>
      <w:r w:rsidRPr="00CC43CA">
        <w:rPr>
          <w:rFonts w:ascii="Arial" w:eastAsia="Helvetica" w:hAnsi="Arial" w:cs="Arial"/>
          <w:color w:val="1A1A1A"/>
        </w:rPr>
        <w:t>An important theme within work on international policy transfer ha</w:t>
      </w:r>
      <w:r w:rsidR="00BB3000">
        <w:rPr>
          <w:rFonts w:ascii="Arial" w:eastAsia="Helvetica" w:hAnsi="Arial" w:cs="Arial"/>
          <w:color w:val="1A1A1A"/>
        </w:rPr>
        <w:t>s</w:t>
      </w:r>
      <w:r w:rsidRPr="00CC43CA">
        <w:rPr>
          <w:rFonts w:ascii="Arial" w:eastAsia="Helvetica" w:hAnsi="Arial" w:cs="Arial"/>
          <w:color w:val="1A1A1A"/>
        </w:rPr>
        <w:t xml:space="preserve"> been </w:t>
      </w:r>
      <w:r w:rsidR="00A13FB0">
        <w:rPr>
          <w:rFonts w:ascii="Arial" w:eastAsia="Helvetica" w:hAnsi="Arial" w:cs="Arial"/>
          <w:color w:val="1A1A1A"/>
        </w:rPr>
        <w:t>forms</w:t>
      </w:r>
      <w:r w:rsidRPr="00CC43CA">
        <w:rPr>
          <w:rFonts w:ascii="Arial" w:eastAsia="Helvetica" w:hAnsi="Arial" w:cs="Arial"/>
          <w:color w:val="1A1A1A"/>
        </w:rPr>
        <w:t xml:space="preserve"> of coercion as mechanism</w:t>
      </w:r>
      <w:r w:rsidR="00A13FB0">
        <w:rPr>
          <w:rFonts w:ascii="Arial" w:eastAsia="Helvetica" w:hAnsi="Arial" w:cs="Arial"/>
          <w:color w:val="1A1A1A"/>
        </w:rPr>
        <w:t>s</w:t>
      </w:r>
      <w:r w:rsidRPr="00CC43CA">
        <w:rPr>
          <w:rFonts w:ascii="Arial" w:eastAsia="Helvetica" w:hAnsi="Arial" w:cs="Arial"/>
          <w:color w:val="1A1A1A"/>
        </w:rPr>
        <w:t xml:space="preserve"> for promoting similar security and justice policies across different countries. The history of colonialism is of course littered with examples </w:t>
      </w:r>
      <w:r w:rsidR="00A13FB0">
        <w:rPr>
          <w:rFonts w:ascii="Arial" w:eastAsia="Helvetica" w:hAnsi="Arial" w:cs="Arial"/>
          <w:color w:val="1A1A1A"/>
        </w:rPr>
        <w:t>of the imposition of</w:t>
      </w:r>
      <w:r w:rsidRPr="00CC43CA">
        <w:rPr>
          <w:rFonts w:ascii="Arial" w:eastAsia="Helvetica" w:hAnsi="Arial" w:cs="Arial"/>
          <w:color w:val="1A1A1A"/>
        </w:rPr>
        <w:t xml:space="preserve"> ‘western’ traditions and institutions on indigenous communities</w:t>
      </w:r>
      <w:r w:rsidR="00CF4667" w:rsidRPr="00CC43CA">
        <w:rPr>
          <w:rFonts w:ascii="Arial" w:eastAsia="Helvetica" w:hAnsi="Arial" w:cs="Arial"/>
          <w:color w:val="1A1A1A"/>
        </w:rPr>
        <w:t>, the most overt and explicit forms of coerced international policy movement</w:t>
      </w:r>
      <w:r w:rsidRPr="00CC43CA">
        <w:rPr>
          <w:rFonts w:ascii="Arial" w:eastAsia="Helvetica" w:hAnsi="Arial" w:cs="Arial"/>
          <w:color w:val="1A1A1A"/>
        </w:rPr>
        <w:t>.</w:t>
      </w:r>
      <w:r w:rsidRPr="00CC43CA">
        <w:rPr>
          <w:rFonts w:ascii="Arial" w:eastAsia="Helvetica" w:hAnsi="Arial" w:cs="Arial"/>
          <w:bCs/>
          <w:color w:val="1A1A1A"/>
        </w:rPr>
        <w:t xml:space="preserve"> More recently, attention has focused upon the ways in which </w:t>
      </w:r>
      <w:r w:rsidRPr="00CC43CA">
        <w:rPr>
          <w:rFonts w:ascii="Arial" w:eastAsia="Helvetica" w:hAnsi="Arial" w:cs="Arial"/>
          <w:color w:val="1A1A1A"/>
        </w:rPr>
        <w:t xml:space="preserve">powerful ‘hegemon’ states (most usually the USA), international financial institutions such as the </w:t>
      </w:r>
      <w:r w:rsidR="00540300" w:rsidRPr="00CC43CA">
        <w:rPr>
          <w:rFonts w:ascii="Arial" w:eastAsia="Helvetica" w:hAnsi="Arial" w:cs="Arial"/>
          <w:color w:val="1A1A1A"/>
        </w:rPr>
        <w:t xml:space="preserve">IMF </w:t>
      </w:r>
      <w:r w:rsidRPr="00CC43CA">
        <w:rPr>
          <w:rFonts w:ascii="Arial" w:eastAsia="Helvetica" w:hAnsi="Arial" w:cs="Arial"/>
          <w:color w:val="1A1A1A"/>
        </w:rPr>
        <w:t xml:space="preserve">or </w:t>
      </w:r>
      <w:r w:rsidR="00CF4667" w:rsidRPr="00CC43CA">
        <w:rPr>
          <w:rFonts w:ascii="Arial" w:eastAsia="Helvetica" w:hAnsi="Arial" w:cs="Arial"/>
          <w:color w:val="1A1A1A"/>
        </w:rPr>
        <w:t>World Bank (</w:t>
      </w:r>
      <w:r w:rsidR="001920D3">
        <w:rPr>
          <w:rFonts w:ascii="Arial" w:eastAsia="Helvetica" w:hAnsi="Arial" w:cs="Arial"/>
          <w:color w:val="1A1A1A"/>
        </w:rPr>
        <w:t xml:space="preserve">most usually </w:t>
      </w:r>
      <w:r w:rsidR="00CF4667" w:rsidRPr="00CC43CA">
        <w:rPr>
          <w:rFonts w:ascii="Arial" w:eastAsia="Helvetica" w:hAnsi="Arial" w:cs="Arial"/>
          <w:color w:val="1A1A1A"/>
        </w:rPr>
        <w:t xml:space="preserve">via </w:t>
      </w:r>
      <w:r w:rsidR="001920D3">
        <w:rPr>
          <w:rFonts w:ascii="Arial" w:eastAsia="Helvetica" w:hAnsi="Arial" w:cs="Arial"/>
          <w:color w:val="1A1A1A"/>
        </w:rPr>
        <w:t>loan</w:t>
      </w:r>
      <w:r w:rsidRPr="00CC43CA">
        <w:rPr>
          <w:rFonts w:ascii="Arial" w:eastAsia="Helvetica" w:hAnsi="Arial" w:cs="Arial"/>
          <w:color w:val="1A1A1A"/>
        </w:rPr>
        <w:t xml:space="preserve"> conditions), international institutions of global or regional governance such as the United Nations or European Union, and bi-lateral/multi-lateral aid packages (again </w:t>
      </w:r>
      <w:r w:rsidR="001920D3">
        <w:rPr>
          <w:rFonts w:ascii="Arial" w:eastAsia="Helvetica" w:hAnsi="Arial" w:cs="Arial"/>
          <w:color w:val="1A1A1A"/>
        </w:rPr>
        <w:t xml:space="preserve">often </w:t>
      </w:r>
      <w:r w:rsidRPr="00CC43CA">
        <w:rPr>
          <w:rFonts w:ascii="Arial" w:eastAsia="Helvetica" w:hAnsi="Arial" w:cs="Arial"/>
          <w:color w:val="1A1A1A"/>
        </w:rPr>
        <w:t xml:space="preserve">via loan conditions) work to promote the adoption of similar policy models. </w:t>
      </w:r>
      <w:r w:rsidR="00B86372" w:rsidRPr="00CC43CA">
        <w:rPr>
          <w:rFonts w:ascii="Arial" w:eastAsia="Helvetica" w:hAnsi="Arial" w:cs="Arial"/>
          <w:color w:val="1A1A1A"/>
        </w:rPr>
        <w:t>These</w:t>
      </w:r>
      <w:r w:rsidRPr="00CC43CA">
        <w:rPr>
          <w:rFonts w:ascii="Arial" w:eastAsia="Helvetica" w:hAnsi="Arial" w:cs="Arial"/>
          <w:color w:val="1A1A1A"/>
        </w:rPr>
        <w:t xml:space="preserve"> latter</w:t>
      </w:r>
      <w:r w:rsidR="00CF4667" w:rsidRPr="00CC43CA">
        <w:rPr>
          <w:rFonts w:ascii="Arial" w:eastAsia="Helvetica" w:hAnsi="Arial" w:cs="Arial"/>
          <w:color w:val="1A1A1A"/>
        </w:rPr>
        <w:t xml:space="preserve"> forms, perhaps </w:t>
      </w:r>
      <w:r w:rsidR="00E167A6" w:rsidRPr="00CC43CA">
        <w:rPr>
          <w:rFonts w:ascii="Arial" w:eastAsia="Helvetica" w:hAnsi="Arial" w:cs="Arial"/>
          <w:color w:val="1A1A1A"/>
        </w:rPr>
        <w:t xml:space="preserve">best </w:t>
      </w:r>
      <w:r w:rsidR="00CF4667" w:rsidRPr="00CC43CA">
        <w:rPr>
          <w:rFonts w:ascii="Arial" w:eastAsia="Helvetica" w:hAnsi="Arial" w:cs="Arial"/>
          <w:color w:val="1A1A1A"/>
        </w:rPr>
        <w:t>thought of as less direct</w:t>
      </w:r>
      <w:r w:rsidR="00E167A6" w:rsidRPr="00CC43CA">
        <w:rPr>
          <w:rFonts w:ascii="Arial" w:eastAsia="Helvetica" w:hAnsi="Arial" w:cs="Arial"/>
          <w:color w:val="1A1A1A"/>
        </w:rPr>
        <w:t>ly</w:t>
      </w:r>
      <w:r w:rsidR="00CF4667" w:rsidRPr="00CC43CA">
        <w:rPr>
          <w:rFonts w:ascii="Arial" w:eastAsia="Helvetica" w:hAnsi="Arial" w:cs="Arial"/>
          <w:color w:val="1A1A1A"/>
        </w:rPr>
        <w:t xml:space="preserve"> </w:t>
      </w:r>
      <w:r w:rsidR="00E167A6" w:rsidRPr="00CC43CA">
        <w:rPr>
          <w:rFonts w:ascii="Arial" w:eastAsia="Helvetica" w:hAnsi="Arial" w:cs="Arial"/>
          <w:color w:val="1A1A1A"/>
        </w:rPr>
        <w:t>coercive</w:t>
      </w:r>
      <w:r w:rsidR="00B86372" w:rsidRPr="00CC43CA">
        <w:rPr>
          <w:rFonts w:ascii="Arial" w:eastAsia="Helvetica" w:hAnsi="Arial" w:cs="Arial"/>
          <w:color w:val="1A1A1A"/>
        </w:rPr>
        <w:t xml:space="preserve"> policy transfer</w:t>
      </w:r>
      <w:r w:rsidR="00E167A6" w:rsidRPr="00CC43CA">
        <w:rPr>
          <w:rFonts w:ascii="Arial" w:eastAsia="Helvetica" w:hAnsi="Arial" w:cs="Arial"/>
          <w:color w:val="1A1A1A"/>
        </w:rPr>
        <w:t xml:space="preserve"> but nevertheless clearly </w:t>
      </w:r>
      <w:r w:rsidR="001920D3">
        <w:rPr>
          <w:rFonts w:ascii="Arial" w:eastAsia="Helvetica" w:hAnsi="Arial" w:cs="Arial"/>
          <w:color w:val="1A1A1A"/>
        </w:rPr>
        <w:t>far from</w:t>
      </w:r>
      <w:r w:rsidR="00E167A6" w:rsidRPr="00CC43CA">
        <w:rPr>
          <w:rFonts w:ascii="Arial" w:eastAsia="Helvetica" w:hAnsi="Arial" w:cs="Arial"/>
          <w:color w:val="1A1A1A"/>
        </w:rPr>
        <w:t xml:space="preserve"> voluntary,</w:t>
      </w:r>
      <w:r w:rsidR="00B86372" w:rsidRPr="00CC43CA">
        <w:rPr>
          <w:rFonts w:ascii="Arial" w:eastAsia="Helvetica" w:hAnsi="Arial" w:cs="Arial"/>
          <w:color w:val="1A1A1A"/>
        </w:rPr>
        <w:t xml:space="preserve"> have</w:t>
      </w:r>
      <w:r w:rsidRPr="00CC43CA">
        <w:rPr>
          <w:rFonts w:ascii="Arial" w:eastAsia="Helvetica" w:hAnsi="Arial" w:cs="Arial"/>
          <w:color w:val="1A1A1A"/>
        </w:rPr>
        <w:t xml:space="preserve"> perhaps</w:t>
      </w:r>
      <w:r w:rsidR="00B86372" w:rsidRPr="00CC43CA">
        <w:rPr>
          <w:rFonts w:ascii="Arial" w:eastAsia="Helvetica" w:hAnsi="Arial" w:cs="Arial"/>
          <w:color w:val="1A1A1A"/>
        </w:rPr>
        <w:t xml:space="preserve"> been partic</w:t>
      </w:r>
      <w:r w:rsidRPr="00CC43CA">
        <w:rPr>
          <w:rFonts w:ascii="Arial" w:eastAsia="Helvetica" w:hAnsi="Arial" w:cs="Arial"/>
          <w:color w:val="1A1A1A"/>
        </w:rPr>
        <w:t xml:space="preserve">ularly relevant in recent decades </w:t>
      </w:r>
      <w:r w:rsidR="00B86372" w:rsidRPr="00CC43CA">
        <w:rPr>
          <w:rFonts w:ascii="Arial" w:eastAsia="Helvetica" w:hAnsi="Arial" w:cs="Arial"/>
          <w:color w:val="1A1A1A"/>
        </w:rPr>
        <w:t>with Western intervention in post-conflict societies an</w:t>
      </w:r>
      <w:r w:rsidR="00E167A6" w:rsidRPr="00CC43CA">
        <w:rPr>
          <w:rFonts w:ascii="Arial" w:eastAsia="Helvetica" w:hAnsi="Arial" w:cs="Arial"/>
          <w:color w:val="1A1A1A"/>
        </w:rPr>
        <w:t>d emerging democracies. These</w:t>
      </w:r>
      <w:r w:rsidRPr="00CC43CA">
        <w:rPr>
          <w:rFonts w:ascii="Arial" w:eastAsia="Helvetica" w:hAnsi="Arial" w:cs="Arial"/>
          <w:color w:val="1A1A1A"/>
        </w:rPr>
        <w:t xml:space="preserve"> present the export of ‘best practices’ in security and justice policies as a key foundation for the development of stable </w:t>
      </w:r>
      <w:r w:rsidRPr="00CC43CA">
        <w:rPr>
          <w:rFonts w:ascii="Arial" w:eastAsia="Helvetica" w:hAnsi="Arial" w:cs="Arial"/>
          <w:color w:val="1A1A1A"/>
        </w:rPr>
        <w:lastRenderedPageBreak/>
        <w:t xml:space="preserve">democracies. </w:t>
      </w:r>
      <w:r w:rsidR="00243091" w:rsidRPr="00CC43CA">
        <w:rPr>
          <w:rFonts w:ascii="Arial" w:eastAsia="Helvetica" w:hAnsi="Arial" w:cs="Arial"/>
          <w:color w:val="1A1A1A"/>
        </w:rPr>
        <w:t xml:space="preserve">Overseas ‘police missions’ </w:t>
      </w:r>
      <w:r w:rsidR="004A50F9" w:rsidRPr="00CC43CA">
        <w:rPr>
          <w:rFonts w:ascii="Arial" w:eastAsia="Helvetica" w:hAnsi="Arial" w:cs="Arial"/>
          <w:color w:val="1A1A1A"/>
        </w:rPr>
        <w:t xml:space="preserve">have been an important example of such interventions, </w:t>
      </w:r>
      <w:r w:rsidR="009D2173">
        <w:rPr>
          <w:rFonts w:ascii="Arial" w:eastAsia="Helvetica" w:hAnsi="Arial" w:cs="Arial"/>
          <w:color w:val="1A1A1A"/>
        </w:rPr>
        <w:t>deploying</w:t>
      </w:r>
      <w:r w:rsidR="00243091" w:rsidRPr="00CC43CA">
        <w:rPr>
          <w:rFonts w:ascii="Arial" w:eastAsia="Helvetica" w:hAnsi="Arial" w:cs="Arial"/>
          <w:color w:val="1A1A1A"/>
        </w:rPr>
        <w:t xml:space="preserve"> police officers from North America and Western Europe to help the process of police reform in transitional democracies</w:t>
      </w:r>
      <w:r w:rsidR="004A50F9" w:rsidRPr="00CC43CA">
        <w:rPr>
          <w:rFonts w:ascii="Arial" w:eastAsia="Helvetica" w:hAnsi="Arial" w:cs="Arial"/>
          <w:color w:val="1A1A1A"/>
        </w:rPr>
        <w:t>.</w:t>
      </w:r>
      <w:r w:rsidR="00DE2159">
        <w:rPr>
          <w:rStyle w:val="FootnoteReference"/>
          <w:rFonts w:ascii="Arial" w:eastAsia="Helvetica" w:hAnsi="Arial" w:cs="Arial"/>
          <w:color w:val="1A1A1A"/>
        </w:rPr>
        <w:footnoteReference w:id="32"/>
      </w:r>
      <w:r w:rsidR="00DC3F65" w:rsidRPr="00CC43CA">
        <w:rPr>
          <w:rFonts w:ascii="Arial" w:eastAsia="Helvetica" w:hAnsi="Arial" w:cs="Arial"/>
          <w:color w:val="1A1A1A"/>
        </w:rPr>
        <w:t xml:space="preserve"> Bi-lateral aid has also been an important part of reform in the penal sector, </w:t>
      </w:r>
      <w:r w:rsidR="009D2173">
        <w:rPr>
          <w:rFonts w:ascii="Arial" w:eastAsia="Helvetica" w:hAnsi="Arial" w:cs="Arial"/>
          <w:color w:val="1A1A1A"/>
        </w:rPr>
        <w:t>illustrated, for example,</w:t>
      </w:r>
      <w:r w:rsidR="00DC3F65" w:rsidRPr="00CC43CA">
        <w:rPr>
          <w:rFonts w:ascii="Arial" w:eastAsia="Helvetica" w:hAnsi="Arial" w:cs="Arial"/>
          <w:color w:val="1A1A1A"/>
        </w:rPr>
        <w:t xml:space="preserve"> by the UK government funded probation reform project in Romania.</w:t>
      </w:r>
      <w:r w:rsidR="00DE2159">
        <w:rPr>
          <w:rStyle w:val="FootnoteReference"/>
          <w:rFonts w:ascii="Arial" w:eastAsia="Helvetica" w:hAnsi="Arial" w:cs="Arial"/>
          <w:color w:val="1A1A1A"/>
        </w:rPr>
        <w:footnoteReference w:id="33"/>
      </w:r>
      <w:r w:rsidR="00DC3F65" w:rsidRPr="00CC43CA">
        <w:rPr>
          <w:rFonts w:ascii="Arial" w:eastAsia="Helvetica" w:hAnsi="Arial" w:cs="Arial"/>
          <w:color w:val="1A1A1A"/>
        </w:rPr>
        <w:t xml:space="preserve"> </w:t>
      </w:r>
      <w:r w:rsidR="00243091" w:rsidRPr="00CC43CA">
        <w:rPr>
          <w:rFonts w:ascii="Arial" w:eastAsia="Helvetica" w:hAnsi="Arial" w:cs="Arial"/>
          <w:color w:val="1A1A1A"/>
        </w:rPr>
        <w:t>More recent work relevant to this type of ‘policy transfer’ has developed within the field of ‘Border Criminology’</w:t>
      </w:r>
      <w:r w:rsidR="009D2173">
        <w:rPr>
          <w:rFonts w:ascii="Arial" w:eastAsia="Helvetica" w:hAnsi="Arial" w:cs="Arial"/>
          <w:color w:val="1A1A1A"/>
        </w:rPr>
        <w:t>,</w:t>
      </w:r>
      <w:r w:rsidR="00243091" w:rsidRPr="00CC43CA">
        <w:rPr>
          <w:rFonts w:ascii="Arial" w:eastAsia="Helvetica" w:hAnsi="Arial" w:cs="Arial"/>
          <w:color w:val="1A1A1A"/>
        </w:rPr>
        <w:t xml:space="preserve"> focus</w:t>
      </w:r>
      <w:r w:rsidR="009D2173">
        <w:rPr>
          <w:rFonts w:ascii="Arial" w:eastAsia="Helvetica" w:hAnsi="Arial" w:cs="Arial"/>
          <w:color w:val="1A1A1A"/>
        </w:rPr>
        <w:t>ing</w:t>
      </w:r>
      <w:r w:rsidR="00243091" w:rsidRPr="00CC43CA">
        <w:rPr>
          <w:rFonts w:ascii="Arial" w:eastAsia="Helvetica" w:hAnsi="Arial" w:cs="Arial"/>
          <w:color w:val="1A1A1A"/>
        </w:rPr>
        <w:t xml:space="preserve"> on the intersection between </w:t>
      </w:r>
      <w:r w:rsidR="004A50F9" w:rsidRPr="00CC43CA">
        <w:rPr>
          <w:rFonts w:ascii="Arial" w:eastAsia="Helvetica" w:hAnsi="Arial" w:cs="Arial"/>
          <w:color w:val="1A1A1A"/>
        </w:rPr>
        <w:t>policies relating to security</w:t>
      </w:r>
      <w:r w:rsidR="00243091" w:rsidRPr="00CC43CA">
        <w:rPr>
          <w:rFonts w:ascii="Arial" w:eastAsia="Helvetica" w:hAnsi="Arial" w:cs="Arial"/>
          <w:color w:val="1A1A1A"/>
        </w:rPr>
        <w:t xml:space="preserve">, justice, immigration and border controls. </w:t>
      </w:r>
      <w:r w:rsidR="009D2173">
        <w:rPr>
          <w:rFonts w:ascii="Arial" w:eastAsia="Helvetica" w:hAnsi="Arial" w:cs="Arial"/>
          <w:color w:val="1A1A1A"/>
        </w:rPr>
        <w:t xml:space="preserve">For example, the UK’s </w:t>
      </w:r>
      <w:r w:rsidR="00DF445B" w:rsidRPr="00CC43CA">
        <w:rPr>
          <w:rFonts w:ascii="Arial" w:eastAsia="Helvetica" w:hAnsi="Arial" w:cs="Arial"/>
          <w:color w:val="1A1A1A"/>
        </w:rPr>
        <w:t xml:space="preserve">‘Returns and Reintegration Fund’, funded a range of projects in different </w:t>
      </w:r>
      <w:r w:rsidR="009D2173">
        <w:rPr>
          <w:rFonts w:ascii="Arial" w:eastAsia="Helvetica" w:hAnsi="Arial" w:cs="Arial"/>
          <w:color w:val="1A1A1A"/>
        </w:rPr>
        <w:t>countries</w:t>
      </w:r>
      <w:r w:rsidR="00DF445B" w:rsidRPr="00CC43CA">
        <w:rPr>
          <w:rFonts w:ascii="Arial" w:eastAsia="Helvetica" w:hAnsi="Arial" w:cs="Arial"/>
          <w:color w:val="1A1A1A"/>
        </w:rPr>
        <w:t xml:space="preserve"> with the aim of ‘managing migration’</w:t>
      </w:r>
      <w:r w:rsidR="009D2173">
        <w:rPr>
          <w:rFonts w:ascii="Arial" w:eastAsia="Helvetica" w:hAnsi="Arial" w:cs="Arial"/>
          <w:color w:val="1A1A1A"/>
        </w:rPr>
        <w:t>.</w:t>
      </w:r>
      <w:r w:rsidR="00DE2159">
        <w:rPr>
          <w:rStyle w:val="FootnoteReference"/>
          <w:rFonts w:ascii="Arial" w:eastAsia="Helvetica" w:hAnsi="Arial" w:cs="Arial"/>
          <w:color w:val="1A1A1A"/>
        </w:rPr>
        <w:footnoteReference w:id="34"/>
      </w:r>
      <w:r w:rsidR="00DF445B" w:rsidRPr="00CC43CA">
        <w:rPr>
          <w:rFonts w:ascii="Arial" w:eastAsia="Helvetica" w:hAnsi="Arial" w:cs="Arial"/>
          <w:color w:val="1A1A1A"/>
        </w:rPr>
        <w:t xml:space="preserve"> </w:t>
      </w:r>
      <w:r w:rsidR="009D2173">
        <w:rPr>
          <w:rFonts w:ascii="Arial" w:eastAsia="Helvetica" w:hAnsi="Arial" w:cs="Arial"/>
          <w:color w:val="1A1A1A"/>
        </w:rPr>
        <w:t>Bosworth’s work has</w:t>
      </w:r>
      <w:r w:rsidR="00DF445B" w:rsidRPr="00CC43CA">
        <w:rPr>
          <w:rFonts w:ascii="Arial" w:eastAsia="Helvetica" w:hAnsi="Arial" w:cs="Arial"/>
          <w:color w:val="1A1A1A"/>
        </w:rPr>
        <w:t xml:space="preserve"> explore</w:t>
      </w:r>
      <w:r w:rsidR="009D2173">
        <w:rPr>
          <w:rFonts w:ascii="Arial" w:eastAsia="Helvetica" w:hAnsi="Arial" w:cs="Arial"/>
          <w:color w:val="1A1A1A"/>
        </w:rPr>
        <w:t>d</w:t>
      </w:r>
      <w:r w:rsidR="00DF445B" w:rsidRPr="00CC43CA">
        <w:rPr>
          <w:rFonts w:ascii="Arial" w:eastAsia="Helvetica" w:hAnsi="Arial" w:cs="Arial"/>
          <w:color w:val="1A1A1A"/>
        </w:rPr>
        <w:t xml:space="preserve"> prison building and training programmes</w:t>
      </w:r>
      <w:r w:rsidR="009D2173">
        <w:rPr>
          <w:rFonts w:ascii="Arial" w:eastAsia="Helvetica" w:hAnsi="Arial" w:cs="Arial"/>
          <w:color w:val="1A1A1A"/>
        </w:rPr>
        <w:t xml:space="preserve"> in </w:t>
      </w:r>
      <w:r w:rsidR="009D2173" w:rsidRPr="00CC43CA">
        <w:rPr>
          <w:rFonts w:ascii="Arial" w:eastAsia="Helvetica" w:hAnsi="Arial" w:cs="Arial"/>
          <w:color w:val="1A1A1A"/>
        </w:rPr>
        <w:t>Nigeria and Jamaica</w:t>
      </w:r>
      <w:r w:rsidR="009D2173">
        <w:rPr>
          <w:rFonts w:ascii="Arial" w:eastAsia="Helvetica" w:hAnsi="Arial" w:cs="Arial"/>
          <w:color w:val="1A1A1A"/>
        </w:rPr>
        <w:t>,</w:t>
      </w:r>
      <w:r w:rsidR="00DF445B" w:rsidRPr="00CC43CA">
        <w:rPr>
          <w:rFonts w:ascii="Arial" w:eastAsia="Helvetica" w:hAnsi="Arial" w:cs="Arial"/>
          <w:color w:val="1A1A1A"/>
        </w:rPr>
        <w:t xml:space="preserve"> and mandatory prisoner transfer agreements funded by the UK government, </w:t>
      </w:r>
      <w:r w:rsidR="009D2173">
        <w:rPr>
          <w:rFonts w:ascii="Arial" w:eastAsia="Helvetica" w:hAnsi="Arial" w:cs="Arial"/>
          <w:color w:val="1A1A1A"/>
        </w:rPr>
        <w:t xml:space="preserve">which have </w:t>
      </w:r>
      <w:r w:rsidR="00DF445B" w:rsidRPr="00CC43CA">
        <w:rPr>
          <w:rFonts w:ascii="Arial" w:eastAsia="Helvetica" w:hAnsi="Arial" w:cs="Arial"/>
          <w:color w:val="1A1A1A"/>
        </w:rPr>
        <w:t>blurr</w:t>
      </w:r>
      <w:r w:rsidR="009D2173">
        <w:rPr>
          <w:rFonts w:ascii="Arial" w:eastAsia="Helvetica" w:hAnsi="Arial" w:cs="Arial"/>
          <w:color w:val="1A1A1A"/>
        </w:rPr>
        <w:t>ed</w:t>
      </w:r>
      <w:r w:rsidR="00DF445B" w:rsidRPr="00CC43CA">
        <w:rPr>
          <w:rFonts w:ascii="Arial" w:eastAsia="Helvetica" w:hAnsi="Arial" w:cs="Arial"/>
          <w:color w:val="1A1A1A"/>
        </w:rPr>
        <w:t xml:space="preserve"> the boundaries between policies on migration and punishment, and, under the veneer of humanitarian aid, </w:t>
      </w:r>
      <w:r w:rsidR="009D2173">
        <w:rPr>
          <w:rFonts w:ascii="Arial" w:eastAsia="Helvetica" w:hAnsi="Arial" w:cs="Arial"/>
          <w:color w:val="1A1A1A"/>
        </w:rPr>
        <w:t>have</w:t>
      </w:r>
      <w:r w:rsidR="00DF445B" w:rsidRPr="00CC43CA">
        <w:rPr>
          <w:rFonts w:ascii="Arial" w:eastAsia="Helvetica" w:hAnsi="Arial" w:cs="Arial"/>
          <w:color w:val="1A1A1A"/>
        </w:rPr>
        <w:t xml:space="preserve"> work</w:t>
      </w:r>
      <w:r w:rsidR="009D2173">
        <w:rPr>
          <w:rFonts w:ascii="Arial" w:eastAsia="Helvetica" w:hAnsi="Arial" w:cs="Arial"/>
          <w:color w:val="1A1A1A"/>
        </w:rPr>
        <w:t>ed</w:t>
      </w:r>
      <w:r w:rsidR="00DF445B" w:rsidRPr="00CC43CA">
        <w:rPr>
          <w:rFonts w:ascii="Arial" w:eastAsia="Helvetica" w:hAnsi="Arial" w:cs="Arial"/>
          <w:color w:val="1A1A1A"/>
        </w:rPr>
        <w:t xml:space="preserve"> to expand the reach of the penal system. </w:t>
      </w:r>
      <w:r w:rsidR="004A50F9" w:rsidRPr="00CC43CA">
        <w:rPr>
          <w:rFonts w:ascii="Arial" w:eastAsia="Helvetica" w:hAnsi="Arial" w:cs="Arial"/>
          <w:color w:val="1A1A1A"/>
        </w:rPr>
        <w:t>M</w:t>
      </w:r>
      <w:r w:rsidR="009D2173">
        <w:rPr>
          <w:rFonts w:ascii="Arial" w:eastAsia="Helvetica" w:hAnsi="Arial" w:cs="Arial"/>
          <w:color w:val="1A1A1A"/>
        </w:rPr>
        <w:t>any</w:t>
      </w:r>
      <w:r w:rsidR="004A50F9" w:rsidRPr="00CC43CA">
        <w:rPr>
          <w:rFonts w:ascii="Arial" w:eastAsia="Helvetica" w:hAnsi="Arial" w:cs="Arial"/>
          <w:color w:val="1A1A1A"/>
        </w:rPr>
        <w:t xml:space="preserve"> scholarly accounts understandably focus upon the problematic aspects of these forms of ‘coerced’ (or, perhaps incentivised/imposed) policy transfer, a</w:t>
      </w:r>
      <w:r w:rsidR="001920D3">
        <w:rPr>
          <w:rFonts w:ascii="Arial" w:eastAsia="Helvetica" w:hAnsi="Arial" w:cs="Arial"/>
          <w:color w:val="1A1A1A"/>
        </w:rPr>
        <w:t xml:space="preserve">lthough </w:t>
      </w:r>
      <w:r w:rsidR="009D2173">
        <w:rPr>
          <w:rFonts w:ascii="Arial" w:eastAsia="Helvetica" w:hAnsi="Arial" w:cs="Arial"/>
          <w:color w:val="1A1A1A"/>
        </w:rPr>
        <w:t xml:space="preserve">there are counter-examples which focus on </w:t>
      </w:r>
      <w:r w:rsidR="00FD26C6">
        <w:rPr>
          <w:rFonts w:ascii="Arial" w:eastAsia="Helvetica" w:hAnsi="Arial" w:cs="Arial"/>
          <w:color w:val="1A1A1A"/>
        </w:rPr>
        <w:t>changes that would more generally be viewed as progressive. In particular we think here of the role of global or regional governance institutions in promoting abolition of the death penalty</w:t>
      </w:r>
      <w:r w:rsidR="00EE2F1B">
        <w:rPr>
          <w:rFonts w:ascii="Arial" w:eastAsia="Helvetica" w:hAnsi="Arial" w:cs="Arial"/>
          <w:color w:val="1A1A1A"/>
        </w:rPr>
        <w:t>,</w:t>
      </w:r>
      <w:r w:rsidR="00EE2F1B">
        <w:rPr>
          <w:rStyle w:val="FootnoteReference"/>
          <w:rFonts w:ascii="Arial" w:eastAsia="Helvetica" w:hAnsi="Arial" w:cs="Arial"/>
          <w:color w:val="1A1A1A"/>
        </w:rPr>
        <w:footnoteReference w:id="35"/>
      </w:r>
      <w:r w:rsidR="00FD26C6">
        <w:rPr>
          <w:rFonts w:ascii="Arial" w:eastAsia="Helvetica" w:hAnsi="Arial" w:cs="Arial"/>
          <w:color w:val="1A1A1A"/>
        </w:rPr>
        <w:t xml:space="preserve"> or in improving protections against ill-treatment of those held in custody by the state.</w:t>
      </w:r>
      <w:r w:rsidR="00EE2F1B">
        <w:rPr>
          <w:rStyle w:val="FootnoteReference"/>
          <w:rFonts w:ascii="Arial" w:eastAsia="Helvetica" w:hAnsi="Arial" w:cs="Arial"/>
          <w:color w:val="1A1A1A"/>
        </w:rPr>
        <w:footnoteReference w:id="36"/>
      </w:r>
    </w:p>
    <w:p w14:paraId="2084243A" w14:textId="086E7E2B" w:rsidR="004A50F9" w:rsidRPr="00CC43CA" w:rsidRDefault="004A50F9" w:rsidP="00F30E5E">
      <w:pPr>
        <w:spacing w:after="0" w:line="276" w:lineRule="auto"/>
        <w:rPr>
          <w:rFonts w:ascii="Arial" w:eastAsia="Helvetica" w:hAnsi="Arial" w:cs="Arial"/>
          <w:color w:val="1A1A1A"/>
        </w:rPr>
      </w:pPr>
    </w:p>
    <w:p w14:paraId="11EAFAD6" w14:textId="147CDF10" w:rsidR="004A50F9" w:rsidRPr="00CA1FED" w:rsidRDefault="00FB6999" w:rsidP="00F30E5E">
      <w:pPr>
        <w:spacing w:after="0" w:line="276" w:lineRule="auto"/>
        <w:rPr>
          <w:rFonts w:ascii="Arial" w:eastAsia="Helvetica" w:hAnsi="Arial" w:cs="Arial"/>
          <w:i/>
          <w:iCs/>
          <w:color w:val="1A1A1A"/>
        </w:rPr>
      </w:pPr>
      <w:r w:rsidRPr="00CA1FED">
        <w:rPr>
          <w:rFonts w:ascii="Arial" w:eastAsia="Helvetica" w:hAnsi="Arial" w:cs="Arial"/>
          <w:i/>
          <w:iCs/>
          <w:color w:val="1A1A1A"/>
        </w:rPr>
        <w:t xml:space="preserve">(d) </w:t>
      </w:r>
      <w:r w:rsidR="004A50F9" w:rsidRPr="00CA1FED">
        <w:rPr>
          <w:rFonts w:ascii="Arial" w:eastAsia="Helvetica" w:hAnsi="Arial" w:cs="Arial"/>
          <w:i/>
          <w:iCs/>
          <w:color w:val="1A1A1A"/>
        </w:rPr>
        <w:t>Mimicry</w:t>
      </w:r>
    </w:p>
    <w:p w14:paraId="3185C38B" w14:textId="7959E1F6" w:rsidR="004A50F9" w:rsidRPr="00CC43CA" w:rsidRDefault="00C8703E" w:rsidP="00F30E5E">
      <w:pPr>
        <w:spacing w:after="0" w:line="276" w:lineRule="auto"/>
        <w:rPr>
          <w:rFonts w:ascii="Arial" w:eastAsia="Helvetica" w:hAnsi="Arial" w:cs="Arial"/>
          <w:color w:val="1A1A1A"/>
        </w:rPr>
      </w:pPr>
      <w:r w:rsidRPr="00CC43CA">
        <w:rPr>
          <w:rFonts w:ascii="Arial" w:hAnsi="Arial" w:cs="Arial"/>
        </w:rPr>
        <w:t>‘</w:t>
      </w:r>
      <w:r w:rsidR="004A50F9" w:rsidRPr="00CC43CA">
        <w:rPr>
          <w:rFonts w:ascii="Arial" w:hAnsi="Arial" w:cs="Arial"/>
        </w:rPr>
        <w:t>Mimicry</w:t>
      </w:r>
      <w:r w:rsidRPr="00CC43CA">
        <w:rPr>
          <w:rFonts w:ascii="Arial" w:hAnsi="Arial" w:cs="Arial"/>
        </w:rPr>
        <w:t>’ or emulation denotes ‘</w:t>
      </w:r>
      <w:r w:rsidR="004A50F9" w:rsidRPr="00CC43CA">
        <w:rPr>
          <w:rFonts w:ascii="Arial" w:hAnsi="Arial" w:cs="Arial"/>
        </w:rPr>
        <w:t>the process of copying foreign models in terms of symbolic or normative factors, rather than a technical or rational concern with functional efficiency</w:t>
      </w:r>
      <w:r w:rsidRPr="00CC43CA">
        <w:rPr>
          <w:rFonts w:ascii="Arial" w:hAnsi="Arial" w:cs="Arial"/>
        </w:rPr>
        <w:t>’</w:t>
      </w:r>
      <w:r w:rsidR="004A50F9" w:rsidRPr="00CC43CA">
        <w:rPr>
          <w:rFonts w:ascii="Arial" w:hAnsi="Arial" w:cs="Arial"/>
        </w:rPr>
        <w:t>.</w:t>
      </w:r>
      <w:r w:rsidR="00DE2159">
        <w:rPr>
          <w:rStyle w:val="FootnoteReference"/>
          <w:rFonts w:ascii="Arial" w:hAnsi="Arial" w:cs="Arial"/>
        </w:rPr>
        <w:footnoteReference w:id="37"/>
      </w:r>
      <w:r w:rsidR="004A50F9" w:rsidRPr="00CC43CA">
        <w:rPr>
          <w:rFonts w:ascii="Arial" w:hAnsi="Arial" w:cs="Arial"/>
        </w:rPr>
        <w:t xml:space="preserve"> </w:t>
      </w:r>
      <w:r w:rsidRPr="00CC43CA">
        <w:rPr>
          <w:rFonts w:ascii="Arial" w:hAnsi="Arial" w:cs="Arial"/>
        </w:rPr>
        <w:t xml:space="preserve">Some countries adopt the policy models and approaches of other countries perceived as ‘international leaders’ or those proposed by international organisations </w:t>
      </w:r>
      <w:r w:rsidR="00BB3000">
        <w:rPr>
          <w:rFonts w:ascii="Arial" w:hAnsi="Arial" w:cs="Arial"/>
        </w:rPr>
        <w:t xml:space="preserve">in order </w:t>
      </w:r>
      <w:r w:rsidRPr="00CC43CA">
        <w:rPr>
          <w:rFonts w:ascii="Arial" w:hAnsi="Arial" w:cs="Arial"/>
        </w:rPr>
        <w:t xml:space="preserve">to be seen as part of a civilised and advanced international community and bolster legitimacy in </w:t>
      </w:r>
      <w:r w:rsidR="00CF37D2">
        <w:rPr>
          <w:rFonts w:ascii="Arial" w:hAnsi="Arial" w:cs="Arial"/>
        </w:rPr>
        <w:t xml:space="preserve">the </w:t>
      </w:r>
      <w:r w:rsidRPr="00CC43CA">
        <w:rPr>
          <w:rFonts w:ascii="Arial" w:hAnsi="Arial" w:cs="Arial"/>
        </w:rPr>
        <w:t>eyes of domestic or international audiences</w:t>
      </w:r>
      <w:r w:rsidR="004A50F9" w:rsidRPr="00CC43CA">
        <w:rPr>
          <w:rFonts w:ascii="Arial" w:hAnsi="Arial" w:cs="Arial"/>
        </w:rPr>
        <w:t>.</w:t>
      </w:r>
      <w:r w:rsidR="00DE2159">
        <w:rPr>
          <w:rStyle w:val="FootnoteReference"/>
          <w:rFonts w:ascii="Arial" w:hAnsi="Arial" w:cs="Arial"/>
        </w:rPr>
        <w:footnoteReference w:id="38"/>
      </w:r>
      <w:r w:rsidR="004A50F9" w:rsidRPr="00CC43CA">
        <w:rPr>
          <w:rFonts w:ascii="Arial" w:hAnsi="Arial" w:cs="Arial"/>
        </w:rPr>
        <w:t xml:space="preserve"> </w:t>
      </w:r>
      <w:r w:rsidR="008F24E0" w:rsidRPr="00CC43CA">
        <w:rPr>
          <w:rFonts w:ascii="Arial" w:hAnsi="Arial" w:cs="Arial"/>
        </w:rPr>
        <w:t>Sharman</w:t>
      </w:r>
      <w:r w:rsidR="00053A20">
        <w:rPr>
          <w:rFonts w:ascii="Arial" w:hAnsi="Arial" w:cs="Arial"/>
        </w:rPr>
        <w:t>’s</w:t>
      </w:r>
      <w:r w:rsidR="008F24E0" w:rsidRPr="00CC43CA">
        <w:rPr>
          <w:rFonts w:ascii="Arial" w:hAnsi="Arial" w:cs="Arial"/>
        </w:rPr>
        <w:t xml:space="preserve"> </w:t>
      </w:r>
      <w:r w:rsidR="00053A20">
        <w:rPr>
          <w:rFonts w:ascii="Arial" w:hAnsi="Arial" w:cs="Arial"/>
        </w:rPr>
        <w:t>work</w:t>
      </w:r>
      <w:r w:rsidR="008F24E0" w:rsidRPr="00CC43CA">
        <w:rPr>
          <w:rFonts w:ascii="Arial" w:hAnsi="Arial" w:cs="Arial"/>
        </w:rPr>
        <w:t xml:space="preserve"> on the spread of AML policies</w:t>
      </w:r>
      <w:r w:rsidR="00053A20">
        <w:rPr>
          <w:rFonts w:ascii="Arial" w:hAnsi="Arial" w:cs="Arial"/>
        </w:rPr>
        <w:t>, discussed above,</w:t>
      </w:r>
      <w:r w:rsidR="008F24E0" w:rsidRPr="00CC43CA">
        <w:rPr>
          <w:rFonts w:ascii="Arial" w:hAnsi="Arial" w:cs="Arial"/>
        </w:rPr>
        <w:t xml:space="preserve"> found that the desire of policy actors in developing nations to be seen as members of a responsible international community contributed to the adoption of policies advocated by the FATF even in the absence of any solid evidence about </w:t>
      </w:r>
      <w:r w:rsidR="008F24E0" w:rsidRPr="00CC43CA">
        <w:rPr>
          <w:rFonts w:ascii="Arial" w:hAnsi="Arial" w:cs="Arial"/>
        </w:rPr>
        <w:lastRenderedPageBreak/>
        <w:t>their likely instrumental effectivenes</w:t>
      </w:r>
      <w:r w:rsidR="00BC6342" w:rsidRPr="00CC43CA">
        <w:rPr>
          <w:rFonts w:ascii="Arial" w:hAnsi="Arial" w:cs="Arial"/>
        </w:rPr>
        <w:t>s</w:t>
      </w:r>
      <w:r w:rsidR="00BB3000" w:rsidRPr="00BB3000">
        <w:rPr>
          <w:rFonts w:ascii="Arial" w:hAnsi="Arial" w:cs="Arial"/>
        </w:rPr>
        <w:t>.</w:t>
      </w:r>
      <w:r w:rsidR="00E86158">
        <w:rPr>
          <w:rStyle w:val="FootnoteReference"/>
          <w:rFonts w:ascii="Arial" w:hAnsi="Arial" w:cs="Arial"/>
        </w:rPr>
        <w:footnoteReference w:id="39"/>
      </w:r>
      <w:r w:rsidR="00BC6342" w:rsidRPr="00CC43CA">
        <w:rPr>
          <w:rFonts w:ascii="Arial" w:hAnsi="Arial" w:cs="Arial"/>
        </w:rPr>
        <w:t xml:space="preserve"> </w:t>
      </w:r>
      <w:r w:rsidR="00053A20">
        <w:rPr>
          <w:rFonts w:ascii="Arial" w:hAnsi="Arial" w:cs="Arial"/>
        </w:rPr>
        <w:t>Similarly</w:t>
      </w:r>
      <w:r w:rsidR="004C00F5" w:rsidRPr="00CC43CA">
        <w:rPr>
          <w:rFonts w:ascii="Arial" w:hAnsi="Arial" w:cs="Arial"/>
        </w:rPr>
        <w:t xml:space="preserve">, </w:t>
      </w:r>
      <w:r w:rsidR="00BC6342" w:rsidRPr="00CC43CA">
        <w:rPr>
          <w:rFonts w:ascii="Arial" w:hAnsi="Arial" w:cs="Arial"/>
        </w:rPr>
        <w:t>Jakobi</w:t>
      </w:r>
      <w:r w:rsidR="004C00F5" w:rsidRPr="00CC43CA">
        <w:rPr>
          <w:rFonts w:ascii="Arial" w:hAnsi="Arial" w:cs="Arial"/>
        </w:rPr>
        <w:t xml:space="preserve"> found evidence </w:t>
      </w:r>
      <w:r w:rsidR="00A855BB">
        <w:rPr>
          <w:rFonts w:ascii="Arial" w:hAnsi="Arial" w:cs="Arial"/>
        </w:rPr>
        <w:t xml:space="preserve">of countries adopting </w:t>
      </w:r>
      <w:r w:rsidR="004C00F5" w:rsidRPr="00CC43CA">
        <w:rPr>
          <w:rFonts w:ascii="Arial" w:hAnsi="Arial" w:cs="Arial"/>
        </w:rPr>
        <w:t>UN</w:t>
      </w:r>
      <w:r w:rsidR="00BC21AE">
        <w:rPr>
          <w:rFonts w:ascii="Arial" w:hAnsi="Arial" w:cs="Arial"/>
        </w:rPr>
        <w:t>-</w:t>
      </w:r>
      <w:r w:rsidR="004C00F5" w:rsidRPr="00CC43CA">
        <w:rPr>
          <w:rFonts w:ascii="Arial" w:hAnsi="Arial" w:cs="Arial"/>
        </w:rPr>
        <w:t>promoted change</w:t>
      </w:r>
      <w:r w:rsidR="00053A20">
        <w:rPr>
          <w:rFonts w:ascii="Arial" w:hAnsi="Arial" w:cs="Arial"/>
        </w:rPr>
        <w:t>s</w:t>
      </w:r>
      <w:r w:rsidR="004C00F5" w:rsidRPr="00CC43CA">
        <w:rPr>
          <w:rFonts w:ascii="Arial" w:hAnsi="Arial" w:cs="Arial"/>
        </w:rPr>
        <w:t xml:space="preserve"> in laws on human trafficking, primarily for the purposes of international legitimisation, but not actually implementing the legislation in terms of enforcement.</w:t>
      </w:r>
      <w:r w:rsidR="00DE2159">
        <w:rPr>
          <w:rStyle w:val="FootnoteReference"/>
          <w:rFonts w:ascii="Arial" w:hAnsi="Arial" w:cs="Arial"/>
        </w:rPr>
        <w:footnoteReference w:id="40"/>
      </w:r>
      <w:r w:rsidR="004C00F5" w:rsidRPr="00CC43CA">
        <w:rPr>
          <w:rFonts w:ascii="Arial" w:hAnsi="Arial" w:cs="Arial"/>
        </w:rPr>
        <w:t xml:space="preserve"> Policy adoption thus takes on an entirely symbolic character.</w:t>
      </w:r>
      <w:r w:rsidR="008A7159" w:rsidRPr="00CC43CA">
        <w:rPr>
          <w:rFonts w:ascii="Arial" w:eastAsia="Helvetica" w:hAnsi="Arial" w:cs="Arial"/>
          <w:color w:val="1A1A1A"/>
        </w:rPr>
        <w:t xml:space="preserve"> The policy mobilities literature has provided important illustrations of how apparent ‘learning’ activities can often amount to little more than ‘policy tourism’</w:t>
      </w:r>
      <w:r w:rsidR="00D30E14">
        <w:rPr>
          <w:rStyle w:val="FootnoteReference"/>
          <w:rFonts w:ascii="Arial" w:eastAsia="Helvetica" w:hAnsi="Arial" w:cs="Arial"/>
          <w:color w:val="1A1A1A"/>
        </w:rPr>
        <w:footnoteReference w:id="41"/>
      </w:r>
      <w:r w:rsidR="008A7159" w:rsidRPr="00CC43CA">
        <w:rPr>
          <w:rFonts w:ascii="Arial" w:eastAsia="Helvetica" w:hAnsi="Arial" w:cs="Arial"/>
          <w:color w:val="1A1A1A"/>
        </w:rPr>
        <w:t xml:space="preserve"> and ‘mimicry’ of the kind discussed here. For example, Gonzalez recounted the visits of policy professionals from across the globe who visited Barcelona and Bilbao during the 1990s and 2000s to explore models of urban governance in those cities (both of which had become widely celebrated as international models of ‘best practice’).</w:t>
      </w:r>
      <w:r w:rsidR="00DE2159">
        <w:rPr>
          <w:rStyle w:val="FootnoteReference"/>
          <w:rFonts w:ascii="Arial" w:eastAsia="Helvetica" w:hAnsi="Arial" w:cs="Arial"/>
          <w:color w:val="1A1A1A"/>
        </w:rPr>
        <w:footnoteReference w:id="42"/>
      </w:r>
      <w:r w:rsidR="008A7159" w:rsidRPr="00CC43CA">
        <w:rPr>
          <w:rFonts w:ascii="Arial" w:eastAsia="Helvetica" w:hAnsi="Arial" w:cs="Arial"/>
          <w:color w:val="1A1A1A"/>
        </w:rPr>
        <w:t xml:space="preserve"> These visits </w:t>
      </w:r>
      <w:r w:rsidR="00053A20">
        <w:rPr>
          <w:rFonts w:ascii="Arial" w:eastAsia="Helvetica" w:hAnsi="Arial" w:cs="Arial"/>
          <w:color w:val="1A1A1A"/>
        </w:rPr>
        <w:t xml:space="preserve">were </w:t>
      </w:r>
      <w:r w:rsidR="008A7159" w:rsidRPr="00CC43CA">
        <w:rPr>
          <w:rFonts w:ascii="Arial" w:eastAsia="Helvetica" w:hAnsi="Arial" w:cs="Arial"/>
          <w:color w:val="1A1A1A"/>
        </w:rPr>
        <w:t xml:space="preserve">brief and stage-managed encounters, </w:t>
      </w:r>
      <w:r w:rsidR="00053A20">
        <w:rPr>
          <w:rFonts w:ascii="Arial" w:eastAsia="Helvetica" w:hAnsi="Arial" w:cs="Arial"/>
          <w:color w:val="1A1A1A"/>
        </w:rPr>
        <w:t>being</w:t>
      </w:r>
      <w:r w:rsidR="008A7159" w:rsidRPr="00CC43CA">
        <w:rPr>
          <w:rFonts w:ascii="Arial" w:eastAsia="Helvetica" w:hAnsi="Arial" w:cs="Arial"/>
          <w:color w:val="1A1A1A"/>
        </w:rPr>
        <w:t xml:space="preserve"> more focused on legitimising the </w:t>
      </w:r>
      <w:r w:rsidR="00BC21AE">
        <w:rPr>
          <w:rFonts w:ascii="Arial" w:eastAsia="Helvetica" w:hAnsi="Arial" w:cs="Arial"/>
          <w:color w:val="1A1A1A"/>
        </w:rPr>
        <w:t xml:space="preserve">visitors’ </w:t>
      </w:r>
      <w:r w:rsidR="008A7159" w:rsidRPr="00CC43CA">
        <w:rPr>
          <w:rFonts w:ascii="Arial" w:eastAsia="Helvetica" w:hAnsi="Arial" w:cs="Arial"/>
          <w:color w:val="1A1A1A"/>
        </w:rPr>
        <w:t xml:space="preserve">existing approaches rather than being a genuine source of new policy ideas. </w:t>
      </w:r>
    </w:p>
    <w:p w14:paraId="20126E6D" w14:textId="7E230F8E" w:rsidR="00DF445B" w:rsidRPr="00CC43CA" w:rsidRDefault="00DF445B" w:rsidP="00F30E5E">
      <w:pPr>
        <w:spacing w:after="0" w:line="276" w:lineRule="auto"/>
        <w:rPr>
          <w:rFonts w:ascii="Arial" w:eastAsia="Helvetica" w:hAnsi="Arial" w:cs="Arial"/>
          <w:color w:val="1A1A1A"/>
        </w:rPr>
      </w:pPr>
    </w:p>
    <w:p w14:paraId="71C4166F" w14:textId="693D365C" w:rsidR="00131184" w:rsidRPr="00CC43CA" w:rsidRDefault="00FB6999" w:rsidP="00F30E5E">
      <w:pPr>
        <w:spacing w:after="0" w:line="276" w:lineRule="auto"/>
        <w:rPr>
          <w:rFonts w:ascii="Arial" w:eastAsia="Helvetica" w:hAnsi="Arial" w:cs="Arial"/>
          <w:b/>
          <w:i/>
          <w:color w:val="1A1A1A"/>
        </w:rPr>
      </w:pPr>
      <w:r>
        <w:rPr>
          <w:rFonts w:ascii="Arial" w:eastAsia="Helvetica" w:hAnsi="Arial" w:cs="Arial"/>
          <w:b/>
          <w:i/>
          <w:color w:val="1A1A1A"/>
        </w:rPr>
        <w:t xml:space="preserve">4. </w:t>
      </w:r>
      <w:r w:rsidR="00131184" w:rsidRPr="00CC43CA">
        <w:rPr>
          <w:rFonts w:ascii="Arial" w:eastAsia="Helvetica" w:hAnsi="Arial" w:cs="Arial"/>
          <w:b/>
          <w:i/>
          <w:color w:val="1A1A1A"/>
        </w:rPr>
        <w:t>From where and to where are policies transferred?</w:t>
      </w:r>
    </w:p>
    <w:p w14:paraId="15B9D5D2" w14:textId="32B5153A" w:rsidR="00131184" w:rsidRPr="00CC43CA" w:rsidRDefault="00131184" w:rsidP="000D3429">
      <w:pPr>
        <w:spacing w:after="0" w:line="276" w:lineRule="auto"/>
        <w:rPr>
          <w:rFonts w:ascii="Arial" w:eastAsia="Helvetica" w:hAnsi="Arial" w:cs="Arial"/>
          <w:color w:val="1A1A1A"/>
        </w:rPr>
      </w:pPr>
      <w:r w:rsidRPr="00CC43CA">
        <w:rPr>
          <w:rFonts w:ascii="Arial" w:eastAsia="Helvetica" w:hAnsi="Arial" w:cs="Arial"/>
          <w:color w:val="1A1A1A"/>
        </w:rPr>
        <w:t xml:space="preserve">Much work has focused on the North-to-North </w:t>
      </w:r>
      <w:r w:rsidR="00AC0DDB">
        <w:rPr>
          <w:rFonts w:ascii="Arial" w:eastAsia="Helvetica" w:hAnsi="Arial" w:cs="Arial"/>
          <w:color w:val="1A1A1A"/>
        </w:rPr>
        <w:t>policy mobility</w:t>
      </w:r>
      <w:r w:rsidRPr="00CC43CA">
        <w:rPr>
          <w:rFonts w:ascii="Arial" w:eastAsia="Helvetica" w:hAnsi="Arial" w:cs="Arial"/>
          <w:color w:val="1A1A1A"/>
        </w:rPr>
        <w:t xml:space="preserve">, </w:t>
      </w:r>
      <w:r w:rsidR="00800658">
        <w:rPr>
          <w:rFonts w:ascii="Arial" w:eastAsia="Helvetica" w:hAnsi="Arial" w:cs="Arial"/>
          <w:color w:val="1A1A1A"/>
        </w:rPr>
        <w:t xml:space="preserve">arguably </w:t>
      </w:r>
      <w:r w:rsidR="00071CF3" w:rsidRPr="00CC43CA">
        <w:rPr>
          <w:rFonts w:ascii="Arial" w:eastAsia="Helvetica" w:hAnsi="Arial" w:cs="Arial"/>
          <w:color w:val="1A1A1A"/>
        </w:rPr>
        <w:t xml:space="preserve">reflecting the </w:t>
      </w:r>
      <w:r w:rsidR="00560E40" w:rsidRPr="00CC43CA">
        <w:rPr>
          <w:rFonts w:ascii="Arial" w:eastAsia="Helvetica" w:hAnsi="Arial" w:cs="Arial"/>
          <w:color w:val="1A1A1A"/>
        </w:rPr>
        <w:t>earl</w:t>
      </w:r>
      <w:r w:rsidR="00AC0DDB">
        <w:rPr>
          <w:rFonts w:ascii="Arial" w:eastAsia="Helvetica" w:hAnsi="Arial" w:cs="Arial"/>
          <w:color w:val="1A1A1A"/>
        </w:rPr>
        <w:t>y</w:t>
      </w:r>
      <w:r w:rsidR="00560E40" w:rsidRPr="00CC43CA">
        <w:rPr>
          <w:rFonts w:ascii="Arial" w:eastAsia="Helvetica" w:hAnsi="Arial" w:cs="Arial"/>
          <w:color w:val="1A1A1A"/>
        </w:rPr>
        <w:t xml:space="preserve"> </w:t>
      </w:r>
      <w:r w:rsidR="00071CF3" w:rsidRPr="00CC43CA">
        <w:rPr>
          <w:rFonts w:ascii="Arial" w:eastAsia="Helvetica" w:hAnsi="Arial" w:cs="Arial"/>
          <w:color w:val="1A1A1A"/>
        </w:rPr>
        <w:t>literature</w:t>
      </w:r>
      <w:r w:rsidR="00800658">
        <w:rPr>
          <w:rFonts w:ascii="Arial" w:eastAsia="Helvetica" w:hAnsi="Arial" w:cs="Arial"/>
          <w:color w:val="1A1A1A"/>
        </w:rPr>
        <w:t xml:space="preserve">’s </w:t>
      </w:r>
      <w:r w:rsidR="004D3930" w:rsidRPr="00CC43CA">
        <w:rPr>
          <w:rFonts w:ascii="Arial" w:eastAsia="Helvetica" w:hAnsi="Arial" w:cs="Arial"/>
          <w:color w:val="1A1A1A"/>
        </w:rPr>
        <w:t>‘excessive preoccupation with Western countries’.</w:t>
      </w:r>
      <w:r w:rsidR="00DE2159">
        <w:rPr>
          <w:rStyle w:val="FootnoteReference"/>
          <w:rFonts w:ascii="Arial" w:eastAsia="Helvetica" w:hAnsi="Arial" w:cs="Arial"/>
          <w:color w:val="1A1A1A"/>
        </w:rPr>
        <w:footnoteReference w:id="43"/>
      </w:r>
      <w:r w:rsidR="004D3930" w:rsidRPr="00CC43CA">
        <w:rPr>
          <w:rFonts w:ascii="Arial" w:eastAsia="Helvetica" w:hAnsi="Arial" w:cs="Arial"/>
          <w:color w:val="1A1A1A"/>
        </w:rPr>
        <w:t xml:space="preserve"> Many </w:t>
      </w:r>
      <w:r w:rsidR="00AC0DDB">
        <w:rPr>
          <w:rFonts w:ascii="Arial" w:eastAsia="Helvetica" w:hAnsi="Arial" w:cs="Arial"/>
          <w:color w:val="1A1A1A"/>
        </w:rPr>
        <w:t>early</w:t>
      </w:r>
      <w:r w:rsidR="004D3930" w:rsidRPr="00CC43CA">
        <w:rPr>
          <w:rFonts w:ascii="Arial" w:eastAsia="Helvetica" w:hAnsi="Arial" w:cs="Arial"/>
          <w:color w:val="1A1A1A"/>
        </w:rPr>
        <w:t xml:space="preserve"> studies of crime policy transfer focused on </w:t>
      </w:r>
      <w:r w:rsidR="00BC6342" w:rsidRPr="00CC43CA">
        <w:rPr>
          <w:rFonts w:ascii="Arial" w:eastAsia="Helvetica" w:hAnsi="Arial" w:cs="Arial"/>
          <w:color w:val="1A1A1A"/>
        </w:rPr>
        <w:t>US-inspired models</w:t>
      </w:r>
      <w:r w:rsidR="00DE2159">
        <w:rPr>
          <w:rStyle w:val="FootnoteReference"/>
          <w:rFonts w:ascii="Arial" w:eastAsia="Helvetica" w:hAnsi="Arial" w:cs="Arial"/>
          <w:color w:val="1A1A1A"/>
        </w:rPr>
        <w:footnoteReference w:id="44"/>
      </w:r>
      <w:r w:rsidR="00BC6342" w:rsidRPr="00CC43CA">
        <w:rPr>
          <w:rFonts w:ascii="Arial" w:eastAsia="Helvetica" w:hAnsi="Arial" w:cs="Arial"/>
          <w:color w:val="1A1A1A"/>
        </w:rPr>
        <w:t xml:space="preserve"> </w:t>
      </w:r>
      <w:r w:rsidR="004D3930" w:rsidRPr="00CC43CA">
        <w:rPr>
          <w:rFonts w:ascii="Arial" w:eastAsia="Helvetica" w:hAnsi="Arial" w:cs="Arial"/>
          <w:color w:val="1A1A1A"/>
        </w:rPr>
        <w:t xml:space="preserve">with a broader focus more generally on </w:t>
      </w:r>
      <w:r w:rsidR="00800658">
        <w:rPr>
          <w:rFonts w:ascii="Arial" w:eastAsia="Helvetica" w:hAnsi="Arial" w:cs="Arial"/>
          <w:color w:val="1A1A1A"/>
        </w:rPr>
        <w:t>relations</w:t>
      </w:r>
      <w:r w:rsidR="004D3930" w:rsidRPr="00CC43CA">
        <w:rPr>
          <w:rFonts w:ascii="Arial" w:eastAsia="Helvetica" w:hAnsi="Arial" w:cs="Arial"/>
          <w:color w:val="1A1A1A"/>
        </w:rPr>
        <w:t xml:space="preserve"> between Anglophone democracies. However, policy exchange between the Global North and the Global South has re</w:t>
      </w:r>
      <w:r w:rsidR="00BC6342" w:rsidRPr="00CC43CA">
        <w:rPr>
          <w:rFonts w:ascii="Arial" w:eastAsia="Helvetica" w:hAnsi="Arial" w:cs="Arial"/>
          <w:color w:val="1A1A1A"/>
        </w:rPr>
        <w:t>ceived</w:t>
      </w:r>
      <w:r w:rsidR="004C00F5" w:rsidRPr="00CC43CA">
        <w:rPr>
          <w:rFonts w:ascii="Arial" w:eastAsia="Helvetica" w:hAnsi="Arial" w:cs="Arial"/>
          <w:color w:val="1A1A1A"/>
        </w:rPr>
        <w:t xml:space="preserve"> increasing</w:t>
      </w:r>
      <w:r w:rsidR="00BC6342" w:rsidRPr="00CC43CA">
        <w:rPr>
          <w:rFonts w:ascii="Arial" w:eastAsia="Helvetica" w:hAnsi="Arial" w:cs="Arial"/>
          <w:color w:val="1A1A1A"/>
        </w:rPr>
        <w:t xml:space="preserve"> attention</w:t>
      </w:r>
      <w:r w:rsidR="000346FD">
        <w:rPr>
          <w:rFonts w:ascii="Arial" w:eastAsia="Helvetica" w:hAnsi="Arial" w:cs="Arial"/>
          <w:color w:val="1A1A1A"/>
        </w:rPr>
        <w:t>, with</w:t>
      </w:r>
      <w:r w:rsidR="00BC6342" w:rsidRPr="00CC43CA">
        <w:rPr>
          <w:rFonts w:ascii="Arial" w:eastAsia="Helvetica" w:hAnsi="Arial" w:cs="Arial"/>
          <w:color w:val="1A1A1A"/>
        </w:rPr>
        <w:t xml:space="preserve"> </w:t>
      </w:r>
      <w:r w:rsidR="000346FD">
        <w:rPr>
          <w:rFonts w:ascii="Arial" w:eastAsia="Helvetica" w:hAnsi="Arial" w:cs="Arial"/>
          <w:color w:val="1A1A1A"/>
        </w:rPr>
        <w:t>s</w:t>
      </w:r>
      <w:r w:rsidR="004D3930" w:rsidRPr="00CC43CA">
        <w:rPr>
          <w:rFonts w:ascii="Arial" w:eastAsia="Helvetica" w:hAnsi="Arial" w:cs="Arial"/>
          <w:color w:val="1A1A1A"/>
        </w:rPr>
        <w:t>cholars highlight</w:t>
      </w:r>
      <w:r w:rsidR="000346FD">
        <w:rPr>
          <w:rFonts w:ascii="Arial" w:eastAsia="Helvetica" w:hAnsi="Arial" w:cs="Arial"/>
          <w:color w:val="1A1A1A"/>
        </w:rPr>
        <w:t>ing</w:t>
      </w:r>
      <w:r w:rsidR="004D3930" w:rsidRPr="00CC43CA">
        <w:rPr>
          <w:rFonts w:ascii="Arial" w:eastAsia="Helvetica" w:hAnsi="Arial" w:cs="Arial"/>
          <w:color w:val="1A1A1A"/>
        </w:rPr>
        <w:t xml:space="preserve"> the problematic aspects of </w:t>
      </w:r>
      <w:r w:rsidR="000346FD">
        <w:rPr>
          <w:rFonts w:ascii="Arial" w:eastAsia="Helvetica" w:hAnsi="Arial" w:cs="Arial"/>
          <w:color w:val="1A1A1A"/>
        </w:rPr>
        <w:t xml:space="preserve">the imposition of </w:t>
      </w:r>
      <w:r w:rsidR="004D3930" w:rsidRPr="00CC43CA">
        <w:rPr>
          <w:rFonts w:ascii="Arial" w:eastAsia="Helvetica" w:hAnsi="Arial" w:cs="Arial"/>
          <w:color w:val="1A1A1A"/>
        </w:rPr>
        <w:t>‘Northern’ models</w:t>
      </w:r>
      <w:r w:rsidR="00276780">
        <w:rPr>
          <w:rFonts w:ascii="Arial" w:eastAsia="Helvetica" w:hAnsi="Arial" w:cs="Arial"/>
          <w:color w:val="1A1A1A"/>
        </w:rPr>
        <w:t>.</w:t>
      </w:r>
      <w:r w:rsidR="00DE2159">
        <w:rPr>
          <w:rStyle w:val="FootnoteReference"/>
          <w:rFonts w:ascii="Arial" w:eastAsia="Helvetica" w:hAnsi="Arial" w:cs="Arial"/>
          <w:color w:val="1A1A1A"/>
        </w:rPr>
        <w:footnoteReference w:id="45"/>
      </w:r>
      <w:r w:rsidR="00F233B5" w:rsidRPr="00CC43CA">
        <w:rPr>
          <w:rFonts w:ascii="Arial" w:eastAsia="Helvetica" w:hAnsi="Arial" w:cs="Arial"/>
          <w:color w:val="1A1A1A"/>
        </w:rPr>
        <w:t xml:space="preserve"> </w:t>
      </w:r>
      <w:r w:rsidR="004D3930" w:rsidRPr="00CC43CA">
        <w:rPr>
          <w:rFonts w:ascii="Arial" w:eastAsia="Helvetica" w:hAnsi="Arial" w:cs="Arial"/>
          <w:color w:val="1A1A1A"/>
        </w:rPr>
        <w:t>There has also been some attention to the ways in which some policy ideas which had their origins in indigenous communities in the Global South and First Nations communities in North America appear to have travelled to the countries of the Global North, not least in the field of restorative justice</w:t>
      </w:r>
      <w:r w:rsidR="00F233B5" w:rsidRPr="00CC43CA">
        <w:rPr>
          <w:rFonts w:ascii="Arial" w:eastAsia="Helvetica" w:hAnsi="Arial" w:cs="Arial"/>
          <w:color w:val="1A1A1A"/>
        </w:rPr>
        <w:t>.</w:t>
      </w:r>
      <w:r w:rsidR="00CD1EC2">
        <w:rPr>
          <w:rStyle w:val="FootnoteReference"/>
          <w:rFonts w:ascii="Arial" w:eastAsia="Helvetica" w:hAnsi="Arial" w:cs="Arial"/>
          <w:color w:val="1A1A1A"/>
        </w:rPr>
        <w:footnoteReference w:id="46"/>
      </w:r>
      <w:r w:rsidR="00F233B5" w:rsidRPr="00CC43CA">
        <w:rPr>
          <w:rFonts w:ascii="Arial" w:eastAsia="Helvetica" w:hAnsi="Arial" w:cs="Arial"/>
          <w:color w:val="1A1A1A"/>
        </w:rPr>
        <w:t xml:space="preserve"> </w:t>
      </w:r>
      <w:r w:rsidR="004B0A63" w:rsidRPr="00CC43CA">
        <w:rPr>
          <w:rFonts w:ascii="Arial" w:eastAsia="Helvetica" w:hAnsi="Arial" w:cs="Arial"/>
          <w:color w:val="1A1A1A"/>
        </w:rPr>
        <w:t>In contrast to the work i</w:t>
      </w:r>
      <w:r w:rsidR="004C00F5" w:rsidRPr="00CC43CA">
        <w:rPr>
          <w:rFonts w:ascii="Arial" w:eastAsia="Helvetica" w:hAnsi="Arial" w:cs="Arial"/>
          <w:color w:val="1A1A1A"/>
        </w:rPr>
        <w:t>n political science, the ‘critic</w:t>
      </w:r>
      <w:r w:rsidR="004B0A63" w:rsidRPr="00CC43CA">
        <w:rPr>
          <w:rFonts w:ascii="Arial" w:eastAsia="Helvetica" w:hAnsi="Arial" w:cs="Arial"/>
          <w:color w:val="1A1A1A"/>
        </w:rPr>
        <w:t xml:space="preserve">al policy studies’ literature has focused on the circulation of policy models in urban governance within and between countries of the Global South, with a particular interest in Latin </w:t>
      </w:r>
      <w:r w:rsidR="004B0A63" w:rsidRPr="00CC43CA">
        <w:rPr>
          <w:rFonts w:ascii="Arial" w:eastAsia="Helvetica" w:hAnsi="Arial" w:cs="Arial"/>
          <w:color w:val="1A1A1A"/>
        </w:rPr>
        <w:lastRenderedPageBreak/>
        <w:t>America.</w:t>
      </w:r>
      <w:r w:rsidR="00CD1EC2">
        <w:rPr>
          <w:rStyle w:val="FootnoteReference"/>
          <w:rFonts w:ascii="Arial" w:eastAsia="Helvetica" w:hAnsi="Arial" w:cs="Arial"/>
          <w:color w:val="1A1A1A"/>
        </w:rPr>
        <w:footnoteReference w:id="47"/>
      </w:r>
      <w:r w:rsidR="004B0A63" w:rsidRPr="00CC43CA">
        <w:rPr>
          <w:rFonts w:ascii="Arial" w:eastAsia="Helvetica" w:hAnsi="Arial" w:cs="Arial"/>
          <w:color w:val="1A1A1A"/>
        </w:rPr>
        <w:t xml:space="preserve"> However, with the exception of some discussion of urban sec</w:t>
      </w:r>
      <w:r w:rsidR="00C23A36" w:rsidRPr="00CC43CA">
        <w:rPr>
          <w:rFonts w:ascii="Arial" w:eastAsia="Helvetica" w:hAnsi="Arial" w:cs="Arial"/>
          <w:color w:val="1A1A1A"/>
        </w:rPr>
        <w:t>urity and policing policies</w:t>
      </w:r>
      <w:r w:rsidR="004B0A63" w:rsidRPr="00CC43CA">
        <w:rPr>
          <w:rFonts w:ascii="Arial" w:eastAsia="Helvetica" w:hAnsi="Arial" w:cs="Arial"/>
          <w:color w:val="1A1A1A"/>
        </w:rPr>
        <w:t>,</w:t>
      </w:r>
      <w:r w:rsidR="00CD1EC2">
        <w:rPr>
          <w:rStyle w:val="FootnoteReference"/>
          <w:rFonts w:ascii="Arial" w:eastAsia="Helvetica" w:hAnsi="Arial" w:cs="Arial"/>
          <w:color w:val="1A1A1A"/>
        </w:rPr>
        <w:footnoteReference w:id="48"/>
      </w:r>
      <w:r w:rsidR="004B0A63" w:rsidRPr="00CC43CA">
        <w:rPr>
          <w:rFonts w:ascii="Arial" w:eastAsia="Helvetica" w:hAnsi="Arial" w:cs="Arial"/>
          <w:color w:val="1A1A1A"/>
        </w:rPr>
        <w:t xml:space="preserve"> little of this work to date has touched on policies relating to crime, security and justice. </w:t>
      </w:r>
      <w:r w:rsidR="000D3429" w:rsidRPr="00CC43CA">
        <w:rPr>
          <w:rFonts w:ascii="Arial" w:eastAsia="Helvetica" w:hAnsi="Arial" w:cs="Arial"/>
          <w:color w:val="1A1A1A"/>
        </w:rPr>
        <w:t>In addition, even where there do appear to be examples of South-South policy exchange, Montero notes that such processes are often mediated by North-based international governmental and non-governmental organisations such that ‘Southern</w:t>
      </w:r>
      <w:r w:rsidR="002C52B4" w:rsidRPr="00CC43CA">
        <w:rPr>
          <w:rFonts w:ascii="Arial" w:eastAsia="Helvetica" w:hAnsi="Arial" w:cs="Arial"/>
          <w:color w:val="1A1A1A"/>
        </w:rPr>
        <w:t xml:space="preserve"> </w:t>
      </w:r>
      <w:r w:rsidR="000D3429" w:rsidRPr="00CC43CA">
        <w:rPr>
          <w:rFonts w:ascii="Arial" w:eastAsia="Helvetica" w:hAnsi="Arial" w:cs="Arial"/>
          <w:color w:val="1A1A1A"/>
        </w:rPr>
        <w:t>policies that reach world recognition are also deeply entangled with Northern</w:t>
      </w:r>
      <w:r w:rsidR="002C52B4" w:rsidRPr="00CC43CA">
        <w:rPr>
          <w:rFonts w:ascii="Arial" w:eastAsia="Helvetica" w:hAnsi="Arial" w:cs="Arial"/>
          <w:color w:val="1A1A1A"/>
        </w:rPr>
        <w:t xml:space="preserve"> </w:t>
      </w:r>
      <w:r w:rsidR="000D3429" w:rsidRPr="00CC43CA">
        <w:rPr>
          <w:rFonts w:ascii="Arial" w:eastAsia="Helvetica" w:hAnsi="Arial" w:cs="Arial"/>
          <w:color w:val="1A1A1A"/>
        </w:rPr>
        <w:t>policy networks and agendas’.</w:t>
      </w:r>
      <w:r w:rsidR="00CD1EC2">
        <w:rPr>
          <w:rStyle w:val="FootnoteReference"/>
          <w:rFonts w:ascii="Arial" w:eastAsia="Helvetica" w:hAnsi="Arial" w:cs="Arial"/>
          <w:color w:val="1A1A1A"/>
        </w:rPr>
        <w:footnoteReference w:id="49"/>
      </w:r>
      <w:r w:rsidR="000D3429" w:rsidRPr="00CC43CA">
        <w:rPr>
          <w:rFonts w:ascii="Arial" w:eastAsia="Helvetica" w:hAnsi="Arial" w:cs="Arial"/>
          <w:color w:val="1A1A1A"/>
        </w:rPr>
        <w:t xml:space="preserve"> F</w:t>
      </w:r>
      <w:r w:rsidR="004B0A63" w:rsidRPr="00CC43CA">
        <w:rPr>
          <w:rFonts w:ascii="Arial" w:eastAsia="Helvetica" w:hAnsi="Arial" w:cs="Arial"/>
          <w:color w:val="1A1A1A"/>
        </w:rPr>
        <w:t xml:space="preserve">inally, it is worth noting that whilst criminal justice policies remain focused on the level of the nation state, the growing focus on ‘security’ (which tends to incorporate </w:t>
      </w:r>
      <w:r w:rsidR="00560E40" w:rsidRPr="00CC43CA">
        <w:rPr>
          <w:rFonts w:ascii="Arial" w:eastAsia="Helvetica" w:hAnsi="Arial" w:cs="Arial"/>
          <w:color w:val="1A1A1A"/>
        </w:rPr>
        <w:t>a</w:t>
      </w:r>
      <w:r w:rsidR="004B0A63" w:rsidRPr="00CC43CA">
        <w:rPr>
          <w:rFonts w:ascii="Arial" w:eastAsia="Helvetica" w:hAnsi="Arial" w:cs="Arial"/>
          <w:color w:val="1A1A1A"/>
        </w:rPr>
        <w:t xml:space="preserve"> wider range of agents below, beyond and above the level of the nation state) has helped to highlight issues of cross-national transfer that occur between sub-state units</w:t>
      </w:r>
      <w:r w:rsidR="00A1556F" w:rsidRPr="00CC43CA">
        <w:rPr>
          <w:rFonts w:ascii="Arial" w:eastAsia="Helvetica" w:hAnsi="Arial" w:cs="Arial"/>
          <w:color w:val="1A1A1A"/>
        </w:rPr>
        <w:t>, not least ‘city regions</w:t>
      </w:r>
      <w:r w:rsidR="00BE1248">
        <w:rPr>
          <w:rFonts w:ascii="Arial" w:eastAsia="Helvetica" w:hAnsi="Arial" w:cs="Arial"/>
          <w:color w:val="1A1A1A"/>
        </w:rPr>
        <w:t>’</w:t>
      </w:r>
      <w:r w:rsidR="004B0A63" w:rsidRPr="00CC43CA">
        <w:rPr>
          <w:rFonts w:ascii="Arial" w:eastAsia="Helvetica" w:hAnsi="Arial" w:cs="Arial"/>
          <w:color w:val="1A1A1A"/>
        </w:rPr>
        <w:t>.</w:t>
      </w:r>
      <w:r w:rsidR="00BE1248">
        <w:rPr>
          <w:rStyle w:val="FootnoteReference"/>
          <w:rFonts w:ascii="Arial" w:eastAsia="Helvetica" w:hAnsi="Arial" w:cs="Arial"/>
          <w:color w:val="1A1A1A"/>
        </w:rPr>
        <w:footnoteReference w:id="50"/>
      </w:r>
      <w:r w:rsidR="004B0A63" w:rsidRPr="00CC43CA">
        <w:rPr>
          <w:rFonts w:ascii="Arial" w:eastAsia="Helvetica" w:hAnsi="Arial" w:cs="Arial"/>
          <w:color w:val="1A1A1A"/>
        </w:rPr>
        <w:t xml:space="preserve"> </w:t>
      </w:r>
    </w:p>
    <w:p w14:paraId="655DAB88" w14:textId="558A5F7D" w:rsidR="008E10C5" w:rsidRPr="00CC43CA" w:rsidRDefault="008E10C5" w:rsidP="00F30E5E">
      <w:pPr>
        <w:spacing w:after="0" w:line="276" w:lineRule="auto"/>
        <w:rPr>
          <w:rFonts w:ascii="Arial" w:eastAsia="Helvetica" w:hAnsi="Arial" w:cs="Arial"/>
          <w:color w:val="1A1A1A"/>
        </w:rPr>
      </w:pPr>
    </w:p>
    <w:p w14:paraId="3C73166B" w14:textId="7B6FAB63" w:rsidR="008E10C5" w:rsidRPr="00CC43CA" w:rsidRDefault="00FB6999" w:rsidP="00F30E5E">
      <w:pPr>
        <w:spacing w:after="0" w:line="276" w:lineRule="auto"/>
        <w:rPr>
          <w:rFonts w:ascii="Arial" w:eastAsia="Helvetica" w:hAnsi="Arial" w:cs="Arial"/>
          <w:b/>
          <w:i/>
          <w:color w:val="1A1A1A"/>
        </w:rPr>
      </w:pPr>
      <w:r>
        <w:rPr>
          <w:rFonts w:ascii="Arial" w:eastAsia="Helvetica" w:hAnsi="Arial" w:cs="Arial"/>
          <w:b/>
          <w:i/>
          <w:color w:val="1A1A1A"/>
        </w:rPr>
        <w:t xml:space="preserve">5. </w:t>
      </w:r>
      <w:r w:rsidR="00DC4084" w:rsidRPr="00CC43CA">
        <w:rPr>
          <w:rFonts w:ascii="Arial" w:eastAsia="Helvetica" w:hAnsi="Arial" w:cs="Arial"/>
          <w:b/>
          <w:i/>
          <w:color w:val="1A1A1A"/>
        </w:rPr>
        <w:t xml:space="preserve">What </w:t>
      </w:r>
      <w:r w:rsidR="004B0A63" w:rsidRPr="00CC43CA">
        <w:rPr>
          <w:rFonts w:ascii="Arial" w:eastAsia="Helvetica" w:hAnsi="Arial" w:cs="Arial"/>
          <w:b/>
          <w:i/>
          <w:color w:val="1A1A1A"/>
        </w:rPr>
        <w:t>factors constrain or facilitate</w:t>
      </w:r>
      <w:r w:rsidR="00DC4084" w:rsidRPr="00CC43CA">
        <w:rPr>
          <w:rFonts w:ascii="Arial" w:eastAsia="Helvetica" w:hAnsi="Arial" w:cs="Arial"/>
          <w:b/>
          <w:i/>
          <w:color w:val="1A1A1A"/>
        </w:rPr>
        <w:t xml:space="preserve"> policy movement?</w:t>
      </w:r>
    </w:p>
    <w:p w14:paraId="249AE98B" w14:textId="3C05AD99" w:rsidR="00874075" w:rsidRPr="00D256D8" w:rsidRDefault="004C00F5" w:rsidP="00676C8F">
      <w:pPr>
        <w:spacing w:after="0" w:line="276" w:lineRule="auto"/>
        <w:rPr>
          <w:rFonts w:ascii="Arial" w:eastAsia="Helvetica" w:hAnsi="Arial" w:cs="Arial"/>
          <w:color w:val="1A1A1A"/>
        </w:rPr>
      </w:pPr>
      <w:r w:rsidRPr="00CC43CA">
        <w:rPr>
          <w:rFonts w:ascii="Arial" w:eastAsia="Helvetica" w:hAnsi="Arial" w:cs="Arial"/>
          <w:color w:val="1A1A1A"/>
        </w:rPr>
        <w:t>Diffusion and transfer studies generally have focused respectively upon structural explanations and those more predicated on the agency of political actors. Within the specific fields of security and justice, research has suggested a number of factors that limit or facilitate policy transfer</w:t>
      </w:r>
      <w:r w:rsidR="00375B83">
        <w:rPr>
          <w:rFonts w:ascii="Arial" w:eastAsia="Helvetica" w:hAnsi="Arial" w:cs="Arial"/>
          <w:color w:val="1A1A1A"/>
        </w:rPr>
        <w:t xml:space="preserve">, not least the </w:t>
      </w:r>
      <w:r w:rsidRPr="00CC43CA">
        <w:rPr>
          <w:rFonts w:ascii="Arial" w:eastAsia="Helvetica" w:hAnsi="Arial" w:cs="Arial"/>
          <w:color w:val="1A1A1A"/>
        </w:rPr>
        <w:t>supposed political, legal and ideological proximity</w:t>
      </w:r>
      <w:r w:rsidR="00375B83">
        <w:rPr>
          <w:rFonts w:ascii="Arial" w:eastAsia="Helvetica" w:hAnsi="Arial" w:cs="Arial"/>
          <w:color w:val="1A1A1A"/>
        </w:rPr>
        <w:t xml:space="preserve"> of Anglophone countries</w:t>
      </w:r>
      <w:r w:rsidRPr="00CC43CA">
        <w:rPr>
          <w:rFonts w:ascii="Arial" w:eastAsia="Helvetica" w:hAnsi="Arial" w:cs="Arial"/>
          <w:color w:val="1A1A1A"/>
        </w:rPr>
        <w:t xml:space="preserve">. </w:t>
      </w:r>
      <w:r w:rsidR="002A1367" w:rsidRPr="00CC43CA">
        <w:rPr>
          <w:rFonts w:ascii="Arial" w:eastAsia="Helvetica" w:hAnsi="Arial" w:cs="Arial"/>
          <w:color w:val="1A1A1A"/>
        </w:rPr>
        <w:t xml:space="preserve">Our research on crime control policy transfer from the USA found that shared language, common law traditions and perceived cultural similarities were important explanations </w:t>
      </w:r>
      <w:r w:rsidR="00375B83">
        <w:rPr>
          <w:rFonts w:ascii="Arial" w:eastAsia="Helvetica" w:hAnsi="Arial" w:cs="Arial"/>
          <w:color w:val="1A1A1A"/>
        </w:rPr>
        <w:t>for</w:t>
      </w:r>
      <w:r w:rsidR="00375B83" w:rsidRPr="00CC43CA">
        <w:rPr>
          <w:rFonts w:ascii="Arial" w:eastAsia="Helvetica" w:hAnsi="Arial" w:cs="Arial"/>
          <w:color w:val="1A1A1A"/>
        </w:rPr>
        <w:t xml:space="preserve"> </w:t>
      </w:r>
      <w:r w:rsidR="002A1367" w:rsidRPr="00CC43CA">
        <w:rPr>
          <w:rFonts w:ascii="Arial" w:eastAsia="Helvetica" w:hAnsi="Arial" w:cs="Arial"/>
          <w:color w:val="1A1A1A"/>
        </w:rPr>
        <w:t>why politicians and policy-makers appeared to look across the Atlantic rather than towards mainland Europe for inspiration.</w:t>
      </w:r>
      <w:r w:rsidR="00BE1248">
        <w:rPr>
          <w:rStyle w:val="FootnoteReference"/>
          <w:rFonts w:ascii="Arial" w:eastAsia="Helvetica" w:hAnsi="Arial" w:cs="Arial"/>
          <w:color w:val="1A1A1A"/>
        </w:rPr>
        <w:footnoteReference w:id="51"/>
      </w:r>
      <w:r w:rsidR="002A1367" w:rsidRPr="00CC43CA">
        <w:rPr>
          <w:rFonts w:ascii="Arial" w:eastAsia="Helvetica" w:hAnsi="Arial" w:cs="Arial"/>
          <w:color w:val="1A1A1A"/>
        </w:rPr>
        <w:t xml:space="preserve"> However, we also found that once policies, or elements of them, found their way across the Atlantic, the very different political, cultural and legal contexts </w:t>
      </w:r>
      <w:r w:rsidR="003C1A30" w:rsidRPr="00CC43CA">
        <w:rPr>
          <w:rFonts w:ascii="Arial" w:eastAsia="Helvetica" w:hAnsi="Arial" w:cs="Arial"/>
          <w:color w:val="1A1A1A"/>
        </w:rPr>
        <w:t>constrained policy transfer in practice, providing</w:t>
      </w:r>
      <w:r w:rsidR="002A1367" w:rsidRPr="00CC43CA">
        <w:rPr>
          <w:rFonts w:ascii="Arial" w:eastAsia="Helvetica" w:hAnsi="Arial" w:cs="Arial"/>
          <w:color w:val="1A1A1A"/>
        </w:rPr>
        <w:t xml:space="preserve"> space </w:t>
      </w:r>
      <w:r w:rsidR="003C1A30" w:rsidRPr="00CC43CA">
        <w:rPr>
          <w:rFonts w:ascii="Arial" w:eastAsia="Helvetica" w:hAnsi="Arial" w:cs="Arial"/>
          <w:color w:val="1A1A1A"/>
        </w:rPr>
        <w:t xml:space="preserve">and levers </w:t>
      </w:r>
      <w:r w:rsidR="002A1367" w:rsidRPr="00CC43CA">
        <w:rPr>
          <w:rFonts w:ascii="Arial" w:eastAsia="Helvetica" w:hAnsi="Arial" w:cs="Arial"/>
          <w:color w:val="1A1A1A"/>
        </w:rPr>
        <w:t xml:space="preserve">for resistance, reworking and reconfiguration (so </w:t>
      </w:r>
      <w:r w:rsidR="003C1A30" w:rsidRPr="00CC43CA">
        <w:rPr>
          <w:rFonts w:ascii="Arial" w:eastAsia="Helvetica" w:hAnsi="Arial" w:cs="Arial"/>
          <w:color w:val="1A1A1A"/>
        </w:rPr>
        <w:t xml:space="preserve">that policies hardly </w:t>
      </w:r>
      <w:r w:rsidR="002A1367" w:rsidRPr="00CC43CA">
        <w:rPr>
          <w:rFonts w:ascii="Arial" w:eastAsia="Helvetica" w:hAnsi="Arial" w:cs="Arial"/>
          <w:color w:val="1A1A1A"/>
        </w:rPr>
        <w:t>develop</w:t>
      </w:r>
      <w:r w:rsidR="003C1A30" w:rsidRPr="00CC43CA">
        <w:rPr>
          <w:rFonts w:ascii="Arial" w:eastAsia="Helvetica" w:hAnsi="Arial" w:cs="Arial"/>
          <w:color w:val="1A1A1A"/>
        </w:rPr>
        <w:t>ed</w:t>
      </w:r>
      <w:r w:rsidR="002A1367" w:rsidRPr="00CC43CA">
        <w:rPr>
          <w:rFonts w:ascii="Arial" w:eastAsia="Helvetica" w:hAnsi="Arial" w:cs="Arial"/>
          <w:color w:val="1A1A1A"/>
        </w:rPr>
        <w:t xml:space="preserve"> at all, or developed in very different </w:t>
      </w:r>
      <w:r w:rsidR="00DC3F65" w:rsidRPr="00CC43CA">
        <w:rPr>
          <w:rFonts w:ascii="Arial" w:eastAsia="Helvetica" w:hAnsi="Arial" w:cs="Arial"/>
          <w:color w:val="1A1A1A"/>
        </w:rPr>
        <w:t>ways in the UK context).</w:t>
      </w:r>
      <w:r w:rsidR="00463FBA">
        <w:rPr>
          <w:rStyle w:val="FootnoteReference"/>
          <w:rFonts w:ascii="Arial" w:eastAsia="Helvetica" w:hAnsi="Arial" w:cs="Arial"/>
          <w:color w:val="1A1A1A"/>
        </w:rPr>
        <w:footnoteReference w:id="52"/>
      </w:r>
      <w:r w:rsidR="00DC3F65" w:rsidRPr="00CC43CA">
        <w:rPr>
          <w:rFonts w:ascii="Arial" w:eastAsia="Helvetica" w:hAnsi="Arial" w:cs="Arial"/>
          <w:color w:val="1A1A1A"/>
        </w:rPr>
        <w:t xml:space="preserve"> </w:t>
      </w:r>
      <w:r w:rsidR="00375B83">
        <w:rPr>
          <w:rFonts w:ascii="Arial" w:eastAsia="Helvetica" w:hAnsi="Arial" w:cs="Arial"/>
          <w:color w:val="1A1A1A"/>
        </w:rPr>
        <w:t xml:space="preserve">Others have </w:t>
      </w:r>
      <w:r w:rsidR="00DC3F65" w:rsidRPr="00CC43CA">
        <w:rPr>
          <w:rFonts w:ascii="Arial" w:eastAsia="Helvetica" w:hAnsi="Arial" w:cs="Arial"/>
          <w:color w:val="1A1A1A"/>
        </w:rPr>
        <w:t>highlight</w:t>
      </w:r>
      <w:r w:rsidR="00375B83">
        <w:rPr>
          <w:rFonts w:ascii="Arial" w:eastAsia="Helvetica" w:hAnsi="Arial" w:cs="Arial"/>
          <w:color w:val="1A1A1A"/>
        </w:rPr>
        <w:t>ed</w:t>
      </w:r>
      <w:r w:rsidR="00DC3F65" w:rsidRPr="00CC43CA">
        <w:rPr>
          <w:rFonts w:ascii="Arial" w:eastAsia="Helvetica" w:hAnsi="Arial" w:cs="Arial"/>
          <w:color w:val="1A1A1A"/>
        </w:rPr>
        <w:t xml:space="preserve"> the ways in which UK/US ‘community policing’ models took on a very different shape when introduced into the contrasting environments of South Africa and the </w:t>
      </w:r>
      <w:r w:rsidR="00DC3F65" w:rsidRPr="00CC43CA">
        <w:rPr>
          <w:rFonts w:ascii="Arial" w:eastAsia="Helvetica" w:hAnsi="Arial" w:cs="Arial"/>
          <w:color w:val="1A1A1A"/>
        </w:rPr>
        <w:lastRenderedPageBreak/>
        <w:t>Caribbean.</w:t>
      </w:r>
      <w:r w:rsidR="00463FBA">
        <w:rPr>
          <w:rStyle w:val="FootnoteReference"/>
          <w:rFonts w:ascii="Arial" w:eastAsia="Helvetica" w:hAnsi="Arial" w:cs="Arial"/>
          <w:color w:val="1A1A1A"/>
        </w:rPr>
        <w:footnoteReference w:id="53"/>
      </w:r>
      <w:r w:rsidR="00DC3F65" w:rsidRPr="00CC43CA">
        <w:rPr>
          <w:rFonts w:ascii="Arial" w:eastAsia="Helvetica" w:hAnsi="Arial" w:cs="Arial"/>
          <w:color w:val="1A1A1A"/>
        </w:rPr>
        <w:t xml:space="preserve"> </w:t>
      </w:r>
      <w:r w:rsidR="003D0C52">
        <w:rPr>
          <w:rFonts w:ascii="Arial" w:eastAsia="Helvetica" w:hAnsi="Arial" w:cs="Arial"/>
          <w:color w:val="1A1A1A"/>
        </w:rPr>
        <w:t xml:space="preserve">The nature of policies may also help explain their </w:t>
      </w:r>
      <w:r w:rsidR="00DC3F65" w:rsidRPr="00CC43CA">
        <w:rPr>
          <w:rFonts w:ascii="Arial" w:eastAsia="Helvetica" w:hAnsi="Arial" w:cs="Arial"/>
          <w:color w:val="1A1A1A"/>
        </w:rPr>
        <w:t>‘portability’</w:t>
      </w:r>
      <w:r w:rsidR="003D0C52">
        <w:rPr>
          <w:rFonts w:ascii="Arial" w:eastAsia="Helvetica" w:hAnsi="Arial" w:cs="Arial"/>
          <w:color w:val="1A1A1A"/>
        </w:rPr>
        <w:t xml:space="preserve">, for as </w:t>
      </w:r>
      <w:r w:rsidR="00DC3F65" w:rsidRPr="00CC43CA">
        <w:rPr>
          <w:rFonts w:ascii="Arial" w:eastAsia="Helvetica" w:hAnsi="Arial" w:cs="Arial"/>
          <w:color w:val="1A1A1A"/>
        </w:rPr>
        <w:t xml:space="preserve"> </w:t>
      </w:r>
      <w:r w:rsidR="00874075" w:rsidRPr="00CC43CA">
        <w:rPr>
          <w:rFonts w:ascii="Arial" w:eastAsia="Helvetica" w:hAnsi="Arial" w:cs="Arial"/>
          <w:color w:val="1A1A1A"/>
        </w:rPr>
        <w:t xml:space="preserve">Tonry </w:t>
      </w:r>
      <w:r w:rsidR="003D0C52">
        <w:rPr>
          <w:rFonts w:ascii="Arial" w:eastAsia="Helvetica" w:hAnsi="Arial" w:cs="Arial"/>
          <w:color w:val="1A1A1A"/>
        </w:rPr>
        <w:t>notes</w:t>
      </w:r>
      <w:r w:rsidR="00874075" w:rsidRPr="00CC43CA">
        <w:rPr>
          <w:rFonts w:ascii="Arial" w:eastAsia="Helvetica" w:hAnsi="Arial" w:cs="Arial"/>
          <w:color w:val="1A1A1A"/>
        </w:rPr>
        <w:t xml:space="preserve">: </w:t>
      </w:r>
      <w:r w:rsidR="00D256D8">
        <w:rPr>
          <w:rFonts w:ascii="Arial" w:eastAsia="Helvetica" w:hAnsi="Arial" w:cs="Arial"/>
          <w:color w:val="1A1A1A"/>
        </w:rPr>
        <w:t>‘</w:t>
      </w:r>
      <w:r w:rsidR="00874075" w:rsidRPr="00676C8F">
        <w:rPr>
          <w:rFonts w:ascii="Arial" w:eastAsia="Helvetica" w:hAnsi="Arial" w:cs="Arial"/>
          <w:color w:val="1A1A1A"/>
        </w:rPr>
        <w:t>One theme that emerges is that purely technological innovations with few self-evident ideological implications transfer easily and comparatively quickly. Policies that raise political and ideological implications do not</w:t>
      </w:r>
      <w:r w:rsidR="00D256D8">
        <w:rPr>
          <w:rFonts w:ascii="Arial" w:eastAsia="Helvetica" w:hAnsi="Arial" w:cs="Arial"/>
          <w:color w:val="1A1A1A"/>
        </w:rPr>
        <w:t>.’</w:t>
      </w:r>
      <w:r w:rsidR="00463FBA">
        <w:rPr>
          <w:rStyle w:val="FootnoteReference"/>
          <w:rFonts w:ascii="Arial" w:eastAsia="Helvetica" w:hAnsi="Arial" w:cs="Arial"/>
          <w:color w:val="1A1A1A"/>
        </w:rPr>
        <w:footnoteReference w:id="54"/>
      </w:r>
    </w:p>
    <w:p w14:paraId="34290468" w14:textId="77777777" w:rsidR="00874075" w:rsidRPr="00CC43CA" w:rsidRDefault="00874075" w:rsidP="00F30E5E">
      <w:pPr>
        <w:spacing w:after="0" w:line="276" w:lineRule="auto"/>
        <w:rPr>
          <w:rFonts w:ascii="Arial" w:eastAsia="Helvetica" w:hAnsi="Arial" w:cs="Arial"/>
          <w:color w:val="1A1A1A"/>
        </w:rPr>
      </w:pPr>
    </w:p>
    <w:p w14:paraId="44EE1880" w14:textId="3C8F2676" w:rsidR="00A74B9A" w:rsidRPr="00CC43CA" w:rsidRDefault="00874075" w:rsidP="00874075">
      <w:pPr>
        <w:spacing w:after="0" w:line="276" w:lineRule="auto"/>
        <w:rPr>
          <w:rFonts w:ascii="Arial" w:eastAsia="Helvetica" w:hAnsi="Arial" w:cs="Arial"/>
          <w:color w:val="1A1A1A"/>
        </w:rPr>
      </w:pPr>
      <w:r w:rsidRPr="00CC43CA">
        <w:rPr>
          <w:rFonts w:ascii="Arial" w:eastAsia="Helvetica" w:hAnsi="Arial" w:cs="Arial"/>
          <w:color w:val="1A1A1A"/>
        </w:rPr>
        <w:t xml:space="preserve">Interestingly, a contrast </w:t>
      </w:r>
      <w:r w:rsidR="00220232">
        <w:rPr>
          <w:rFonts w:ascii="Arial" w:eastAsia="Helvetica" w:hAnsi="Arial" w:cs="Arial"/>
          <w:color w:val="1A1A1A"/>
        </w:rPr>
        <w:t xml:space="preserve">is visible </w:t>
      </w:r>
      <w:r w:rsidRPr="00CC43CA">
        <w:rPr>
          <w:rFonts w:ascii="Arial" w:eastAsia="Helvetica" w:hAnsi="Arial" w:cs="Arial"/>
          <w:color w:val="1A1A1A"/>
        </w:rPr>
        <w:t xml:space="preserve">between policies relating to (criminal) justice on the one hand, and those relating to ‘security’ on the other. Forms of sentencing and penal interventions may be more closely </w:t>
      </w:r>
      <w:r w:rsidR="00220232">
        <w:rPr>
          <w:rFonts w:ascii="Arial" w:eastAsia="Helvetica" w:hAnsi="Arial" w:cs="Arial"/>
          <w:color w:val="1A1A1A"/>
        </w:rPr>
        <w:t>associated</w:t>
      </w:r>
      <w:r w:rsidRPr="00CC43CA">
        <w:rPr>
          <w:rFonts w:ascii="Arial" w:eastAsia="Helvetica" w:hAnsi="Arial" w:cs="Arial"/>
          <w:color w:val="1A1A1A"/>
        </w:rPr>
        <w:t xml:space="preserve"> with the identity and function of the sovereign nation state, and may explain why they appear to be less mobile internationally when compared with broader issues relating to security provision, especially those in which actors below and beyond the nation state are increasingly active (see Jones and Newburn for the role of commercial corporations in shaping technology transfers relating to electronic monitoring</w:t>
      </w:r>
      <w:r w:rsidR="001514F8">
        <w:rPr>
          <w:rFonts w:ascii="Arial" w:eastAsia="Helvetica" w:hAnsi="Arial" w:cs="Arial"/>
          <w:color w:val="1A1A1A"/>
        </w:rPr>
        <w:t>,</w:t>
      </w:r>
      <w:r w:rsidR="00463FBA">
        <w:rPr>
          <w:rStyle w:val="FootnoteReference"/>
          <w:rFonts w:ascii="Arial" w:eastAsia="Helvetica" w:hAnsi="Arial" w:cs="Arial"/>
          <w:color w:val="1A1A1A"/>
        </w:rPr>
        <w:footnoteReference w:id="55"/>
      </w:r>
      <w:r w:rsidRPr="00CC43CA">
        <w:rPr>
          <w:rFonts w:ascii="Arial" w:eastAsia="Helvetica" w:hAnsi="Arial" w:cs="Arial"/>
          <w:color w:val="1A1A1A"/>
        </w:rPr>
        <w:t xml:space="preserve"> or Edwards and Stenson in relation to transfers of crime prevention approaches between sub-national governing bodies in different countries).</w:t>
      </w:r>
      <w:r w:rsidR="00463FBA">
        <w:rPr>
          <w:rStyle w:val="FootnoteReference"/>
          <w:rFonts w:ascii="Arial" w:eastAsia="Helvetica" w:hAnsi="Arial" w:cs="Arial"/>
          <w:color w:val="1A1A1A"/>
        </w:rPr>
        <w:footnoteReference w:id="56"/>
      </w:r>
      <w:r w:rsidRPr="00CC43CA">
        <w:rPr>
          <w:rFonts w:ascii="Arial" w:eastAsia="Helvetica" w:hAnsi="Arial" w:cs="Arial"/>
          <w:color w:val="1A1A1A"/>
        </w:rPr>
        <w:t xml:space="preserve">  </w:t>
      </w:r>
    </w:p>
    <w:p w14:paraId="5AD9CD4A" w14:textId="77777777" w:rsidR="00874075" w:rsidRPr="00CC43CA" w:rsidRDefault="00874075" w:rsidP="00874075">
      <w:pPr>
        <w:spacing w:after="0" w:line="276" w:lineRule="auto"/>
        <w:rPr>
          <w:rFonts w:ascii="Arial" w:eastAsia="Helvetica" w:hAnsi="Arial" w:cs="Arial"/>
          <w:color w:val="1A1A1A"/>
        </w:rPr>
      </w:pPr>
    </w:p>
    <w:p w14:paraId="05959B48" w14:textId="13E8664D" w:rsidR="00A74B9A" w:rsidRPr="00CC43CA" w:rsidRDefault="00FB6999" w:rsidP="00F30E5E">
      <w:pPr>
        <w:spacing w:after="0" w:line="276" w:lineRule="auto"/>
        <w:rPr>
          <w:rFonts w:ascii="Arial" w:eastAsia="Helvetica" w:hAnsi="Arial" w:cs="Arial"/>
          <w:b/>
          <w:i/>
          <w:color w:val="1A1A1A"/>
        </w:rPr>
      </w:pPr>
      <w:r>
        <w:rPr>
          <w:rFonts w:ascii="Arial" w:eastAsia="Helvetica" w:hAnsi="Arial" w:cs="Arial"/>
          <w:b/>
          <w:i/>
          <w:color w:val="1A1A1A"/>
        </w:rPr>
        <w:t xml:space="preserve">6. </w:t>
      </w:r>
      <w:r w:rsidR="00A74B9A" w:rsidRPr="00CC43CA">
        <w:rPr>
          <w:rFonts w:ascii="Arial" w:eastAsia="Helvetica" w:hAnsi="Arial" w:cs="Arial"/>
          <w:b/>
          <w:i/>
          <w:color w:val="1A1A1A"/>
        </w:rPr>
        <w:t>Who transfers policy?</w:t>
      </w:r>
    </w:p>
    <w:p w14:paraId="1AE088A1" w14:textId="18AC9EC8" w:rsidR="00A74B9A" w:rsidRPr="00CC43CA" w:rsidRDefault="00261EE4" w:rsidP="00500F07">
      <w:pPr>
        <w:spacing w:after="0" w:line="276" w:lineRule="auto"/>
        <w:rPr>
          <w:rFonts w:ascii="Arial" w:eastAsia="Helvetica" w:hAnsi="Arial" w:cs="Arial"/>
          <w:color w:val="1A1A1A"/>
        </w:rPr>
      </w:pPr>
      <w:r>
        <w:rPr>
          <w:rFonts w:ascii="Arial" w:eastAsia="Helvetica" w:hAnsi="Arial" w:cs="Arial"/>
          <w:color w:val="1A1A1A"/>
        </w:rPr>
        <w:t>There are a</w:t>
      </w:r>
      <w:r w:rsidR="00874075" w:rsidRPr="00CC43CA">
        <w:rPr>
          <w:rFonts w:ascii="Arial" w:eastAsia="Helvetica" w:hAnsi="Arial" w:cs="Arial"/>
          <w:color w:val="1A1A1A"/>
        </w:rPr>
        <w:t xml:space="preserve"> number of key </w:t>
      </w:r>
      <w:r>
        <w:rPr>
          <w:rFonts w:ascii="Arial" w:eastAsia="Helvetica" w:hAnsi="Arial" w:cs="Arial"/>
          <w:color w:val="1A1A1A"/>
        </w:rPr>
        <w:t xml:space="preserve">state-level </w:t>
      </w:r>
      <w:r w:rsidR="00874075" w:rsidRPr="00CC43CA">
        <w:rPr>
          <w:rFonts w:ascii="Arial" w:eastAsia="Helvetica" w:hAnsi="Arial" w:cs="Arial"/>
          <w:color w:val="1A1A1A"/>
        </w:rPr>
        <w:t>‘policy transfer’ agents</w:t>
      </w:r>
      <w:r>
        <w:rPr>
          <w:rFonts w:ascii="Arial" w:eastAsia="Helvetica" w:hAnsi="Arial" w:cs="Arial"/>
          <w:color w:val="1A1A1A"/>
        </w:rPr>
        <w:t xml:space="preserve"> </w:t>
      </w:r>
      <w:r w:rsidR="00874075" w:rsidRPr="00CC43CA">
        <w:rPr>
          <w:rFonts w:ascii="Arial" w:eastAsia="Helvetica" w:hAnsi="Arial" w:cs="Arial"/>
          <w:color w:val="1A1A1A"/>
        </w:rPr>
        <w:t>includ</w:t>
      </w:r>
      <w:r>
        <w:rPr>
          <w:rFonts w:ascii="Arial" w:eastAsia="Helvetica" w:hAnsi="Arial" w:cs="Arial"/>
          <w:color w:val="1A1A1A"/>
        </w:rPr>
        <w:t>ing</w:t>
      </w:r>
      <w:r w:rsidR="00874075" w:rsidRPr="00CC43CA">
        <w:rPr>
          <w:rFonts w:ascii="Arial" w:eastAsia="Helvetica" w:hAnsi="Arial" w:cs="Arial"/>
          <w:color w:val="1A1A1A"/>
        </w:rPr>
        <w:t xml:space="preserve"> politicians, civil servants, and political advisors, </w:t>
      </w:r>
      <w:r>
        <w:rPr>
          <w:rFonts w:ascii="Arial" w:eastAsia="Helvetica" w:hAnsi="Arial" w:cs="Arial"/>
          <w:color w:val="1A1A1A"/>
        </w:rPr>
        <w:t>In addition</w:t>
      </w:r>
      <w:r w:rsidR="00874075" w:rsidRPr="00CC43CA">
        <w:rPr>
          <w:rFonts w:ascii="Arial" w:eastAsia="Helvetica" w:hAnsi="Arial" w:cs="Arial"/>
          <w:color w:val="1A1A1A"/>
        </w:rPr>
        <w:t>, a range of actors above and below the level of the state are involved in cross-national policy movement</w:t>
      </w:r>
      <w:r>
        <w:rPr>
          <w:rFonts w:ascii="Arial" w:eastAsia="Helvetica" w:hAnsi="Arial" w:cs="Arial"/>
          <w:color w:val="1A1A1A"/>
        </w:rPr>
        <w:t>, including</w:t>
      </w:r>
      <w:r w:rsidR="00874075" w:rsidRPr="00CC43CA">
        <w:rPr>
          <w:rFonts w:ascii="Arial" w:eastAsia="Helvetica" w:hAnsi="Arial" w:cs="Arial"/>
          <w:color w:val="1A1A1A"/>
        </w:rPr>
        <w:t xml:space="preserve"> N</w:t>
      </w:r>
      <w:r w:rsidR="006576CD" w:rsidRPr="00CC43CA">
        <w:rPr>
          <w:rFonts w:ascii="Arial" w:eastAsia="Helvetica" w:hAnsi="Arial" w:cs="Arial"/>
          <w:color w:val="1A1A1A"/>
        </w:rPr>
        <w:t>GOs</w:t>
      </w:r>
      <w:r w:rsidR="00E45240">
        <w:rPr>
          <w:rFonts w:ascii="Arial" w:eastAsia="Helvetica" w:hAnsi="Arial" w:cs="Arial"/>
          <w:color w:val="1A1A1A"/>
        </w:rPr>
        <w:t>,</w:t>
      </w:r>
      <w:r w:rsidR="006576CD" w:rsidRPr="00CC43CA">
        <w:rPr>
          <w:rFonts w:ascii="Arial" w:eastAsia="Helvetica" w:hAnsi="Arial" w:cs="Arial"/>
          <w:color w:val="1A1A1A"/>
        </w:rPr>
        <w:t xml:space="preserve"> think tanks,</w:t>
      </w:r>
      <w:r w:rsidR="00874075" w:rsidRPr="00CC43CA">
        <w:rPr>
          <w:rFonts w:ascii="Arial" w:eastAsia="Helvetica" w:hAnsi="Arial" w:cs="Arial"/>
          <w:color w:val="1A1A1A"/>
        </w:rPr>
        <w:t xml:space="preserve"> criminal justice practitioners and ‘local’ government politicians and officials</w:t>
      </w:r>
      <w:r w:rsidR="006576CD" w:rsidRPr="00CC43CA">
        <w:rPr>
          <w:rFonts w:ascii="Arial" w:eastAsia="Helvetica" w:hAnsi="Arial" w:cs="Arial"/>
          <w:color w:val="1A1A1A"/>
        </w:rPr>
        <w:t xml:space="preserve">, </w:t>
      </w:r>
      <w:r w:rsidR="00A74B9A" w:rsidRPr="00CC43CA">
        <w:rPr>
          <w:rFonts w:ascii="Arial" w:eastAsia="Helvetica" w:hAnsi="Arial" w:cs="Arial"/>
          <w:color w:val="1A1A1A"/>
        </w:rPr>
        <w:t>(state agents)</w:t>
      </w:r>
      <w:r w:rsidR="006576CD" w:rsidRPr="00CC43CA">
        <w:rPr>
          <w:rFonts w:ascii="Arial" w:eastAsia="Helvetica" w:hAnsi="Arial" w:cs="Arial"/>
          <w:color w:val="1A1A1A"/>
        </w:rPr>
        <w:t>, commercial organisations, mid-level consultants and technocrats</w:t>
      </w:r>
      <w:r w:rsidR="00500F07" w:rsidRPr="00CC43CA">
        <w:rPr>
          <w:rFonts w:ascii="Arial" w:eastAsia="Helvetica" w:hAnsi="Arial" w:cs="Arial"/>
          <w:color w:val="1A1A1A"/>
        </w:rPr>
        <w:t>. In addition, academic criminologists are themselves ‘increasingly eager exporters of knowledge’</w:t>
      </w:r>
      <w:r>
        <w:rPr>
          <w:rFonts w:ascii="Arial" w:eastAsia="Helvetica" w:hAnsi="Arial" w:cs="Arial"/>
          <w:color w:val="1A1A1A"/>
        </w:rPr>
        <w:t>,</w:t>
      </w:r>
      <w:r w:rsidR="00500F07" w:rsidRPr="00CC43CA">
        <w:rPr>
          <w:rFonts w:ascii="Arial" w:eastAsia="Helvetica" w:hAnsi="Arial" w:cs="Arial"/>
          <w:color w:val="1A1A1A"/>
        </w:rPr>
        <w:t xml:space="preserve"> in effect operating as ‘transfer agents’ in the</w:t>
      </w:r>
      <w:r w:rsidR="00E45240">
        <w:rPr>
          <w:rFonts w:ascii="Arial" w:eastAsia="Helvetica" w:hAnsi="Arial" w:cs="Arial"/>
          <w:color w:val="1A1A1A"/>
        </w:rPr>
        <w:t>se</w:t>
      </w:r>
      <w:r w:rsidR="00500F07" w:rsidRPr="00CC43CA">
        <w:rPr>
          <w:rFonts w:ascii="Arial" w:eastAsia="Helvetica" w:hAnsi="Arial" w:cs="Arial"/>
          <w:color w:val="1A1A1A"/>
        </w:rPr>
        <w:t xml:space="preserve"> fields</w:t>
      </w:r>
      <w:r w:rsidR="006576CD" w:rsidRPr="00CC43CA">
        <w:rPr>
          <w:rFonts w:ascii="Arial" w:eastAsia="Helvetica" w:hAnsi="Arial" w:cs="Arial"/>
          <w:color w:val="1A1A1A"/>
        </w:rPr>
        <w:t>.</w:t>
      </w:r>
      <w:r w:rsidR="005E280A">
        <w:rPr>
          <w:rStyle w:val="FootnoteReference"/>
          <w:rFonts w:ascii="Arial" w:eastAsia="Helvetica" w:hAnsi="Arial" w:cs="Arial"/>
          <w:color w:val="1A1A1A"/>
        </w:rPr>
        <w:footnoteReference w:id="57"/>
      </w:r>
      <w:r w:rsidR="006576CD" w:rsidRPr="00CC43CA">
        <w:rPr>
          <w:rFonts w:ascii="Arial" w:eastAsia="Helvetica" w:hAnsi="Arial" w:cs="Arial"/>
          <w:color w:val="1A1A1A"/>
        </w:rPr>
        <w:t xml:space="preserve"> </w:t>
      </w:r>
      <w:r w:rsidR="00E45240">
        <w:rPr>
          <w:rFonts w:ascii="Arial" w:eastAsia="Helvetica" w:hAnsi="Arial" w:cs="Arial"/>
          <w:color w:val="1A1A1A"/>
        </w:rPr>
        <w:t>Importantly, p</w:t>
      </w:r>
      <w:r w:rsidR="006576CD" w:rsidRPr="00CC43CA">
        <w:rPr>
          <w:rFonts w:ascii="Arial" w:eastAsia="Helvetica" w:hAnsi="Arial" w:cs="Arial"/>
          <w:color w:val="1A1A1A"/>
        </w:rPr>
        <w:t xml:space="preserve">olicy mobilities scholars </w:t>
      </w:r>
      <w:r w:rsidR="00E45240">
        <w:rPr>
          <w:rFonts w:ascii="Arial" w:eastAsia="Helvetica" w:hAnsi="Arial" w:cs="Arial"/>
          <w:color w:val="1A1A1A"/>
        </w:rPr>
        <w:t>argue</w:t>
      </w:r>
      <w:r w:rsidR="008A7159" w:rsidRPr="00CC43CA">
        <w:rPr>
          <w:rFonts w:ascii="Arial" w:eastAsia="Helvetica" w:hAnsi="Arial" w:cs="Arial"/>
          <w:color w:val="1A1A1A"/>
        </w:rPr>
        <w:t xml:space="preserve"> for an expansion of the analytic gaze to include </w:t>
      </w:r>
      <w:r w:rsidR="006576CD" w:rsidRPr="00CC43CA">
        <w:rPr>
          <w:rFonts w:ascii="Arial" w:eastAsia="Helvetica" w:hAnsi="Arial" w:cs="Arial"/>
          <w:color w:val="1A1A1A"/>
        </w:rPr>
        <w:t>‘non-elite’ actors such as frontline workers, service users and activists</w:t>
      </w:r>
      <w:r w:rsidR="008A7159" w:rsidRPr="00CC43CA">
        <w:rPr>
          <w:rFonts w:ascii="Arial" w:eastAsia="Helvetica" w:hAnsi="Arial" w:cs="Arial"/>
          <w:color w:val="1A1A1A"/>
        </w:rPr>
        <w:t>, operating in a range of policy-making sites</w:t>
      </w:r>
      <w:r w:rsidR="006576CD" w:rsidRPr="00CC43CA">
        <w:rPr>
          <w:rFonts w:ascii="Arial" w:eastAsia="Helvetica" w:hAnsi="Arial" w:cs="Arial"/>
          <w:color w:val="1A1A1A"/>
        </w:rPr>
        <w:t>.</w:t>
      </w:r>
      <w:r w:rsidR="005E280A">
        <w:rPr>
          <w:rStyle w:val="FootnoteReference"/>
          <w:rFonts w:ascii="Arial" w:eastAsia="Helvetica" w:hAnsi="Arial" w:cs="Arial"/>
          <w:color w:val="1A1A1A"/>
        </w:rPr>
        <w:footnoteReference w:id="58"/>
      </w:r>
      <w:r w:rsidR="006576CD" w:rsidRPr="00CC43CA">
        <w:rPr>
          <w:rFonts w:ascii="Arial" w:eastAsia="Helvetica" w:hAnsi="Arial" w:cs="Arial"/>
          <w:color w:val="1A1A1A"/>
        </w:rPr>
        <w:t xml:space="preserve"> </w:t>
      </w:r>
      <w:r w:rsidR="00DC3936" w:rsidRPr="00CC43CA">
        <w:rPr>
          <w:rFonts w:ascii="Arial" w:eastAsia="Helvetica" w:hAnsi="Arial" w:cs="Arial"/>
          <w:color w:val="1A1A1A"/>
        </w:rPr>
        <w:t xml:space="preserve">The work on </w:t>
      </w:r>
      <w:r w:rsidR="00693F20" w:rsidRPr="00CC43CA">
        <w:rPr>
          <w:rFonts w:ascii="Arial" w:eastAsia="Helvetica" w:hAnsi="Arial" w:cs="Arial"/>
          <w:color w:val="1A1A1A"/>
        </w:rPr>
        <w:t xml:space="preserve">urban </w:t>
      </w:r>
      <w:r w:rsidR="00DC3936" w:rsidRPr="00CC43CA">
        <w:rPr>
          <w:rFonts w:ascii="Arial" w:eastAsia="Helvetica" w:hAnsi="Arial" w:cs="Arial"/>
          <w:color w:val="1A1A1A"/>
        </w:rPr>
        <w:t>policy mobilities has</w:t>
      </w:r>
      <w:r w:rsidR="008A7159" w:rsidRPr="00CC43CA">
        <w:rPr>
          <w:rFonts w:ascii="Arial" w:eastAsia="Helvetica" w:hAnsi="Arial" w:cs="Arial"/>
          <w:color w:val="1A1A1A"/>
        </w:rPr>
        <w:t xml:space="preserve"> also</w:t>
      </w:r>
      <w:r w:rsidR="00DC3936" w:rsidRPr="00CC43CA">
        <w:rPr>
          <w:rFonts w:ascii="Arial" w:eastAsia="Helvetica" w:hAnsi="Arial" w:cs="Arial"/>
          <w:color w:val="1A1A1A"/>
        </w:rPr>
        <w:t xml:space="preserve"> been particularly helpful in focusing attention on the ways in which certain policy models or approaches are actively constructed and mobilised </w:t>
      </w:r>
      <w:r w:rsidR="00693F20" w:rsidRPr="00CC43CA">
        <w:rPr>
          <w:rFonts w:ascii="Arial" w:eastAsia="Helvetica" w:hAnsi="Arial" w:cs="Arial"/>
          <w:color w:val="1A1A1A"/>
        </w:rPr>
        <w:t>as ‘international best practice’</w:t>
      </w:r>
      <w:r w:rsidR="003C1A30" w:rsidRPr="00CC43CA">
        <w:rPr>
          <w:rFonts w:ascii="Arial" w:eastAsia="Helvetica" w:hAnsi="Arial" w:cs="Arial"/>
          <w:color w:val="1A1A1A"/>
        </w:rPr>
        <w:t>,</w:t>
      </w:r>
      <w:r w:rsidR="005E280A">
        <w:rPr>
          <w:rStyle w:val="FootnoteReference"/>
          <w:rFonts w:ascii="Arial" w:eastAsia="Helvetica" w:hAnsi="Arial" w:cs="Arial"/>
          <w:color w:val="1A1A1A"/>
        </w:rPr>
        <w:footnoteReference w:id="59"/>
      </w:r>
      <w:r w:rsidR="003C1A30" w:rsidRPr="00CC43CA">
        <w:rPr>
          <w:rFonts w:ascii="Arial" w:eastAsia="Helvetica" w:hAnsi="Arial" w:cs="Arial"/>
          <w:color w:val="1A1A1A"/>
        </w:rPr>
        <w:t xml:space="preserve"> although again much of this has focused on broader notions of urban planning and governance rather than specific issues of crime, security and justice. </w:t>
      </w:r>
      <w:r w:rsidR="00693F20" w:rsidRPr="00CC43CA">
        <w:rPr>
          <w:rFonts w:ascii="Arial" w:eastAsia="Helvetica" w:hAnsi="Arial" w:cs="Arial"/>
          <w:color w:val="1A1A1A"/>
        </w:rPr>
        <w:t xml:space="preserve"> </w:t>
      </w:r>
    </w:p>
    <w:p w14:paraId="66C5FAD1" w14:textId="77777777" w:rsidR="006576CD" w:rsidRPr="00CC43CA" w:rsidRDefault="006576CD" w:rsidP="006576CD">
      <w:pPr>
        <w:spacing w:after="0" w:line="276" w:lineRule="auto"/>
        <w:rPr>
          <w:rFonts w:ascii="Arial" w:eastAsia="Helvetica" w:hAnsi="Arial" w:cs="Arial"/>
          <w:color w:val="1A1A1A"/>
        </w:rPr>
      </w:pPr>
    </w:p>
    <w:p w14:paraId="49C7A22B" w14:textId="705327C5" w:rsidR="00A74B9A" w:rsidRPr="00CC43CA" w:rsidRDefault="00FB6999" w:rsidP="00F30E5E">
      <w:pPr>
        <w:spacing w:after="0" w:line="276" w:lineRule="auto"/>
        <w:rPr>
          <w:rFonts w:ascii="Arial" w:eastAsia="Helvetica" w:hAnsi="Arial" w:cs="Arial"/>
          <w:b/>
          <w:i/>
          <w:color w:val="1A1A1A"/>
        </w:rPr>
      </w:pPr>
      <w:r>
        <w:rPr>
          <w:rFonts w:ascii="Arial" w:eastAsia="Helvetica" w:hAnsi="Arial" w:cs="Arial"/>
          <w:b/>
          <w:i/>
          <w:color w:val="1A1A1A"/>
        </w:rPr>
        <w:t xml:space="preserve">7. </w:t>
      </w:r>
      <w:r w:rsidR="00A74B9A" w:rsidRPr="00CC43CA">
        <w:rPr>
          <w:rFonts w:ascii="Arial" w:eastAsia="Helvetica" w:hAnsi="Arial" w:cs="Arial"/>
          <w:b/>
          <w:i/>
          <w:color w:val="1A1A1A"/>
        </w:rPr>
        <w:t xml:space="preserve">What is transferred? </w:t>
      </w:r>
    </w:p>
    <w:p w14:paraId="6D8343F1" w14:textId="7C6264A8" w:rsidR="00A74B9A" w:rsidRPr="00CC43CA" w:rsidRDefault="00693F20" w:rsidP="004E3D2C">
      <w:pPr>
        <w:spacing w:after="0" w:line="276" w:lineRule="auto"/>
        <w:rPr>
          <w:rFonts w:ascii="Arial" w:eastAsia="Helvetica" w:hAnsi="Arial" w:cs="Arial"/>
          <w:color w:val="1A1A1A"/>
        </w:rPr>
      </w:pPr>
      <w:r w:rsidRPr="00CC43CA">
        <w:rPr>
          <w:rFonts w:ascii="Arial" w:eastAsia="Helvetica" w:hAnsi="Arial" w:cs="Arial"/>
          <w:color w:val="1A1A1A"/>
        </w:rPr>
        <w:t>As noted above, much of the work on policy transfer in crime control has focused upon the concrete and substantive</w:t>
      </w:r>
      <w:r w:rsidR="00261EE4">
        <w:rPr>
          <w:rFonts w:ascii="Arial" w:eastAsia="Helvetica" w:hAnsi="Arial" w:cs="Arial"/>
          <w:color w:val="1A1A1A"/>
        </w:rPr>
        <w:t>,</w:t>
      </w:r>
      <w:r w:rsidRPr="00CC43CA">
        <w:rPr>
          <w:rFonts w:ascii="Arial" w:eastAsia="Helvetica" w:hAnsi="Arial" w:cs="Arial"/>
          <w:color w:val="1A1A1A"/>
        </w:rPr>
        <w:t xml:space="preserve"> in the form of written programmes, legislation, </w:t>
      </w:r>
      <w:r w:rsidRPr="00CC43CA">
        <w:rPr>
          <w:rFonts w:ascii="Arial" w:eastAsia="Helvetica" w:hAnsi="Arial" w:cs="Arial"/>
          <w:color w:val="1A1A1A"/>
        </w:rPr>
        <w:lastRenderedPageBreak/>
        <w:t xml:space="preserve">institutions, institutional forms, and technologies. However, a key finding of the extant literature has been the importance of the symbolic and rhetorical dimensions of policy. Indeed, </w:t>
      </w:r>
      <w:r w:rsidR="00EA7D01">
        <w:rPr>
          <w:rFonts w:ascii="Arial" w:eastAsia="Helvetica" w:hAnsi="Arial" w:cs="Arial"/>
          <w:color w:val="1A1A1A"/>
        </w:rPr>
        <w:t>research shows that</w:t>
      </w:r>
      <w:r w:rsidRPr="00CC43CA">
        <w:rPr>
          <w:rFonts w:ascii="Arial" w:eastAsia="Helvetica" w:hAnsi="Arial" w:cs="Arial"/>
          <w:color w:val="1A1A1A"/>
        </w:rPr>
        <w:t xml:space="preserve"> ‘hard’ forms of policy transfer – in terms of the substantial replication of concrete policy programmes – are difficult to identify. By contrast, ‘soft’ transfer – including initial ideas or inspiration, and particular forms of symbol or policy rhetoric – have proved much more mobile internationally. US-inspired rhetoric around ‘zero tolerance’ and ‘three strikes’ sentencing found its way with surprising ease into the British political lexicon,</w:t>
      </w:r>
      <w:r w:rsidR="00EA7D01">
        <w:rPr>
          <w:rFonts w:ascii="Arial" w:eastAsia="Helvetica" w:hAnsi="Arial" w:cs="Arial"/>
          <w:color w:val="1A1A1A"/>
        </w:rPr>
        <w:t xml:space="preserve"> for example,</w:t>
      </w:r>
      <w:r w:rsidRPr="00CC43CA">
        <w:rPr>
          <w:rFonts w:ascii="Arial" w:eastAsia="Helvetica" w:hAnsi="Arial" w:cs="Arial"/>
          <w:color w:val="1A1A1A"/>
        </w:rPr>
        <w:t xml:space="preserve"> even though the concrete reforms in policy and practice associated with such rhetoric were hardly visible.</w:t>
      </w:r>
      <w:r w:rsidR="005E280A">
        <w:rPr>
          <w:rStyle w:val="FootnoteReference"/>
          <w:rFonts w:ascii="Arial" w:eastAsia="Helvetica" w:hAnsi="Arial" w:cs="Arial"/>
          <w:color w:val="1A1A1A"/>
        </w:rPr>
        <w:footnoteReference w:id="60"/>
      </w:r>
      <w:r w:rsidR="004E3D2C" w:rsidRPr="00CC43CA">
        <w:rPr>
          <w:rFonts w:ascii="AdvP7B6C" w:eastAsiaTheme="minorHAnsi" w:hAnsi="AdvP7B6C" w:cs="AdvP7B6C"/>
          <w:sz w:val="22"/>
          <w:szCs w:val="22"/>
          <w:lang w:eastAsia="en-US"/>
        </w:rPr>
        <w:t xml:space="preserve"> </w:t>
      </w:r>
      <w:r w:rsidR="004E3D2C" w:rsidRPr="00CC43CA">
        <w:rPr>
          <w:rFonts w:ascii="Arial" w:eastAsia="Helvetica" w:hAnsi="Arial" w:cs="Arial"/>
          <w:color w:val="1A1A1A"/>
        </w:rPr>
        <w:t>The critical policy studies literature explores the physical mobility of policy-makers, advisers, advocates themselves, along with the physical artefacts of policy knowledge/models in the form of best practice manuals, institutional forms and so on. In addition, there is work that examines the ‘imaginative mobility’ which shapes urban policy developments via comparisons in competitive rankings and league tables.</w:t>
      </w:r>
      <w:r w:rsidR="005E280A">
        <w:rPr>
          <w:rStyle w:val="FootnoteReference"/>
          <w:rFonts w:ascii="Arial" w:eastAsia="Helvetica" w:hAnsi="Arial" w:cs="Arial"/>
          <w:color w:val="1A1A1A"/>
        </w:rPr>
        <w:footnoteReference w:id="61"/>
      </w:r>
      <w:r w:rsidR="004E3D2C" w:rsidRPr="00CC43CA">
        <w:rPr>
          <w:rFonts w:ascii="Arial" w:eastAsia="Helvetica" w:hAnsi="Arial" w:cs="Arial"/>
          <w:color w:val="1A1A1A"/>
        </w:rPr>
        <w:t xml:space="preserve"> </w:t>
      </w:r>
      <w:r w:rsidR="00EA7D01">
        <w:rPr>
          <w:rFonts w:ascii="Arial" w:eastAsia="Helvetica" w:hAnsi="Arial" w:cs="Arial"/>
          <w:color w:val="1A1A1A"/>
        </w:rPr>
        <w:t>Such work potentially helps</w:t>
      </w:r>
      <w:r w:rsidRPr="00CC43CA">
        <w:rPr>
          <w:rFonts w:ascii="Arial" w:eastAsia="Helvetica" w:hAnsi="Arial" w:cs="Arial"/>
          <w:color w:val="1A1A1A"/>
        </w:rPr>
        <w:t xml:space="preserve"> widen our gaze about the ‘what’ of </w:t>
      </w:r>
      <w:r w:rsidR="004E3D2C" w:rsidRPr="00CC43CA">
        <w:rPr>
          <w:rFonts w:ascii="Arial" w:eastAsia="Helvetica" w:hAnsi="Arial" w:cs="Arial"/>
          <w:color w:val="1A1A1A"/>
        </w:rPr>
        <w:t xml:space="preserve">security and justice </w:t>
      </w:r>
      <w:r w:rsidRPr="00CC43CA">
        <w:rPr>
          <w:rFonts w:ascii="Arial" w:eastAsia="Helvetica" w:hAnsi="Arial" w:cs="Arial"/>
          <w:color w:val="1A1A1A"/>
        </w:rPr>
        <w:t>policy transfer, and focus</w:t>
      </w:r>
      <w:r w:rsidR="004E3D2C" w:rsidRPr="00CC43CA">
        <w:rPr>
          <w:rFonts w:ascii="Arial" w:eastAsia="Helvetica" w:hAnsi="Arial" w:cs="Arial"/>
          <w:color w:val="1A1A1A"/>
        </w:rPr>
        <w:t xml:space="preserve"> </w:t>
      </w:r>
      <w:r w:rsidRPr="00CC43CA">
        <w:rPr>
          <w:rFonts w:ascii="Arial" w:eastAsia="Helvetica" w:hAnsi="Arial" w:cs="Arial"/>
          <w:color w:val="1A1A1A"/>
        </w:rPr>
        <w:t>on the disparate elements that are assembled/disassembled/r</w:t>
      </w:r>
      <w:r w:rsidR="00186839" w:rsidRPr="00CC43CA">
        <w:rPr>
          <w:rFonts w:ascii="Arial" w:eastAsia="Helvetica" w:hAnsi="Arial" w:cs="Arial"/>
          <w:color w:val="1A1A1A"/>
        </w:rPr>
        <w:t xml:space="preserve">eassembled in different policy-making sites. </w:t>
      </w:r>
    </w:p>
    <w:p w14:paraId="311DA1CE" w14:textId="6E3DA43B" w:rsidR="00693F20" w:rsidRPr="00CC43CA" w:rsidRDefault="00693F20" w:rsidP="00F30E5E">
      <w:pPr>
        <w:spacing w:after="0" w:line="276" w:lineRule="auto"/>
        <w:rPr>
          <w:rFonts w:ascii="Arial" w:eastAsia="Helvetica" w:hAnsi="Arial" w:cs="Arial"/>
          <w:color w:val="1A1A1A"/>
        </w:rPr>
      </w:pPr>
    </w:p>
    <w:p w14:paraId="4DD261D2" w14:textId="324C6437" w:rsidR="00B75894" w:rsidRPr="00CC43CA" w:rsidRDefault="00FB6999" w:rsidP="00F30E5E">
      <w:pPr>
        <w:spacing w:after="0" w:line="276" w:lineRule="auto"/>
        <w:rPr>
          <w:rFonts w:ascii="Arial" w:eastAsia="Helvetica" w:hAnsi="Arial" w:cs="Arial"/>
          <w:b/>
          <w:bCs/>
          <w:i/>
          <w:iCs/>
          <w:color w:val="1A1A1A"/>
        </w:rPr>
      </w:pPr>
      <w:r>
        <w:rPr>
          <w:rFonts w:ascii="Arial" w:eastAsia="Helvetica" w:hAnsi="Arial" w:cs="Arial"/>
          <w:b/>
          <w:bCs/>
          <w:i/>
          <w:iCs/>
          <w:color w:val="1A1A1A"/>
        </w:rPr>
        <w:t xml:space="preserve">8. </w:t>
      </w:r>
      <w:r w:rsidR="00B75894" w:rsidRPr="00CC43CA">
        <w:rPr>
          <w:rFonts w:ascii="Arial" w:eastAsia="Helvetica" w:hAnsi="Arial" w:cs="Arial"/>
          <w:b/>
          <w:bCs/>
          <w:i/>
          <w:iCs/>
          <w:color w:val="1A1A1A"/>
        </w:rPr>
        <w:t>Temporality and the study of policy transfer</w:t>
      </w:r>
    </w:p>
    <w:p w14:paraId="1A18C803" w14:textId="6F0F2E04" w:rsidR="00B75894" w:rsidRPr="00CC43CA" w:rsidRDefault="00B75894" w:rsidP="00F30E5E">
      <w:pPr>
        <w:spacing w:after="0" w:line="276" w:lineRule="auto"/>
        <w:rPr>
          <w:rFonts w:ascii="Arial" w:eastAsia="Helvetica" w:hAnsi="Arial" w:cs="Arial"/>
          <w:color w:val="1A1A1A"/>
        </w:rPr>
      </w:pPr>
      <w:r w:rsidRPr="00CC43CA">
        <w:rPr>
          <w:rFonts w:ascii="Arial" w:eastAsia="Helvetica" w:hAnsi="Arial" w:cs="Arial"/>
          <w:color w:val="1A1A1A"/>
        </w:rPr>
        <w:t xml:space="preserve">For understandable reasons the bulk of research in this field has been </w:t>
      </w:r>
      <w:r w:rsidRPr="00CC43CA">
        <w:rPr>
          <w:rFonts w:ascii="Arial" w:eastAsia="Helvetica" w:hAnsi="Arial" w:cs="Arial"/>
          <w:i/>
          <w:iCs/>
          <w:color w:val="1A1A1A"/>
        </w:rPr>
        <w:t xml:space="preserve">retrospective </w:t>
      </w:r>
      <w:r w:rsidRPr="00CC43CA">
        <w:rPr>
          <w:rFonts w:ascii="Arial" w:eastAsia="Helvetica" w:hAnsi="Arial" w:cs="Arial"/>
          <w:color w:val="1A1A1A"/>
        </w:rPr>
        <w:t xml:space="preserve">in character, looking back at the emergence of criminal justice and penal policies in particular jurisdictions and seeking to assess the degree of ‘borrowing’ and international influence. Occasionally, there have been studies that have adopted a more </w:t>
      </w:r>
      <w:r w:rsidRPr="00CC43CA">
        <w:rPr>
          <w:rFonts w:ascii="Arial" w:eastAsia="Helvetica" w:hAnsi="Arial" w:cs="Arial"/>
          <w:i/>
          <w:iCs/>
          <w:color w:val="1A1A1A"/>
        </w:rPr>
        <w:t xml:space="preserve">contemporaneous </w:t>
      </w:r>
      <w:r w:rsidRPr="00CC43CA">
        <w:rPr>
          <w:rFonts w:ascii="Arial" w:eastAsia="Helvetica" w:hAnsi="Arial" w:cs="Arial"/>
          <w:color w:val="1A1A1A"/>
        </w:rPr>
        <w:t xml:space="preserve">approach, utilising opportunities on the ground to observe policy development as it emerges and, once again, assessing the extent to which some form of policy transfer may have occurred. </w:t>
      </w:r>
      <w:r w:rsidR="00E04730" w:rsidRPr="00CC43CA">
        <w:rPr>
          <w:rFonts w:ascii="Arial" w:eastAsia="Helvetica" w:hAnsi="Arial" w:cs="Arial"/>
          <w:color w:val="1A1A1A"/>
        </w:rPr>
        <w:t>In what follows, and in thinking about the potential of research in this field to identify policy developments that might be considered n</w:t>
      </w:r>
      <w:r w:rsidR="00A855BB">
        <w:rPr>
          <w:rFonts w:ascii="Arial" w:eastAsia="Helvetica" w:hAnsi="Arial" w:cs="Arial"/>
          <w:color w:val="1A1A1A"/>
        </w:rPr>
        <w:t>ormatively desirable, we argue</w:t>
      </w:r>
      <w:r w:rsidR="00E04730" w:rsidRPr="00CC43CA">
        <w:rPr>
          <w:rFonts w:ascii="Arial" w:eastAsia="Helvetica" w:hAnsi="Arial" w:cs="Arial"/>
          <w:color w:val="1A1A1A"/>
        </w:rPr>
        <w:t xml:space="preserve"> that greater utilisation of </w:t>
      </w:r>
      <w:r w:rsidR="00E04730" w:rsidRPr="00CC43CA">
        <w:rPr>
          <w:rFonts w:ascii="Arial" w:eastAsia="Helvetica" w:hAnsi="Arial" w:cs="Arial"/>
          <w:i/>
          <w:iCs/>
          <w:color w:val="1A1A1A"/>
        </w:rPr>
        <w:t xml:space="preserve">contemporaneous </w:t>
      </w:r>
      <w:r w:rsidR="00E04730" w:rsidRPr="00CC43CA">
        <w:rPr>
          <w:rFonts w:ascii="Arial" w:eastAsia="Helvetica" w:hAnsi="Arial" w:cs="Arial"/>
          <w:color w:val="1A1A1A"/>
        </w:rPr>
        <w:t xml:space="preserve">approaches is likely to be valuable and, moreover, </w:t>
      </w:r>
      <w:r w:rsidR="003F035E">
        <w:rPr>
          <w:rFonts w:ascii="Arial" w:eastAsia="Helvetica" w:hAnsi="Arial" w:cs="Arial"/>
          <w:color w:val="1A1A1A"/>
        </w:rPr>
        <w:t xml:space="preserve">suggest </w:t>
      </w:r>
      <w:r w:rsidR="00E04730" w:rsidRPr="00CC43CA">
        <w:rPr>
          <w:rFonts w:ascii="Arial" w:eastAsia="Helvetica" w:hAnsi="Arial" w:cs="Arial"/>
          <w:color w:val="1A1A1A"/>
        </w:rPr>
        <w:t xml:space="preserve">greater thought should be given to the role for </w:t>
      </w:r>
      <w:r w:rsidR="00E04730" w:rsidRPr="00CC43CA">
        <w:rPr>
          <w:rFonts w:ascii="Arial" w:eastAsia="Helvetica" w:hAnsi="Arial" w:cs="Arial"/>
          <w:i/>
          <w:iCs/>
          <w:color w:val="1A1A1A"/>
        </w:rPr>
        <w:t xml:space="preserve">prospective </w:t>
      </w:r>
      <w:r w:rsidR="00E04730" w:rsidRPr="00CC43CA">
        <w:rPr>
          <w:rFonts w:ascii="Arial" w:eastAsia="Helvetica" w:hAnsi="Arial" w:cs="Arial"/>
          <w:color w:val="1A1A1A"/>
        </w:rPr>
        <w:t xml:space="preserve">policy transfer research: work that identifies possible directions for penal reform and seeks to assess, using extant research findings, how best such policy changes might be effected. </w:t>
      </w:r>
      <w:r w:rsidR="009B5580" w:rsidRPr="00CC43CA">
        <w:rPr>
          <w:rFonts w:ascii="Arial" w:eastAsia="Helvetica" w:hAnsi="Arial" w:cs="Arial"/>
          <w:color w:val="1A1A1A"/>
        </w:rPr>
        <w:t xml:space="preserve">Doing so, as we have implied, necessarily involves normative judgements about the direction of change and it is to this we turn our attention next. </w:t>
      </w:r>
      <w:r w:rsidR="00E04730" w:rsidRPr="00CC43CA">
        <w:rPr>
          <w:rFonts w:ascii="Arial" w:eastAsia="Helvetica" w:hAnsi="Arial" w:cs="Arial"/>
          <w:color w:val="1A1A1A"/>
        </w:rPr>
        <w:t xml:space="preserve"> </w:t>
      </w:r>
    </w:p>
    <w:p w14:paraId="663CA4BB" w14:textId="77777777" w:rsidR="00B75894" w:rsidRPr="00CC43CA" w:rsidRDefault="00B75894" w:rsidP="00F30E5E">
      <w:pPr>
        <w:spacing w:after="0" w:line="276" w:lineRule="auto"/>
        <w:rPr>
          <w:rFonts w:ascii="Arial" w:eastAsia="Helvetica" w:hAnsi="Arial" w:cs="Arial"/>
          <w:color w:val="1A1A1A"/>
        </w:rPr>
      </w:pPr>
    </w:p>
    <w:p w14:paraId="0A32272C" w14:textId="14FB2A37" w:rsidR="00F80329" w:rsidRPr="00CC43CA" w:rsidRDefault="00FB6999" w:rsidP="00CA1FED">
      <w:pPr>
        <w:spacing w:after="0" w:line="276" w:lineRule="auto"/>
        <w:jc w:val="center"/>
        <w:rPr>
          <w:rFonts w:ascii="Arial" w:eastAsia="Helvetica" w:hAnsi="Arial" w:cs="Arial"/>
          <w:b/>
          <w:color w:val="1A1A1A"/>
        </w:rPr>
      </w:pPr>
      <w:r>
        <w:rPr>
          <w:rFonts w:ascii="Arial" w:eastAsia="Helvetica" w:hAnsi="Arial" w:cs="Arial"/>
          <w:b/>
          <w:color w:val="1A1A1A"/>
        </w:rPr>
        <w:t xml:space="preserve">NORMATIVE ISSUES: THE PROBLEMS OF CROSS-NATIONAL POLICY MOBILITY? </w:t>
      </w:r>
    </w:p>
    <w:p w14:paraId="1F9171C0" w14:textId="77777777" w:rsidR="00FB6999" w:rsidRDefault="00FB6999" w:rsidP="00B332B2">
      <w:pPr>
        <w:spacing w:after="0" w:line="276" w:lineRule="auto"/>
        <w:rPr>
          <w:rFonts w:ascii="Arial" w:eastAsia="Helvetica" w:hAnsi="Arial" w:cs="Arial"/>
          <w:color w:val="1A1A1A"/>
        </w:rPr>
      </w:pPr>
    </w:p>
    <w:p w14:paraId="774535A1" w14:textId="3B5AA5A5" w:rsidR="003E43F5" w:rsidRPr="00CC43CA" w:rsidRDefault="0000711D" w:rsidP="00B332B2">
      <w:pPr>
        <w:spacing w:after="0" w:line="276" w:lineRule="auto"/>
        <w:rPr>
          <w:rFonts w:ascii="Arial" w:eastAsia="Helvetica" w:hAnsi="Arial" w:cs="Arial"/>
          <w:color w:val="1A1A1A"/>
        </w:rPr>
      </w:pPr>
      <w:r w:rsidRPr="00CC43CA">
        <w:rPr>
          <w:rFonts w:ascii="Arial" w:eastAsia="Helvetica" w:hAnsi="Arial" w:cs="Arial"/>
          <w:color w:val="1A1A1A"/>
        </w:rPr>
        <w:t xml:space="preserve">Although normative issues have rarely been addressed </w:t>
      </w:r>
      <w:r w:rsidR="00AC7543" w:rsidRPr="00CC43CA">
        <w:rPr>
          <w:rFonts w:ascii="Arial" w:eastAsia="Helvetica" w:hAnsi="Arial" w:cs="Arial"/>
          <w:color w:val="1A1A1A"/>
        </w:rPr>
        <w:t xml:space="preserve">explicitly </w:t>
      </w:r>
      <w:r w:rsidRPr="00CC43CA">
        <w:rPr>
          <w:rFonts w:ascii="Arial" w:eastAsia="Helvetica" w:hAnsi="Arial" w:cs="Arial"/>
          <w:color w:val="1A1A1A"/>
        </w:rPr>
        <w:t>in extant policy mobility research, they have been far from absent. As w</w:t>
      </w:r>
      <w:r w:rsidR="00F80329" w:rsidRPr="00CC43CA">
        <w:rPr>
          <w:rFonts w:ascii="Arial" w:eastAsia="Helvetica" w:hAnsi="Arial" w:cs="Arial"/>
          <w:color w:val="1A1A1A"/>
        </w:rPr>
        <w:t>e noted in the introduction</w:t>
      </w:r>
      <w:r w:rsidR="00A1556F" w:rsidRPr="00CC43CA">
        <w:rPr>
          <w:rFonts w:ascii="Arial" w:eastAsia="Helvetica" w:hAnsi="Arial" w:cs="Arial"/>
          <w:color w:val="1A1A1A"/>
        </w:rPr>
        <w:t>,</w:t>
      </w:r>
      <w:r w:rsidR="008856C2" w:rsidRPr="00CC43CA">
        <w:rPr>
          <w:rFonts w:ascii="Arial" w:eastAsia="Helvetica" w:hAnsi="Arial" w:cs="Arial"/>
          <w:color w:val="1A1A1A"/>
        </w:rPr>
        <w:t xml:space="preserve"> </w:t>
      </w:r>
      <w:r w:rsidR="00F80329" w:rsidRPr="00CC43CA">
        <w:rPr>
          <w:rFonts w:ascii="Arial" w:eastAsia="Helvetica" w:hAnsi="Arial" w:cs="Arial"/>
          <w:color w:val="1A1A1A"/>
        </w:rPr>
        <w:lastRenderedPageBreak/>
        <w:t xml:space="preserve">much </w:t>
      </w:r>
      <w:r w:rsidR="008856C2" w:rsidRPr="00CC43CA">
        <w:rPr>
          <w:rFonts w:ascii="Arial" w:eastAsia="Helvetica" w:hAnsi="Arial" w:cs="Arial"/>
          <w:color w:val="1A1A1A"/>
        </w:rPr>
        <w:t xml:space="preserve">scholarly </w:t>
      </w:r>
      <w:r w:rsidR="00F80329" w:rsidRPr="00CC43CA">
        <w:rPr>
          <w:rFonts w:ascii="Arial" w:eastAsia="Helvetica" w:hAnsi="Arial" w:cs="Arial"/>
          <w:color w:val="1A1A1A"/>
        </w:rPr>
        <w:t xml:space="preserve">work </w:t>
      </w:r>
      <w:r w:rsidRPr="00CC43CA">
        <w:rPr>
          <w:rFonts w:ascii="Arial" w:eastAsia="Helvetica" w:hAnsi="Arial" w:cs="Arial"/>
          <w:color w:val="1A1A1A"/>
        </w:rPr>
        <w:t>in this field has adopted</w:t>
      </w:r>
      <w:r w:rsidR="00F80329" w:rsidRPr="00CC43CA">
        <w:rPr>
          <w:rFonts w:ascii="Arial" w:eastAsia="Helvetica" w:hAnsi="Arial" w:cs="Arial"/>
          <w:color w:val="1A1A1A"/>
        </w:rPr>
        <w:t xml:space="preserve"> a somewhat critical</w:t>
      </w:r>
      <w:r w:rsidR="00D8116F" w:rsidRPr="00CC43CA">
        <w:rPr>
          <w:rFonts w:ascii="Arial" w:eastAsia="Helvetica" w:hAnsi="Arial" w:cs="Arial"/>
          <w:color w:val="1A1A1A"/>
        </w:rPr>
        <w:t xml:space="preserve"> and pessimistic position</w:t>
      </w:r>
      <w:r w:rsidRPr="00CC43CA">
        <w:rPr>
          <w:rFonts w:ascii="Arial" w:eastAsia="Helvetica" w:hAnsi="Arial" w:cs="Arial"/>
          <w:color w:val="1A1A1A"/>
        </w:rPr>
        <w:t>, focussing on policy movements that have tended to be seen negatively</w:t>
      </w:r>
      <w:r w:rsidR="00D8116F" w:rsidRPr="00CC43CA">
        <w:rPr>
          <w:rFonts w:ascii="Arial" w:eastAsia="Helvetica" w:hAnsi="Arial" w:cs="Arial"/>
          <w:color w:val="1A1A1A"/>
        </w:rPr>
        <w:t>.</w:t>
      </w:r>
      <w:r w:rsidRPr="00CC43CA">
        <w:rPr>
          <w:rFonts w:ascii="Arial" w:eastAsia="Helvetica" w:hAnsi="Arial" w:cs="Arial"/>
          <w:color w:val="1A1A1A"/>
        </w:rPr>
        <w:t xml:space="preserve"> We think this is so for three broad reasons</w:t>
      </w:r>
      <w:r w:rsidR="003E43F5" w:rsidRPr="00CC43CA">
        <w:rPr>
          <w:rFonts w:ascii="Arial" w:eastAsia="Helvetica" w:hAnsi="Arial" w:cs="Arial"/>
          <w:color w:val="1A1A1A"/>
        </w:rPr>
        <w:t xml:space="preserve">: the </w:t>
      </w:r>
      <w:r w:rsidR="005822A3" w:rsidRPr="00CC43CA">
        <w:rPr>
          <w:rFonts w:ascii="Arial" w:eastAsia="Helvetica" w:hAnsi="Arial" w:cs="Arial"/>
          <w:color w:val="1A1A1A"/>
        </w:rPr>
        <w:t>dominant concern has been with the international movement</w:t>
      </w:r>
      <w:r w:rsidR="003E43F5" w:rsidRPr="00CC43CA">
        <w:rPr>
          <w:rFonts w:ascii="Arial" w:eastAsia="Helvetica" w:hAnsi="Arial" w:cs="Arial"/>
          <w:color w:val="1A1A1A"/>
        </w:rPr>
        <w:t xml:space="preserve"> of </w:t>
      </w:r>
      <w:r w:rsidR="003E43F5" w:rsidRPr="00CC43CA">
        <w:rPr>
          <w:rFonts w:ascii="Arial" w:eastAsia="Helvetica" w:hAnsi="Arial" w:cs="Arial"/>
          <w:i/>
          <w:color w:val="1A1A1A"/>
        </w:rPr>
        <w:t>punitive and regressive</w:t>
      </w:r>
      <w:r w:rsidR="003E43F5" w:rsidRPr="00CC43CA">
        <w:rPr>
          <w:rFonts w:ascii="Arial" w:eastAsia="Helvetica" w:hAnsi="Arial" w:cs="Arial"/>
          <w:color w:val="1A1A1A"/>
        </w:rPr>
        <w:t xml:space="preserve"> policies; </w:t>
      </w:r>
      <w:r w:rsidR="005822A3" w:rsidRPr="00CC43CA">
        <w:rPr>
          <w:rFonts w:ascii="Arial" w:eastAsia="Helvetica" w:hAnsi="Arial" w:cs="Arial"/>
          <w:color w:val="1A1A1A"/>
        </w:rPr>
        <w:t xml:space="preserve">although much </w:t>
      </w:r>
      <w:r w:rsidR="00D00692">
        <w:rPr>
          <w:rFonts w:ascii="Arial" w:eastAsia="Helvetica" w:hAnsi="Arial" w:cs="Arial"/>
          <w:color w:val="1A1A1A"/>
        </w:rPr>
        <w:t xml:space="preserve">existing </w:t>
      </w:r>
      <w:r w:rsidR="005822A3" w:rsidRPr="00CC43CA">
        <w:rPr>
          <w:rFonts w:ascii="Arial" w:eastAsia="Helvetica" w:hAnsi="Arial" w:cs="Arial"/>
          <w:color w:val="1A1A1A"/>
        </w:rPr>
        <w:t xml:space="preserve">work has been largely located in the northern hemisphere, there have also been plentiful examples of possible policy movement that contain </w:t>
      </w:r>
      <w:r w:rsidR="003E43F5" w:rsidRPr="00CC43CA">
        <w:rPr>
          <w:rFonts w:ascii="Arial" w:eastAsia="Helvetica" w:hAnsi="Arial" w:cs="Arial"/>
          <w:i/>
          <w:color w:val="1A1A1A"/>
        </w:rPr>
        <w:t>neo-colonialist</w:t>
      </w:r>
      <w:r w:rsidR="003E43F5" w:rsidRPr="00CC43CA">
        <w:rPr>
          <w:rFonts w:ascii="Arial" w:eastAsia="Helvetica" w:hAnsi="Arial" w:cs="Arial"/>
          <w:color w:val="1A1A1A"/>
        </w:rPr>
        <w:t xml:space="preserve"> echoes; and</w:t>
      </w:r>
      <w:r w:rsidR="005822A3" w:rsidRPr="00CC43CA">
        <w:rPr>
          <w:rFonts w:ascii="Arial" w:eastAsia="Helvetica" w:hAnsi="Arial" w:cs="Arial"/>
          <w:color w:val="1A1A1A"/>
        </w:rPr>
        <w:t xml:space="preserve">, finally, research has increasingly identified the problematic nature of much policy transfer activity, </w:t>
      </w:r>
      <w:r w:rsidR="00661BBD" w:rsidRPr="00CC43CA">
        <w:rPr>
          <w:rFonts w:ascii="Arial" w:eastAsia="Helvetica" w:hAnsi="Arial" w:cs="Arial"/>
          <w:color w:val="1A1A1A"/>
        </w:rPr>
        <w:t xml:space="preserve">leading to significant </w:t>
      </w:r>
      <w:r w:rsidR="003E43F5" w:rsidRPr="00CC43CA">
        <w:rPr>
          <w:rFonts w:ascii="Arial" w:eastAsia="Helvetica" w:hAnsi="Arial" w:cs="Arial"/>
          <w:i/>
          <w:color w:val="1A1A1A"/>
        </w:rPr>
        <w:t>practical concerns</w:t>
      </w:r>
      <w:r w:rsidR="003E43F5" w:rsidRPr="00CC43CA">
        <w:rPr>
          <w:rFonts w:ascii="Arial" w:eastAsia="Helvetica" w:hAnsi="Arial" w:cs="Arial"/>
          <w:color w:val="1A1A1A"/>
        </w:rPr>
        <w:t xml:space="preserve"> about ineffective or negative outcomes of policy transfer</w:t>
      </w:r>
      <w:r w:rsidR="00D8116F" w:rsidRPr="00CC43CA">
        <w:rPr>
          <w:rFonts w:ascii="Arial" w:eastAsia="Helvetica" w:hAnsi="Arial" w:cs="Arial"/>
          <w:color w:val="1A1A1A"/>
        </w:rPr>
        <w:t xml:space="preserve">. </w:t>
      </w:r>
    </w:p>
    <w:p w14:paraId="40D62C54" w14:textId="77777777" w:rsidR="003E43F5" w:rsidRPr="00CC43CA" w:rsidRDefault="003E43F5" w:rsidP="00B332B2">
      <w:pPr>
        <w:spacing w:after="0" w:line="276" w:lineRule="auto"/>
        <w:rPr>
          <w:rFonts w:ascii="Arial" w:eastAsia="Helvetica" w:hAnsi="Arial" w:cs="Arial"/>
          <w:color w:val="1A1A1A"/>
        </w:rPr>
      </w:pPr>
    </w:p>
    <w:p w14:paraId="62305201" w14:textId="028F4CDC" w:rsidR="00FB3ACB" w:rsidRPr="00CC43CA" w:rsidRDefault="00D8116F" w:rsidP="00FB3ACB">
      <w:pPr>
        <w:spacing w:after="0" w:line="276" w:lineRule="auto"/>
        <w:rPr>
          <w:rFonts w:ascii="Arial" w:eastAsia="Helvetica" w:hAnsi="Arial" w:cs="Arial"/>
          <w:color w:val="1A1A1A"/>
        </w:rPr>
      </w:pPr>
      <w:r w:rsidRPr="00CC43CA">
        <w:rPr>
          <w:rFonts w:ascii="Arial" w:eastAsia="Helvetica" w:hAnsi="Arial" w:cs="Arial"/>
          <w:color w:val="1A1A1A"/>
        </w:rPr>
        <w:t>First</w:t>
      </w:r>
      <w:r w:rsidR="00D00692">
        <w:rPr>
          <w:rFonts w:ascii="Arial" w:eastAsia="Helvetica" w:hAnsi="Arial" w:cs="Arial"/>
          <w:color w:val="1A1A1A"/>
        </w:rPr>
        <w:t xml:space="preserve"> then</w:t>
      </w:r>
      <w:r w:rsidRPr="00CC43CA">
        <w:rPr>
          <w:rFonts w:ascii="Arial" w:eastAsia="Helvetica" w:hAnsi="Arial" w:cs="Arial"/>
          <w:color w:val="1A1A1A"/>
        </w:rPr>
        <w:t xml:space="preserve">, and most important, there is an </w:t>
      </w:r>
      <w:r w:rsidR="00F80329" w:rsidRPr="00CC43CA">
        <w:rPr>
          <w:rFonts w:ascii="Arial" w:eastAsia="Helvetica" w:hAnsi="Arial" w:cs="Arial"/>
          <w:color w:val="1A1A1A"/>
        </w:rPr>
        <w:t>under</w:t>
      </w:r>
      <w:r w:rsidRPr="00CC43CA">
        <w:rPr>
          <w:rFonts w:ascii="Arial" w:eastAsia="Helvetica" w:hAnsi="Arial" w:cs="Arial"/>
          <w:color w:val="1A1A1A"/>
        </w:rPr>
        <w:t xml:space="preserve">standable focus within work on convergence, transfer and mobility in crime control policy on </w:t>
      </w:r>
      <w:r w:rsidR="00F80329" w:rsidRPr="00CC43CA">
        <w:rPr>
          <w:rFonts w:ascii="Arial" w:eastAsia="Helvetica" w:hAnsi="Arial" w:cs="Arial"/>
          <w:color w:val="1A1A1A"/>
        </w:rPr>
        <w:t>the ‘punitive tur</w:t>
      </w:r>
      <w:r w:rsidRPr="00CC43CA">
        <w:rPr>
          <w:rFonts w:ascii="Arial" w:eastAsia="Helvetica" w:hAnsi="Arial" w:cs="Arial"/>
          <w:color w:val="1A1A1A"/>
        </w:rPr>
        <w:t>n’ that emerged in many</w:t>
      </w:r>
      <w:r w:rsidR="00F80329" w:rsidRPr="00CC43CA">
        <w:rPr>
          <w:rFonts w:ascii="Arial" w:eastAsia="Helvetica" w:hAnsi="Arial" w:cs="Arial"/>
          <w:color w:val="1A1A1A"/>
        </w:rPr>
        <w:t xml:space="preserve"> western countries in the final decades of the </w:t>
      </w:r>
      <w:r w:rsidR="00386A7D" w:rsidRPr="00CC43CA">
        <w:rPr>
          <w:rFonts w:ascii="Arial" w:eastAsia="Helvetica" w:hAnsi="Arial" w:cs="Arial"/>
          <w:color w:val="1A1A1A"/>
        </w:rPr>
        <w:t>twentieth</w:t>
      </w:r>
      <w:r w:rsidR="00F80329" w:rsidRPr="00CC43CA">
        <w:rPr>
          <w:rFonts w:ascii="Arial" w:eastAsia="Helvetica" w:hAnsi="Arial" w:cs="Arial"/>
          <w:color w:val="1A1A1A"/>
        </w:rPr>
        <w:t xml:space="preserve"> </w:t>
      </w:r>
      <w:r w:rsidR="00386A7D" w:rsidRPr="00CC43CA">
        <w:rPr>
          <w:rFonts w:ascii="Arial" w:eastAsia="Helvetica" w:hAnsi="Arial" w:cs="Arial"/>
          <w:color w:val="1A1A1A"/>
        </w:rPr>
        <w:t>c</w:t>
      </w:r>
      <w:r w:rsidR="00F80329" w:rsidRPr="00CC43CA">
        <w:rPr>
          <w:rFonts w:ascii="Arial" w:eastAsia="Helvetica" w:hAnsi="Arial" w:cs="Arial"/>
          <w:color w:val="1A1A1A"/>
        </w:rPr>
        <w:t>entury, and the perceived spread of such pol</w:t>
      </w:r>
      <w:r w:rsidRPr="00CC43CA">
        <w:rPr>
          <w:rFonts w:ascii="Arial" w:eastAsia="Helvetica" w:hAnsi="Arial" w:cs="Arial"/>
          <w:color w:val="1A1A1A"/>
        </w:rPr>
        <w:t>icies globally</w:t>
      </w:r>
      <w:r w:rsidR="00F80329" w:rsidRPr="00CC43CA">
        <w:rPr>
          <w:rFonts w:ascii="Arial" w:eastAsia="Helvetica" w:hAnsi="Arial" w:cs="Arial"/>
          <w:color w:val="1A1A1A"/>
        </w:rPr>
        <w:t>.</w:t>
      </w:r>
      <w:r w:rsidR="005E280A">
        <w:rPr>
          <w:rStyle w:val="FootnoteReference"/>
          <w:rFonts w:ascii="Arial" w:eastAsia="Helvetica" w:hAnsi="Arial" w:cs="Arial"/>
          <w:color w:val="1A1A1A"/>
        </w:rPr>
        <w:footnoteReference w:id="62"/>
      </w:r>
      <w:r w:rsidR="00F80329" w:rsidRPr="00CC43CA">
        <w:rPr>
          <w:rFonts w:ascii="Arial" w:eastAsia="Helvetica" w:hAnsi="Arial" w:cs="Arial"/>
          <w:color w:val="1A1A1A"/>
        </w:rPr>
        <w:t xml:space="preserve"> </w:t>
      </w:r>
      <w:r w:rsidR="00386A7D" w:rsidRPr="00CC43CA">
        <w:rPr>
          <w:rFonts w:ascii="Arial" w:eastAsia="Helvetica" w:hAnsi="Arial" w:cs="Arial"/>
          <w:color w:val="1A1A1A"/>
        </w:rPr>
        <w:t xml:space="preserve">In part this reflects the timing of such </w:t>
      </w:r>
      <w:r w:rsidR="0027716B" w:rsidRPr="00CC43CA">
        <w:rPr>
          <w:rFonts w:ascii="Arial" w:eastAsia="Helvetica" w:hAnsi="Arial" w:cs="Arial"/>
          <w:color w:val="1A1A1A"/>
        </w:rPr>
        <w:t>scholarship</w:t>
      </w:r>
      <w:r w:rsidR="00386A7D" w:rsidRPr="00CC43CA">
        <w:rPr>
          <w:rFonts w:ascii="Arial" w:eastAsia="Helvetica" w:hAnsi="Arial" w:cs="Arial"/>
          <w:color w:val="1A1A1A"/>
        </w:rPr>
        <w:t>: policy transfer research only really gained any traction in the 1990s, and it was the beginning of the new century before criminology showed any concrete interest. This was a time when (northern hemispheric) criminology was preoccupied with the dramatic increases in prison populations and other indicators of the so-called ‘new punitiveness’</w:t>
      </w:r>
      <w:r w:rsidR="005E280A">
        <w:rPr>
          <w:rStyle w:val="FootnoteReference"/>
          <w:rFonts w:ascii="Arial" w:eastAsia="Helvetica" w:hAnsi="Arial" w:cs="Arial"/>
          <w:color w:val="1A1A1A"/>
        </w:rPr>
        <w:footnoteReference w:id="63"/>
      </w:r>
      <w:r w:rsidR="00386A7D" w:rsidRPr="00CC43CA">
        <w:rPr>
          <w:rFonts w:ascii="Arial" w:eastAsia="Helvetica" w:hAnsi="Arial" w:cs="Arial"/>
          <w:color w:val="1A1A1A"/>
        </w:rPr>
        <w:t xml:space="preserve"> that was affecting the majority of liberal democracies. </w:t>
      </w:r>
      <w:r w:rsidR="00020B73" w:rsidRPr="00CC43CA">
        <w:rPr>
          <w:rFonts w:ascii="Arial" w:eastAsia="Helvetica" w:hAnsi="Arial" w:cs="Arial"/>
          <w:color w:val="1A1A1A"/>
        </w:rPr>
        <w:t>Although such work had little to say about the possible influence of active policy exchange and transfer, the same policies also became the focus o</w:t>
      </w:r>
      <w:r w:rsidR="00FD62EE">
        <w:rPr>
          <w:rFonts w:ascii="Arial" w:eastAsia="Helvetica" w:hAnsi="Arial" w:cs="Arial"/>
          <w:color w:val="1A1A1A"/>
        </w:rPr>
        <w:t>f</w:t>
      </w:r>
      <w:r w:rsidR="00020B73" w:rsidRPr="00CC43CA">
        <w:rPr>
          <w:rFonts w:ascii="Arial" w:eastAsia="Helvetica" w:hAnsi="Arial" w:cs="Arial"/>
          <w:color w:val="1A1A1A"/>
        </w:rPr>
        <w:t xml:space="preserve"> the work of scholars more formally interested in the mobility of policy</w:t>
      </w:r>
      <w:r w:rsidR="00FB3ACB" w:rsidRPr="00CC43CA">
        <w:rPr>
          <w:rFonts w:ascii="Arial" w:eastAsia="Helvetica" w:hAnsi="Arial" w:cs="Arial"/>
          <w:color w:val="1A1A1A"/>
        </w:rPr>
        <w:t>.</w:t>
      </w:r>
      <w:r w:rsidR="005E280A">
        <w:rPr>
          <w:rStyle w:val="FootnoteReference"/>
          <w:rFonts w:ascii="Arial" w:eastAsia="Helvetica" w:hAnsi="Arial" w:cs="Arial"/>
          <w:color w:val="1A1A1A"/>
        </w:rPr>
        <w:footnoteReference w:id="64"/>
      </w:r>
      <w:r w:rsidR="00FB3ACB" w:rsidRPr="00CC43CA">
        <w:rPr>
          <w:rFonts w:ascii="Arial" w:eastAsia="Helvetica" w:hAnsi="Arial" w:cs="Arial"/>
          <w:color w:val="1A1A1A"/>
        </w:rPr>
        <w:t xml:space="preserve"> Broader work on the internationalisation of crime control has presented a view of globalising forces as tainted with the hue of authoritarianism and punitiveness, perhaps most particularly in relation to the US-led ‘War on Drugs’.</w:t>
      </w:r>
      <w:r w:rsidR="006A4C76">
        <w:rPr>
          <w:rStyle w:val="FootnoteReference"/>
          <w:rFonts w:ascii="Arial" w:eastAsia="Helvetica" w:hAnsi="Arial" w:cs="Arial"/>
          <w:color w:val="1A1A1A"/>
        </w:rPr>
        <w:footnoteReference w:id="65"/>
      </w:r>
      <w:r w:rsidR="00FB3ACB" w:rsidRPr="00CC43CA">
        <w:rPr>
          <w:rFonts w:ascii="Arial" w:eastAsia="Helvetica" w:hAnsi="Arial" w:cs="Arial"/>
          <w:color w:val="1A1A1A"/>
        </w:rPr>
        <w:t xml:space="preserve"> The criminological preoccupation with the punitive turn, whether the focus was on penal change in general, or policy transfer more specifically, meant that </w:t>
      </w:r>
      <w:r w:rsidR="001640D9" w:rsidRPr="00CC43CA">
        <w:rPr>
          <w:rFonts w:ascii="Arial" w:eastAsia="Helvetica" w:hAnsi="Arial" w:cs="Arial"/>
          <w:color w:val="1A1A1A"/>
        </w:rPr>
        <w:t xml:space="preserve">much </w:t>
      </w:r>
      <w:r w:rsidR="00FB3ACB" w:rsidRPr="00CC43CA">
        <w:rPr>
          <w:rFonts w:ascii="Arial" w:eastAsia="Helvetica" w:hAnsi="Arial" w:cs="Arial"/>
          <w:color w:val="1A1A1A"/>
        </w:rPr>
        <w:t xml:space="preserve">research at this time was focused </w:t>
      </w:r>
      <w:r w:rsidR="001640D9" w:rsidRPr="00CC43CA">
        <w:rPr>
          <w:rFonts w:ascii="Arial" w:eastAsia="Helvetica" w:hAnsi="Arial" w:cs="Arial"/>
          <w:color w:val="1A1A1A"/>
        </w:rPr>
        <w:t xml:space="preserve">on criminal justice and penal policies that were viewed almost entirely negatively. </w:t>
      </w:r>
    </w:p>
    <w:p w14:paraId="5366EF19" w14:textId="77777777" w:rsidR="00FB3ACB" w:rsidRPr="00CC43CA" w:rsidRDefault="00FB3ACB" w:rsidP="00FB3ACB">
      <w:pPr>
        <w:spacing w:after="0" w:line="276" w:lineRule="auto"/>
        <w:rPr>
          <w:rFonts w:ascii="Arial" w:eastAsia="Helvetica" w:hAnsi="Arial" w:cs="Arial"/>
          <w:color w:val="1A1A1A"/>
        </w:rPr>
      </w:pPr>
    </w:p>
    <w:p w14:paraId="06249F1B" w14:textId="1F8D2A8D" w:rsidR="002C7C15" w:rsidRPr="00CC43CA" w:rsidRDefault="00BD6DB3" w:rsidP="002C7C15">
      <w:pPr>
        <w:spacing w:after="0" w:line="276" w:lineRule="auto"/>
        <w:rPr>
          <w:rFonts w:ascii="Arial" w:hAnsi="Arial" w:cs="Arial"/>
        </w:rPr>
      </w:pPr>
      <w:r w:rsidRPr="00CC43CA">
        <w:rPr>
          <w:rFonts w:ascii="Arial" w:eastAsia="Helvetica" w:hAnsi="Arial" w:cs="Arial"/>
          <w:color w:val="1A1A1A"/>
        </w:rPr>
        <w:t xml:space="preserve">Although the bulk of such research focused on developments in the northern hemisphere, another </w:t>
      </w:r>
      <w:r w:rsidR="00F9583B" w:rsidRPr="00CC43CA">
        <w:rPr>
          <w:rFonts w:ascii="Arial" w:eastAsia="Helvetica" w:hAnsi="Arial" w:cs="Arial"/>
          <w:color w:val="1A1A1A"/>
        </w:rPr>
        <w:t>factor shaping</w:t>
      </w:r>
      <w:r w:rsidR="00835239" w:rsidRPr="00CC43CA">
        <w:rPr>
          <w:rFonts w:ascii="Arial" w:eastAsia="Helvetica" w:hAnsi="Arial" w:cs="Arial"/>
          <w:color w:val="1A1A1A"/>
        </w:rPr>
        <w:t xml:space="preserve"> the negative tone of much commentary on policy </w:t>
      </w:r>
      <w:r w:rsidRPr="00CC43CA">
        <w:rPr>
          <w:rFonts w:ascii="Arial" w:eastAsia="Helvetica" w:hAnsi="Arial" w:cs="Arial"/>
          <w:color w:val="1A1A1A"/>
        </w:rPr>
        <w:t>mobility</w:t>
      </w:r>
      <w:r w:rsidR="00835239" w:rsidRPr="00CC43CA">
        <w:rPr>
          <w:rFonts w:ascii="Arial" w:eastAsia="Helvetica" w:hAnsi="Arial" w:cs="Arial"/>
          <w:color w:val="1A1A1A"/>
        </w:rPr>
        <w:t xml:space="preserve"> concerns </w:t>
      </w:r>
      <w:r w:rsidRPr="00CC43CA">
        <w:rPr>
          <w:rFonts w:ascii="Arial" w:eastAsia="Helvetica" w:hAnsi="Arial" w:cs="Arial"/>
          <w:color w:val="1A1A1A"/>
        </w:rPr>
        <w:t xml:space="preserve">what are viewed as being </w:t>
      </w:r>
      <w:r w:rsidR="00835239" w:rsidRPr="00CC43CA">
        <w:rPr>
          <w:rFonts w:ascii="Arial" w:eastAsia="Helvetica" w:hAnsi="Arial" w:cs="Arial"/>
          <w:color w:val="1A1A1A"/>
        </w:rPr>
        <w:t xml:space="preserve">the </w:t>
      </w:r>
      <w:r w:rsidR="006D6D58" w:rsidRPr="00CC43CA">
        <w:rPr>
          <w:rFonts w:ascii="Arial" w:eastAsia="Helvetica" w:hAnsi="Arial" w:cs="Arial"/>
          <w:color w:val="1A1A1A"/>
        </w:rPr>
        <w:t xml:space="preserve">neo-colonialist implications </w:t>
      </w:r>
      <w:r w:rsidR="00AC0586">
        <w:rPr>
          <w:rFonts w:ascii="Arial" w:eastAsia="Helvetica" w:hAnsi="Arial" w:cs="Arial"/>
          <w:color w:val="1A1A1A"/>
        </w:rPr>
        <w:t xml:space="preserve">or potential </w:t>
      </w:r>
      <w:r w:rsidR="006D6D58" w:rsidRPr="00CC43CA">
        <w:rPr>
          <w:rFonts w:ascii="Arial" w:eastAsia="Helvetica" w:hAnsi="Arial" w:cs="Arial"/>
          <w:color w:val="1A1A1A"/>
        </w:rPr>
        <w:t>of policy transfers from the Gl</w:t>
      </w:r>
      <w:r w:rsidR="00835239" w:rsidRPr="00CC43CA">
        <w:rPr>
          <w:rFonts w:ascii="Arial" w:eastAsia="Helvetica" w:hAnsi="Arial" w:cs="Arial"/>
          <w:color w:val="1A1A1A"/>
        </w:rPr>
        <w:t xml:space="preserve">obal North </w:t>
      </w:r>
      <w:r w:rsidR="00C51B80">
        <w:rPr>
          <w:rFonts w:ascii="Arial" w:eastAsia="Helvetica" w:hAnsi="Arial" w:cs="Arial"/>
          <w:color w:val="1A1A1A"/>
        </w:rPr>
        <w:t>to</w:t>
      </w:r>
      <w:r w:rsidR="00C51B80" w:rsidRPr="00CC43CA">
        <w:rPr>
          <w:rFonts w:ascii="Arial" w:eastAsia="Helvetica" w:hAnsi="Arial" w:cs="Arial"/>
          <w:color w:val="1A1A1A"/>
        </w:rPr>
        <w:t xml:space="preserve"> </w:t>
      </w:r>
      <w:r w:rsidR="00835239" w:rsidRPr="00CC43CA">
        <w:rPr>
          <w:rFonts w:ascii="Arial" w:eastAsia="Helvetica" w:hAnsi="Arial" w:cs="Arial"/>
          <w:color w:val="1A1A1A"/>
        </w:rPr>
        <w:t>the Global South, or more generally from more to less powerful nations.</w:t>
      </w:r>
      <w:r w:rsidR="006D6D58" w:rsidRPr="00CC43CA">
        <w:rPr>
          <w:rFonts w:ascii="Arial" w:eastAsia="Helvetica" w:hAnsi="Arial" w:cs="Arial"/>
          <w:color w:val="1A1A1A"/>
        </w:rPr>
        <w:t xml:space="preserve"> </w:t>
      </w:r>
      <w:r w:rsidR="00FF7732" w:rsidRPr="00CC43CA">
        <w:rPr>
          <w:rFonts w:ascii="Arial" w:eastAsia="Helvetica" w:hAnsi="Arial" w:cs="Arial"/>
          <w:color w:val="1A1A1A"/>
        </w:rPr>
        <w:t xml:space="preserve">As Tauri notes: ‘the indigenous peoples of Africa, the Americas and the South Pacific have experienced an almost continuous process of cross-border transfer of crime control products throughout the </w:t>
      </w:r>
      <w:r w:rsidR="00FF7732" w:rsidRPr="00CC43CA">
        <w:rPr>
          <w:rFonts w:ascii="Arial" w:eastAsia="Helvetica" w:hAnsi="Arial" w:cs="Arial"/>
          <w:color w:val="1A1A1A"/>
        </w:rPr>
        <w:lastRenderedPageBreak/>
        <w:t>last 200 years or more’.</w:t>
      </w:r>
      <w:r w:rsidR="006A4C76">
        <w:rPr>
          <w:rStyle w:val="FootnoteReference"/>
          <w:rFonts w:ascii="Arial" w:eastAsia="Helvetica" w:hAnsi="Arial" w:cs="Arial"/>
          <w:color w:val="1A1A1A"/>
        </w:rPr>
        <w:footnoteReference w:id="66"/>
      </w:r>
      <w:r w:rsidR="00FF7732" w:rsidRPr="00CC43CA">
        <w:rPr>
          <w:rFonts w:ascii="Arial" w:eastAsia="Helvetica" w:hAnsi="Arial" w:cs="Arial"/>
          <w:color w:val="1A1A1A"/>
        </w:rPr>
        <w:t xml:space="preserve"> </w:t>
      </w:r>
      <w:r w:rsidR="00AC0586">
        <w:rPr>
          <w:rFonts w:ascii="Arial" w:hAnsi="Arial" w:cs="Arial"/>
        </w:rPr>
        <w:t>Furthermore, Stan</w:t>
      </w:r>
      <w:r w:rsidR="00BA4C7E" w:rsidRPr="00CC43CA">
        <w:rPr>
          <w:rFonts w:ascii="Arial" w:hAnsi="Arial" w:cs="Arial"/>
        </w:rPr>
        <w:t xml:space="preserve"> Cohen </w:t>
      </w:r>
      <w:r w:rsidR="00452816" w:rsidRPr="00CC43CA">
        <w:rPr>
          <w:rFonts w:ascii="Arial" w:hAnsi="Arial" w:cs="Arial"/>
        </w:rPr>
        <w:t>noted</w:t>
      </w:r>
      <w:r w:rsidR="00AC0586">
        <w:rPr>
          <w:rFonts w:ascii="Arial" w:hAnsi="Arial" w:cs="Arial"/>
        </w:rPr>
        <w:t xml:space="preserve"> the irony</w:t>
      </w:r>
      <w:r w:rsidR="00452816" w:rsidRPr="00CC43CA">
        <w:rPr>
          <w:rFonts w:ascii="Arial" w:hAnsi="Arial" w:cs="Arial"/>
        </w:rPr>
        <w:t xml:space="preserve"> that ‘the type of crime-control models (and criminological theories that sometimes inform them) being exported by criminologists, crime-control officials, international agencies, and various other “experts”, are the very ones that are now being discredited in the West’.</w:t>
      </w:r>
      <w:r w:rsidR="00CE2B3F">
        <w:rPr>
          <w:rStyle w:val="FootnoteReference"/>
          <w:rFonts w:ascii="Arial" w:hAnsi="Arial" w:cs="Arial"/>
        </w:rPr>
        <w:footnoteReference w:id="67"/>
      </w:r>
      <w:r w:rsidR="00452816" w:rsidRPr="00CC43CA">
        <w:rPr>
          <w:rFonts w:ascii="Arial" w:hAnsi="Arial" w:cs="Arial"/>
        </w:rPr>
        <w:t xml:space="preserve"> Cohen’s analysis and critique can be seen as </w:t>
      </w:r>
      <w:r w:rsidR="00BA4C7E" w:rsidRPr="00CC43CA">
        <w:rPr>
          <w:rFonts w:ascii="Arial" w:hAnsi="Arial" w:cs="Arial"/>
        </w:rPr>
        <w:t>an early forerunner of at least elements of what subsequently has come to be called Southern Criminology</w:t>
      </w:r>
      <w:r w:rsidR="002C7C15" w:rsidRPr="00CC43CA">
        <w:rPr>
          <w:rFonts w:ascii="Arial" w:hAnsi="Arial" w:cs="Arial"/>
        </w:rPr>
        <w:t>.</w:t>
      </w:r>
      <w:r w:rsidR="00CE2B3F">
        <w:rPr>
          <w:rStyle w:val="FootnoteReference"/>
          <w:rFonts w:ascii="Arial" w:hAnsi="Arial" w:cs="Arial"/>
        </w:rPr>
        <w:footnoteReference w:id="68"/>
      </w:r>
      <w:r w:rsidR="002C7C15" w:rsidRPr="00CC43CA">
        <w:rPr>
          <w:rFonts w:ascii="Arial" w:hAnsi="Arial" w:cs="Arial"/>
        </w:rPr>
        <w:t xml:space="preserve">  Central to this critical </w:t>
      </w:r>
      <w:r w:rsidR="00946EE7" w:rsidRPr="00CC43CA">
        <w:rPr>
          <w:rFonts w:ascii="Arial" w:hAnsi="Arial" w:cs="Arial"/>
        </w:rPr>
        <w:t>approach, and very much linked to the putative transfer of penal technologies from North to South,</w:t>
      </w:r>
      <w:r w:rsidR="002C7C15" w:rsidRPr="00CC43CA">
        <w:rPr>
          <w:rFonts w:ascii="Arial" w:hAnsi="Arial" w:cs="Arial"/>
        </w:rPr>
        <w:t xml:space="preserve"> is </w:t>
      </w:r>
      <w:r w:rsidR="00946EE7" w:rsidRPr="00CC43CA">
        <w:rPr>
          <w:rFonts w:ascii="Arial" w:hAnsi="Arial" w:cs="Arial"/>
        </w:rPr>
        <w:t>the view that traditional activity has not only privileged Northern concerns and ideas, but has acted in a way that ‘overlooks the role of penal policy as imperial statecraft in the modern world’.</w:t>
      </w:r>
      <w:r w:rsidR="00CE2B3F">
        <w:rPr>
          <w:rStyle w:val="FootnoteReference"/>
          <w:rFonts w:ascii="Arial" w:hAnsi="Arial" w:cs="Arial"/>
        </w:rPr>
        <w:footnoteReference w:id="69"/>
      </w:r>
      <w:r w:rsidR="00946EE7" w:rsidRPr="00CC43CA">
        <w:rPr>
          <w:rFonts w:ascii="Arial" w:hAnsi="Arial" w:cs="Arial"/>
        </w:rPr>
        <w:t xml:space="preserve"> </w:t>
      </w:r>
    </w:p>
    <w:p w14:paraId="08AF2674" w14:textId="77777777" w:rsidR="00835239" w:rsidRPr="00CC43CA" w:rsidRDefault="00835239" w:rsidP="00B332B2">
      <w:pPr>
        <w:spacing w:after="0" w:line="276" w:lineRule="auto"/>
        <w:rPr>
          <w:rFonts w:ascii="Arial" w:eastAsia="Helvetica" w:hAnsi="Arial" w:cs="Arial"/>
          <w:color w:val="1A1A1A"/>
        </w:rPr>
      </w:pPr>
    </w:p>
    <w:p w14:paraId="65B7A9AA" w14:textId="2D4E6883" w:rsidR="0024583D" w:rsidRPr="00CC43CA" w:rsidRDefault="00F9583B" w:rsidP="0024583D">
      <w:pPr>
        <w:spacing w:after="0" w:line="276" w:lineRule="auto"/>
        <w:rPr>
          <w:rFonts w:ascii="Arial" w:eastAsia="Helvetica" w:hAnsi="Arial" w:cs="Arial"/>
          <w:color w:val="1A1A1A"/>
        </w:rPr>
      </w:pPr>
      <w:r w:rsidRPr="00CC43CA">
        <w:rPr>
          <w:rFonts w:ascii="Arial" w:eastAsia="Helvetica" w:hAnsi="Arial" w:cs="Arial"/>
          <w:color w:val="1A1A1A"/>
        </w:rPr>
        <w:t xml:space="preserve">The third </w:t>
      </w:r>
      <w:r w:rsidR="00661BBD" w:rsidRPr="00CC43CA">
        <w:rPr>
          <w:rFonts w:ascii="Arial" w:eastAsia="Helvetica" w:hAnsi="Arial" w:cs="Arial"/>
          <w:color w:val="1A1A1A"/>
        </w:rPr>
        <w:t>factor influencing the often negative connotations of policy mobility in crime control is a largely</w:t>
      </w:r>
      <w:r w:rsidRPr="00CC43CA">
        <w:rPr>
          <w:rFonts w:ascii="Arial" w:eastAsia="Helvetica" w:hAnsi="Arial" w:cs="Arial"/>
          <w:color w:val="1A1A1A"/>
        </w:rPr>
        <w:t xml:space="preserve"> </w:t>
      </w:r>
      <w:r w:rsidRPr="00CC43CA">
        <w:rPr>
          <w:rFonts w:ascii="Arial" w:eastAsia="Helvetica" w:hAnsi="Arial" w:cs="Arial"/>
          <w:i/>
          <w:color w:val="1A1A1A"/>
        </w:rPr>
        <w:t xml:space="preserve">practical </w:t>
      </w:r>
      <w:r w:rsidR="00661BBD" w:rsidRPr="00CC43CA">
        <w:rPr>
          <w:rFonts w:ascii="Arial" w:eastAsia="Helvetica" w:hAnsi="Arial" w:cs="Arial"/>
          <w:iCs/>
          <w:color w:val="1A1A1A"/>
        </w:rPr>
        <w:t xml:space="preserve">one, and focuses on the considerable potential for </w:t>
      </w:r>
      <w:r w:rsidR="00835239" w:rsidRPr="00CC43CA">
        <w:rPr>
          <w:rFonts w:ascii="Arial" w:eastAsia="Helvetica" w:hAnsi="Arial" w:cs="Arial"/>
          <w:color w:val="1A1A1A"/>
        </w:rPr>
        <w:t xml:space="preserve">ineffective or inappropriate policy transfer. </w:t>
      </w:r>
      <w:r w:rsidR="00661BBD" w:rsidRPr="00CC43CA">
        <w:rPr>
          <w:rFonts w:ascii="Arial" w:eastAsia="Helvetica" w:hAnsi="Arial" w:cs="Arial"/>
          <w:color w:val="1A1A1A"/>
        </w:rPr>
        <w:t xml:space="preserve">Much work in this field has served to indicate just how difficult, indeed often problematic, policy transfer is in practice. A wide range of influences – from local political interests and cultural predispositions to material circumstances – all potentially act to shape mobile policies in ways that are often unexpected and unanticipated. Thus, even in cases of policies that are seen as broadly benign (sometimes even as progressive), such as the spread of ‘restorative justice’ or ‘community policing’, the outcomes may be far from positive. </w:t>
      </w:r>
      <w:r w:rsidR="00B65333" w:rsidRPr="00CC43CA">
        <w:rPr>
          <w:rFonts w:ascii="Arial" w:eastAsia="Helvetica" w:hAnsi="Arial" w:cs="Arial"/>
          <w:color w:val="1A1A1A"/>
        </w:rPr>
        <w:t>S</w:t>
      </w:r>
      <w:r w:rsidR="006D6D58" w:rsidRPr="00CC43CA">
        <w:rPr>
          <w:rFonts w:ascii="Arial" w:eastAsia="Helvetica" w:hAnsi="Arial" w:cs="Arial"/>
          <w:color w:val="1A1A1A"/>
        </w:rPr>
        <w:t xml:space="preserve">ignificant problems </w:t>
      </w:r>
      <w:r w:rsidR="00B65333" w:rsidRPr="00CC43CA">
        <w:rPr>
          <w:rFonts w:ascii="Arial" w:eastAsia="Helvetica" w:hAnsi="Arial" w:cs="Arial"/>
          <w:color w:val="1A1A1A"/>
        </w:rPr>
        <w:t xml:space="preserve">are seen to arise </w:t>
      </w:r>
      <w:r w:rsidR="006D6D58" w:rsidRPr="00CC43CA">
        <w:rPr>
          <w:rFonts w:ascii="Arial" w:eastAsia="Helvetica" w:hAnsi="Arial" w:cs="Arial"/>
          <w:color w:val="1A1A1A"/>
        </w:rPr>
        <w:t xml:space="preserve">in relation to implementation, effectiveness and </w:t>
      </w:r>
      <w:r w:rsidR="00B65333" w:rsidRPr="00CC43CA">
        <w:rPr>
          <w:rFonts w:ascii="Arial" w:eastAsia="Helvetica" w:hAnsi="Arial" w:cs="Arial"/>
          <w:color w:val="1A1A1A"/>
        </w:rPr>
        <w:t>unwanted consequences</w:t>
      </w:r>
      <w:r w:rsidR="006D6D58" w:rsidRPr="00CC43CA">
        <w:rPr>
          <w:rFonts w:ascii="Arial" w:eastAsia="Helvetica" w:hAnsi="Arial" w:cs="Arial"/>
          <w:color w:val="1A1A1A"/>
        </w:rPr>
        <w:t>. For example, inappropriate or crude attempts at ‘naïve emulation’</w:t>
      </w:r>
      <w:r w:rsidR="00CE2B3F">
        <w:rPr>
          <w:rStyle w:val="FootnoteReference"/>
          <w:rFonts w:ascii="Arial" w:eastAsia="Helvetica" w:hAnsi="Arial" w:cs="Arial"/>
          <w:color w:val="1A1A1A"/>
        </w:rPr>
        <w:footnoteReference w:id="70"/>
      </w:r>
      <w:r w:rsidR="00CE2B3F">
        <w:rPr>
          <w:rFonts w:ascii="Arial" w:eastAsia="Helvetica" w:hAnsi="Arial" w:cs="Arial"/>
          <w:color w:val="1A1A1A"/>
        </w:rPr>
        <w:t xml:space="preserve"> </w:t>
      </w:r>
      <w:r w:rsidR="006D6D58" w:rsidRPr="00CC43CA">
        <w:rPr>
          <w:rFonts w:ascii="Arial" w:eastAsia="Helvetica" w:hAnsi="Arial" w:cs="Arial"/>
          <w:color w:val="1A1A1A"/>
        </w:rPr>
        <w:t xml:space="preserve">between different contexts </w:t>
      </w:r>
      <w:r w:rsidR="00667B66" w:rsidRPr="00CC43CA">
        <w:rPr>
          <w:rFonts w:ascii="Arial" w:eastAsia="Helvetica" w:hAnsi="Arial" w:cs="Arial"/>
          <w:color w:val="1A1A1A"/>
        </w:rPr>
        <w:t>(</w:t>
      </w:r>
      <w:r w:rsidR="006D6D58" w:rsidRPr="00CC43CA">
        <w:rPr>
          <w:rFonts w:ascii="Arial" w:eastAsia="Helvetica" w:hAnsi="Arial" w:cs="Arial"/>
          <w:color w:val="1A1A1A"/>
        </w:rPr>
        <w:t>even when carried out from the best of intentions</w:t>
      </w:r>
      <w:r w:rsidR="00667B66" w:rsidRPr="00CC43CA">
        <w:rPr>
          <w:rFonts w:ascii="Arial" w:eastAsia="Helvetica" w:hAnsi="Arial" w:cs="Arial"/>
          <w:color w:val="1A1A1A"/>
        </w:rPr>
        <w:t>)</w:t>
      </w:r>
      <w:r w:rsidR="006D6D58" w:rsidRPr="00CC43CA">
        <w:rPr>
          <w:rFonts w:ascii="Arial" w:eastAsia="Helvetica" w:hAnsi="Arial" w:cs="Arial"/>
          <w:color w:val="1A1A1A"/>
        </w:rPr>
        <w:t xml:space="preserve"> can have demonstrably poor </w:t>
      </w:r>
      <w:r w:rsidR="0024583D" w:rsidRPr="00CC43CA">
        <w:rPr>
          <w:rFonts w:ascii="Arial" w:eastAsia="Helvetica" w:hAnsi="Arial" w:cs="Arial"/>
          <w:color w:val="1A1A1A"/>
        </w:rPr>
        <w:t>policy outcomes</w:t>
      </w:r>
      <w:r w:rsidR="006D6D58" w:rsidRPr="00CC43CA">
        <w:rPr>
          <w:rFonts w:ascii="Arial" w:eastAsia="Helvetica" w:hAnsi="Arial" w:cs="Arial"/>
          <w:color w:val="1A1A1A"/>
        </w:rPr>
        <w:t>.</w:t>
      </w:r>
      <w:r w:rsidR="0092696C">
        <w:rPr>
          <w:rStyle w:val="FootnoteReference"/>
          <w:rFonts w:ascii="Arial" w:eastAsia="Helvetica" w:hAnsi="Arial" w:cs="Arial"/>
          <w:color w:val="1A1A1A"/>
        </w:rPr>
        <w:footnoteReference w:id="71"/>
      </w:r>
    </w:p>
    <w:p w14:paraId="4AD80528" w14:textId="5C4AAADE" w:rsidR="00B65333" w:rsidRPr="00CC43CA" w:rsidRDefault="00B65333" w:rsidP="0024583D">
      <w:pPr>
        <w:spacing w:after="0" w:line="276" w:lineRule="auto"/>
        <w:rPr>
          <w:rFonts w:ascii="Arial" w:eastAsia="Helvetica" w:hAnsi="Arial" w:cs="Arial"/>
          <w:color w:val="1A1A1A"/>
        </w:rPr>
      </w:pPr>
    </w:p>
    <w:p w14:paraId="379D7640" w14:textId="06A9F0A1" w:rsidR="0003641A" w:rsidRPr="00321296" w:rsidRDefault="00FB6999" w:rsidP="00CA1FED">
      <w:pPr>
        <w:spacing w:line="276" w:lineRule="auto"/>
        <w:jc w:val="center"/>
        <w:rPr>
          <w:rFonts w:ascii="Arial" w:eastAsia="Helvetica" w:hAnsi="Arial" w:cs="Arial"/>
          <w:color w:val="1A1A1A"/>
        </w:rPr>
      </w:pPr>
      <w:r>
        <w:rPr>
          <w:rFonts w:ascii="Arial" w:eastAsia="Helvetica" w:hAnsi="Arial" w:cs="Arial"/>
          <w:b/>
          <w:bCs/>
          <w:color w:val="1A1A1A"/>
        </w:rPr>
        <w:t xml:space="preserve">NORMATIVE ISSUES: THE PROMISE OF CROSS-NATIONAL POLICY MOBILITY? </w:t>
      </w:r>
    </w:p>
    <w:p w14:paraId="60C29580" w14:textId="77777777" w:rsidR="00FB6999" w:rsidRDefault="00FB6999" w:rsidP="0003641A">
      <w:pPr>
        <w:spacing w:line="276" w:lineRule="auto"/>
        <w:rPr>
          <w:rFonts w:ascii="Arial" w:eastAsia="Helvetica" w:hAnsi="Arial" w:cs="Arial"/>
          <w:color w:val="1A1A1A"/>
        </w:rPr>
      </w:pPr>
    </w:p>
    <w:p w14:paraId="2ECE3A09" w14:textId="01D862C0" w:rsidR="0003641A" w:rsidRPr="00321296" w:rsidRDefault="000B4D5A" w:rsidP="0003641A">
      <w:pPr>
        <w:spacing w:line="276" w:lineRule="auto"/>
        <w:rPr>
          <w:rFonts w:ascii="Arial" w:eastAsia="Helvetica" w:hAnsi="Arial" w:cs="Arial"/>
          <w:color w:val="1A1A1A"/>
        </w:rPr>
      </w:pPr>
      <w:r>
        <w:rPr>
          <w:rFonts w:ascii="Arial" w:eastAsia="Helvetica" w:hAnsi="Arial" w:cs="Arial"/>
          <w:color w:val="1A1A1A"/>
        </w:rPr>
        <w:t>Notwithstanding these three major areas of difficulty, n</w:t>
      </w:r>
      <w:r w:rsidR="0003641A" w:rsidRPr="00321296">
        <w:rPr>
          <w:rFonts w:ascii="Arial" w:eastAsia="Helvetica" w:hAnsi="Arial" w:cs="Arial"/>
          <w:color w:val="1A1A1A"/>
        </w:rPr>
        <w:t>othing we have observed thus far lessens the importance of the study of policy or technology transfer</w:t>
      </w:r>
      <w:r>
        <w:rPr>
          <w:rFonts w:ascii="Arial" w:eastAsia="Helvetica" w:hAnsi="Arial" w:cs="Arial"/>
          <w:color w:val="1A1A1A"/>
        </w:rPr>
        <w:t xml:space="preserve"> for u</w:t>
      </w:r>
      <w:r w:rsidR="0003641A" w:rsidRPr="00321296">
        <w:rPr>
          <w:rFonts w:ascii="Arial" w:eastAsia="Helvetica" w:hAnsi="Arial" w:cs="Arial"/>
          <w:color w:val="1A1A1A"/>
        </w:rPr>
        <w:t>nderstanding the difficulties, barriers, problems and sources of resistance to policy mobility.</w:t>
      </w:r>
      <w:r>
        <w:rPr>
          <w:rFonts w:ascii="Arial" w:eastAsia="Helvetica" w:hAnsi="Arial" w:cs="Arial"/>
          <w:color w:val="1A1A1A"/>
        </w:rPr>
        <w:t xml:space="preserve"> Indeed, the </w:t>
      </w:r>
      <w:r w:rsidR="0003641A" w:rsidRPr="00321296">
        <w:rPr>
          <w:rFonts w:ascii="Arial" w:eastAsia="Helvetica" w:hAnsi="Arial" w:cs="Arial"/>
          <w:color w:val="1A1A1A"/>
        </w:rPr>
        <w:t xml:space="preserve">three areas of difficulty </w:t>
      </w:r>
      <w:r>
        <w:rPr>
          <w:rFonts w:ascii="Arial" w:eastAsia="Helvetica" w:hAnsi="Arial" w:cs="Arial"/>
          <w:color w:val="1A1A1A"/>
        </w:rPr>
        <w:t>can be used to</w:t>
      </w:r>
      <w:r w:rsidR="0003641A" w:rsidRPr="00321296">
        <w:rPr>
          <w:rFonts w:ascii="Arial" w:eastAsia="Helvetica" w:hAnsi="Arial" w:cs="Arial"/>
          <w:color w:val="1A1A1A"/>
        </w:rPr>
        <w:t xml:space="preserve"> explore aspects of the positive potential of research in this field.</w:t>
      </w:r>
    </w:p>
    <w:p w14:paraId="38953B5E" w14:textId="6AB97BA0" w:rsidR="0003641A" w:rsidRPr="00321296" w:rsidRDefault="00510263" w:rsidP="0003641A">
      <w:pPr>
        <w:spacing w:line="276" w:lineRule="auto"/>
        <w:rPr>
          <w:rFonts w:ascii="Arial" w:eastAsia="Helvetica" w:hAnsi="Arial" w:cs="Arial"/>
          <w:color w:val="1A1A1A"/>
        </w:rPr>
      </w:pPr>
      <w:r>
        <w:rPr>
          <w:rFonts w:ascii="Arial" w:eastAsia="Times New Roman" w:hAnsi="Arial" w:cs="Arial"/>
          <w:color w:val="000000"/>
          <w:lang w:eastAsia="en-GB"/>
        </w:rPr>
        <w:t>W</w:t>
      </w:r>
      <w:r w:rsidR="0003641A" w:rsidRPr="00321296">
        <w:rPr>
          <w:rFonts w:ascii="Arial" w:eastAsia="Times New Roman" w:hAnsi="Arial" w:cs="Arial"/>
          <w:color w:val="000000"/>
          <w:lang w:eastAsia="en-GB"/>
        </w:rPr>
        <w:t xml:space="preserve">hile much extant discussion has focused on punitive and regressive penal policies, significant examples of 'progressive' policy transfer can also be identified. Such examples provide an important contrast both in the principles underlying such mobile </w:t>
      </w:r>
      <w:r w:rsidR="0003641A" w:rsidRPr="00321296">
        <w:rPr>
          <w:rFonts w:ascii="Arial" w:eastAsia="Times New Roman" w:hAnsi="Arial" w:cs="Arial"/>
          <w:color w:val="000000"/>
          <w:lang w:eastAsia="en-GB"/>
        </w:rPr>
        <w:lastRenderedPageBreak/>
        <w:t>policies</w:t>
      </w:r>
      <w:r w:rsidR="007D4129">
        <w:rPr>
          <w:rFonts w:ascii="Arial" w:eastAsia="Times New Roman" w:hAnsi="Arial" w:cs="Arial"/>
          <w:color w:val="000000"/>
          <w:lang w:eastAsia="en-GB"/>
        </w:rPr>
        <w:t>,</w:t>
      </w:r>
      <w:r w:rsidR="0003641A" w:rsidRPr="00321296">
        <w:rPr>
          <w:rFonts w:ascii="Arial" w:eastAsia="Times New Roman" w:hAnsi="Arial" w:cs="Arial"/>
          <w:color w:val="000000"/>
          <w:lang w:eastAsia="en-GB"/>
        </w:rPr>
        <w:t xml:space="preserve"> their avowed objectives and the forms of language used in their promotion. Examples of such mobilities most obviously include the global movement towards the abolition of the death penalty, and related developments associated with the emergence of global 'human rights' regimes such as increasing protections against torture and due process protections for people held in custody.</w:t>
      </w:r>
      <w:r w:rsidR="0003641A" w:rsidRPr="00321296">
        <w:rPr>
          <w:rStyle w:val="FootnoteReference"/>
          <w:rFonts w:ascii="Arial" w:eastAsia="Times New Roman" w:hAnsi="Arial" w:cs="Arial"/>
          <w:color w:val="000000"/>
          <w:lang w:eastAsia="en-GB"/>
        </w:rPr>
        <w:footnoteReference w:id="72"/>
      </w:r>
      <w:r w:rsidR="0003641A" w:rsidRPr="00321296">
        <w:rPr>
          <w:rFonts w:ascii="Arial" w:eastAsia="Times New Roman" w:hAnsi="Arial" w:cs="Arial"/>
          <w:color w:val="000000"/>
          <w:lang w:eastAsia="en-GB"/>
        </w:rPr>
        <w:t xml:space="preserve"> </w:t>
      </w:r>
      <w:r w:rsidR="007D4129">
        <w:rPr>
          <w:rFonts w:ascii="Arial" w:eastAsia="Times New Roman" w:hAnsi="Arial" w:cs="Arial"/>
          <w:color w:val="000000"/>
          <w:lang w:eastAsia="en-GB"/>
        </w:rPr>
        <w:t>P</w:t>
      </w:r>
      <w:r w:rsidR="0003641A" w:rsidRPr="00321296">
        <w:rPr>
          <w:rFonts w:ascii="Arial" w:eastAsia="Times New Roman" w:hAnsi="Arial" w:cs="Arial"/>
          <w:color w:val="000000"/>
          <w:lang w:eastAsia="en-GB"/>
        </w:rPr>
        <w:t xml:space="preserve">aradoxically, many of these developments are undoubtedly associated with what might come under the non-voluntary mechanisms outlined earlier </w:t>
      </w:r>
      <w:r w:rsidR="007D4129">
        <w:rPr>
          <w:rFonts w:ascii="Arial" w:eastAsia="Times New Roman" w:hAnsi="Arial" w:cs="Arial"/>
          <w:color w:val="000000"/>
          <w:lang w:eastAsia="en-GB"/>
        </w:rPr>
        <w:t>in</w:t>
      </w:r>
      <w:r w:rsidR="0003641A" w:rsidRPr="00321296">
        <w:rPr>
          <w:rFonts w:ascii="Arial" w:eastAsia="Times New Roman" w:hAnsi="Arial" w:cs="Arial"/>
          <w:color w:val="000000"/>
          <w:lang w:eastAsia="en-GB"/>
        </w:rPr>
        <w:t xml:space="preserve"> the category of ‘coercion’, in that they have been very much influenced by global and regional governmental institutions, although clearly a variety of other mechanisms have been involved. Other high profile examples of ‘non-punitive’ policy transfer </w:t>
      </w:r>
      <w:r w:rsidR="00CA4764">
        <w:rPr>
          <w:rFonts w:ascii="Arial" w:eastAsia="Times New Roman" w:hAnsi="Arial" w:cs="Arial"/>
          <w:color w:val="000000"/>
          <w:lang w:eastAsia="en-GB"/>
        </w:rPr>
        <w:t xml:space="preserve">to </w:t>
      </w:r>
      <w:r w:rsidR="009B1C2D">
        <w:rPr>
          <w:rFonts w:ascii="Arial" w:eastAsia="Times New Roman" w:hAnsi="Arial" w:cs="Arial"/>
          <w:color w:val="000000"/>
          <w:lang w:eastAsia="en-GB"/>
        </w:rPr>
        <w:t xml:space="preserve">which </w:t>
      </w:r>
      <w:r w:rsidR="0003641A" w:rsidRPr="00321296">
        <w:rPr>
          <w:rFonts w:ascii="Arial" w:eastAsia="Times New Roman" w:hAnsi="Arial" w:cs="Arial"/>
          <w:color w:val="000000"/>
          <w:lang w:eastAsia="en-GB"/>
        </w:rPr>
        <w:t>we might draw attention include, for example, cross national policy learning regarding harm reduction approaches to substance misuse,</w:t>
      </w:r>
      <w:r w:rsidR="0003641A" w:rsidRPr="00321296">
        <w:rPr>
          <w:rStyle w:val="FootnoteReference"/>
          <w:rFonts w:ascii="Arial" w:eastAsia="Times New Roman" w:hAnsi="Arial" w:cs="Arial"/>
          <w:color w:val="000000"/>
          <w:lang w:eastAsia="en-GB"/>
        </w:rPr>
        <w:footnoteReference w:id="73"/>
      </w:r>
      <w:r w:rsidR="0003641A" w:rsidRPr="00321296">
        <w:rPr>
          <w:rFonts w:ascii="Arial" w:eastAsia="Times New Roman" w:hAnsi="Arial" w:cs="Arial"/>
          <w:color w:val="000000"/>
          <w:lang w:eastAsia="en-GB"/>
        </w:rPr>
        <w:t xml:space="preserve"> 'public health' as opposed to enforcement-based approaches to violence reduction,</w:t>
      </w:r>
      <w:r w:rsidR="0003641A" w:rsidRPr="00321296">
        <w:rPr>
          <w:rStyle w:val="FootnoteReference"/>
          <w:rFonts w:ascii="Arial" w:eastAsia="Times New Roman" w:hAnsi="Arial" w:cs="Arial"/>
          <w:color w:val="000000"/>
          <w:lang w:eastAsia="en-GB"/>
        </w:rPr>
        <w:footnoteReference w:id="74"/>
      </w:r>
      <w:r w:rsidR="0003641A" w:rsidRPr="00321296">
        <w:rPr>
          <w:rFonts w:ascii="Arial" w:eastAsia="Times New Roman" w:hAnsi="Arial" w:cs="Arial"/>
          <w:color w:val="000000"/>
          <w:lang w:eastAsia="en-GB"/>
        </w:rPr>
        <w:t xml:space="preserve"> the development of positive alternatives to custody,</w:t>
      </w:r>
      <w:r w:rsidR="0003641A" w:rsidRPr="00321296">
        <w:rPr>
          <w:rStyle w:val="FootnoteReference"/>
          <w:rFonts w:ascii="Arial" w:eastAsia="Times New Roman" w:hAnsi="Arial" w:cs="Arial"/>
          <w:color w:val="000000"/>
          <w:lang w:eastAsia="en-GB"/>
        </w:rPr>
        <w:footnoteReference w:id="75"/>
      </w:r>
      <w:r w:rsidR="0003641A" w:rsidRPr="00321296">
        <w:rPr>
          <w:rFonts w:ascii="Arial" w:eastAsia="Times New Roman" w:hAnsi="Arial" w:cs="Arial"/>
          <w:color w:val="000000"/>
          <w:lang w:eastAsia="en-GB"/>
        </w:rPr>
        <w:t xml:space="preserve"> the 'Justice Reinvestment' movement,</w:t>
      </w:r>
      <w:r w:rsidR="0003641A" w:rsidRPr="00321296">
        <w:rPr>
          <w:rStyle w:val="FootnoteReference"/>
          <w:rFonts w:ascii="Arial" w:eastAsia="Times New Roman" w:hAnsi="Arial" w:cs="Arial"/>
          <w:color w:val="000000"/>
          <w:lang w:eastAsia="en-GB"/>
        </w:rPr>
        <w:footnoteReference w:id="76"/>
      </w:r>
      <w:r w:rsidR="0003641A" w:rsidRPr="00321296">
        <w:rPr>
          <w:rFonts w:ascii="Arial" w:eastAsia="Times New Roman" w:hAnsi="Arial" w:cs="Arial"/>
          <w:color w:val="000000"/>
          <w:lang w:eastAsia="en-GB"/>
        </w:rPr>
        <w:t xml:space="preserve"> and the international spread of restorative justice.</w:t>
      </w:r>
      <w:r w:rsidR="0003641A" w:rsidRPr="00321296">
        <w:rPr>
          <w:rStyle w:val="FootnoteReference"/>
          <w:rFonts w:ascii="Arial" w:eastAsia="Times New Roman" w:hAnsi="Arial" w:cs="Arial"/>
          <w:color w:val="000000"/>
          <w:lang w:eastAsia="en-GB"/>
        </w:rPr>
        <w:footnoteReference w:id="77"/>
      </w:r>
      <w:r w:rsidR="0003641A" w:rsidRPr="00321296">
        <w:rPr>
          <w:rFonts w:ascii="Arial" w:eastAsia="Times New Roman" w:hAnsi="Arial" w:cs="Arial"/>
          <w:color w:val="000000"/>
          <w:lang w:eastAsia="en-GB"/>
        </w:rPr>
        <w:t xml:space="preserve"> These examples no doubt provide plentiful evidence of the problems, pitfalls and unintended effects associated with policy mobility generally, but </w:t>
      </w:r>
      <w:r w:rsidR="009B1C2D">
        <w:rPr>
          <w:rFonts w:ascii="Arial" w:eastAsia="Times New Roman" w:hAnsi="Arial" w:cs="Arial"/>
          <w:color w:val="000000"/>
          <w:lang w:eastAsia="en-GB"/>
        </w:rPr>
        <w:t>they are</w:t>
      </w:r>
      <w:r w:rsidR="0003641A" w:rsidRPr="00321296">
        <w:rPr>
          <w:rFonts w:ascii="Arial" w:eastAsia="Times New Roman" w:hAnsi="Arial" w:cs="Arial"/>
          <w:color w:val="000000"/>
          <w:lang w:eastAsia="en-GB"/>
        </w:rPr>
        <w:t xml:space="preserve"> an important reminder that there is nothing </w:t>
      </w:r>
      <w:r w:rsidR="0003641A" w:rsidRPr="00321296">
        <w:rPr>
          <w:rFonts w:ascii="Arial" w:eastAsia="Times New Roman" w:hAnsi="Arial" w:cs="Arial"/>
          <w:i/>
          <w:color w:val="000000"/>
          <w:lang w:eastAsia="en-GB"/>
        </w:rPr>
        <w:t>inherently</w:t>
      </w:r>
      <w:r w:rsidR="0003641A" w:rsidRPr="00321296">
        <w:rPr>
          <w:rFonts w:ascii="Arial" w:eastAsia="Times New Roman" w:hAnsi="Arial" w:cs="Arial"/>
          <w:color w:val="000000"/>
          <w:lang w:eastAsia="en-GB"/>
        </w:rPr>
        <w:t xml:space="preserve"> punitive or authoritarian about cross-national policy transfer in crime control.</w:t>
      </w:r>
    </w:p>
    <w:p w14:paraId="501365A8" w14:textId="65512163" w:rsidR="0003641A" w:rsidRPr="00321296" w:rsidRDefault="0003641A" w:rsidP="0003641A">
      <w:pPr>
        <w:spacing w:line="276" w:lineRule="auto"/>
        <w:rPr>
          <w:rFonts w:ascii="Arial" w:eastAsia="Helvetica" w:hAnsi="Arial" w:cs="Arial"/>
          <w:color w:val="1A1A1A"/>
        </w:rPr>
      </w:pPr>
      <w:r w:rsidRPr="00321296">
        <w:rPr>
          <w:rFonts w:ascii="Arial" w:eastAsia="Times New Roman" w:hAnsi="Arial" w:cs="Arial"/>
          <w:color w:val="000000"/>
          <w:lang w:eastAsia="en-GB"/>
        </w:rPr>
        <w:t xml:space="preserve">The question that arises is how might a normative assessment of such policies proceed? How are we to judge what might be considered to be preferable and desirable? </w:t>
      </w:r>
      <w:r w:rsidRPr="00321296">
        <w:rPr>
          <w:rFonts w:ascii="Arial" w:eastAsia="Helvetica" w:hAnsi="Arial" w:cs="Arial"/>
          <w:color w:val="1A1A1A"/>
        </w:rPr>
        <w:t>In an important scholarly contribution some years ago, John Braithwaite</w:t>
      </w:r>
      <w:r w:rsidRPr="00321296">
        <w:rPr>
          <w:rStyle w:val="FootnoteReference"/>
          <w:rFonts w:ascii="Arial" w:eastAsia="Helvetica" w:hAnsi="Arial" w:cs="Arial"/>
          <w:color w:val="1A1A1A"/>
        </w:rPr>
        <w:footnoteReference w:id="78"/>
      </w:r>
      <w:r w:rsidRPr="00321296">
        <w:rPr>
          <w:rFonts w:ascii="Arial" w:eastAsia="Helvetica" w:hAnsi="Arial" w:cs="Arial"/>
          <w:color w:val="1A1A1A"/>
        </w:rPr>
        <w:t xml:space="preserve"> discussed the potential of republican theory for considering reform in criminal justice and penal policy and, more particularly, of the importance of normative theory to the criminological enterprise. Braithwaite’s core argument is that while ‘criminologists take explanatory theory increasingly seriously, they do not take normative theory seriously at all’</w:t>
      </w:r>
      <w:r w:rsidR="00E93399" w:rsidRPr="00321296">
        <w:rPr>
          <w:rFonts w:ascii="Arial" w:eastAsia="Helvetica" w:hAnsi="Arial" w:cs="Arial"/>
          <w:color w:val="1A1A1A"/>
        </w:rPr>
        <w:t>.</w:t>
      </w:r>
      <w:r w:rsidRPr="00321296">
        <w:rPr>
          <w:rStyle w:val="FootnoteReference"/>
          <w:rFonts w:ascii="Arial" w:eastAsia="Helvetica" w:hAnsi="Arial" w:cs="Arial"/>
          <w:color w:val="1A1A1A"/>
        </w:rPr>
        <w:footnoteReference w:id="79"/>
      </w:r>
      <w:r w:rsidRPr="00321296">
        <w:rPr>
          <w:rFonts w:ascii="Arial" w:eastAsia="Helvetica" w:hAnsi="Arial" w:cs="Arial"/>
          <w:color w:val="1A1A1A"/>
        </w:rPr>
        <w:t xml:space="preserve"> In short, what is required</w:t>
      </w:r>
      <w:r w:rsidR="00E93399">
        <w:rPr>
          <w:rFonts w:ascii="Arial" w:eastAsia="Helvetica" w:hAnsi="Arial" w:cs="Arial"/>
          <w:color w:val="1A1A1A"/>
        </w:rPr>
        <w:t>,</w:t>
      </w:r>
      <w:r w:rsidRPr="00321296">
        <w:rPr>
          <w:rFonts w:ascii="Arial" w:eastAsia="Helvetica" w:hAnsi="Arial" w:cs="Arial"/>
          <w:color w:val="1A1A1A"/>
        </w:rPr>
        <w:t xml:space="preserve"> he suggests</w:t>
      </w:r>
      <w:r w:rsidR="00E93399">
        <w:rPr>
          <w:rFonts w:ascii="Arial" w:eastAsia="Helvetica" w:hAnsi="Arial" w:cs="Arial"/>
          <w:color w:val="1A1A1A"/>
        </w:rPr>
        <w:t>,</w:t>
      </w:r>
      <w:r w:rsidRPr="00321296">
        <w:rPr>
          <w:rFonts w:ascii="Arial" w:eastAsia="Helvetica" w:hAnsi="Arial" w:cs="Arial"/>
          <w:color w:val="1A1A1A"/>
        </w:rPr>
        <w:t xml:space="preserve"> is both a fully-theorised understanding of the way the world is, together with a clear set of propositions about how the world should be. Now, as we have suggested, criminology’s normative stance has often tended to be unstated, and also to be focused more on what is felt to be undesirable (penal expansion for example) than on an explicit detailing of what is considered to be beneficial or preferable. Republican theory, as one possibility, Braithwaite argues, offers both a normative ideal for criminal justice policy, as well as </w:t>
      </w:r>
      <w:r w:rsidRPr="00321296">
        <w:rPr>
          <w:rFonts w:ascii="Arial" w:eastAsia="Helvetica" w:hAnsi="Arial" w:cs="Arial"/>
          <w:color w:val="1A1A1A"/>
        </w:rPr>
        <w:lastRenderedPageBreak/>
        <w:t>forming part of a broader political programme that aims to stimulate progressive social change. Braithwaite’s republicanism calls attention to such values as: freedom, equality, parsimony, checking of power, reprobation and reintegration. Each, naturally, requires considerable elucidation in order to make clear how they might potentially be operationalised in the context of criminal justice.</w:t>
      </w:r>
      <w:r w:rsidRPr="00321296">
        <w:rPr>
          <w:rStyle w:val="FootnoteReference"/>
          <w:rFonts w:ascii="Arial" w:eastAsia="Helvetica" w:hAnsi="Arial" w:cs="Arial"/>
          <w:color w:val="1A1A1A"/>
        </w:rPr>
        <w:footnoteReference w:id="80"/>
      </w:r>
      <w:r w:rsidRPr="00321296">
        <w:rPr>
          <w:rFonts w:ascii="Arial" w:eastAsia="Helvetica" w:hAnsi="Arial" w:cs="Arial"/>
          <w:color w:val="1A1A1A"/>
        </w:rPr>
        <w:t xml:space="preserve"> </w:t>
      </w:r>
      <w:r w:rsidRPr="00321296">
        <w:rPr>
          <w:rFonts w:ascii="Arial" w:hAnsi="Arial" w:cs="Arial"/>
          <w:color w:val="000000"/>
        </w:rPr>
        <w:t xml:space="preserve">If the development of principled frameworks for the operation of criminal justice systems is difficult, then questions relating to security are arguably even more complex, not least because of the issues of pre-emption associated with them. In an effort to deal with these Zedner, for example, sets out a series of principles that could provide a normative guide for decisions </w:t>
      </w:r>
      <w:r w:rsidR="00E93399">
        <w:rPr>
          <w:rFonts w:ascii="Arial" w:hAnsi="Arial" w:cs="Arial"/>
          <w:color w:val="000000"/>
        </w:rPr>
        <w:t xml:space="preserve">about </w:t>
      </w:r>
      <w:r w:rsidR="007D4129">
        <w:rPr>
          <w:rFonts w:ascii="Arial" w:hAnsi="Arial" w:cs="Arial"/>
          <w:color w:val="000000"/>
        </w:rPr>
        <w:t>the nature and scale</w:t>
      </w:r>
      <w:r w:rsidRPr="00321296">
        <w:rPr>
          <w:rFonts w:ascii="Arial" w:hAnsi="Arial" w:cs="Arial"/>
          <w:color w:val="000000"/>
        </w:rPr>
        <w:t xml:space="preserve"> of security.</w:t>
      </w:r>
      <w:r w:rsidRPr="00321296">
        <w:rPr>
          <w:rStyle w:val="FootnoteReference"/>
          <w:rFonts w:ascii="Arial" w:hAnsi="Arial" w:cs="Arial"/>
          <w:color w:val="000000"/>
        </w:rPr>
        <w:footnoteReference w:id="81"/>
      </w:r>
      <w:r w:rsidRPr="00321296">
        <w:rPr>
          <w:rFonts w:ascii="Arial" w:hAnsi="Arial" w:cs="Arial"/>
          <w:color w:val="000000"/>
        </w:rPr>
        <w:t xml:space="preserve"> Though broader, these also parallel elements of Republican theory and include principles of necessity, minimalism, social defence, parsimony, transparency/accountability, proportionality, presumption against threat, compelling evidence (as to the nature and magnitude of the threat), fairness and equal impact, attention to human rights, and finally, adequate provision for redress.</w:t>
      </w:r>
    </w:p>
    <w:p w14:paraId="132FB613" w14:textId="0DB43419" w:rsidR="0003641A" w:rsidRDefault="0003641A" w:rsidP="0003641A">
      <w:pPr>
        <w:spacing w:line="276" w:lineRule="auto"/>
        <w:rPr>
          <w:rFonts w:ascii="Arial" w:eastAsia="Times New Roman" w:hAnsi="Arial" w:cs="Arial"/>
          <w:lang w:eastAsia="en-GB"/>
        </w:rPr>
      </w:pPr>
      <w:r w:rsidRPr="00321296">
        <w:rPr>
          <w:rFonts w:ascii="Arial" w:eastAsia="Helvetica" w:hAnsi="Arial" w:cs="Arial"/>
          <w:color w:val="1A1A1A"/>
        </w:rPr>
        <w:t>A second challenge for progressive policy transfer is that of n</w:t>
      </w:r>
      <w:r w:rsidRPr="00321296">
        <w:rPr>
          <w:rFonts w:ascii="Arial" w:eastAsia="Times New Roman" w:hAnsi="Arial" w:cs="Arial"/>
          <w:color w:val="000000"/>
          <w:lang w:eastAsia="en-GB"/>
        </w:rPr>
        <w:t>eo-colonialism. Considering transfers from more to less powerful countries also raises further normative challenges, even if it were possible to reach some agreement about what might be thought to constitute 'good' policies in security and justice. These concern issues of sovereignty and respect for indigenous rights to self-determination</w:t>
      </w:r>
      <w:r w:rsidR="00E57BBD">
        <w:rPr>
          <w:rFonts w:ascii="Arial" w:eastAsia="Times New Roman" w:hAnsi="Arial" w:cs="Arial"/>
          <w:color w:val="000000"/>
          <w:lang w:eastAsia="en-GB"/>
        </w:rPr>
        <w:t xml:space="preserve">, as well as the risk of (often unintended) harms associated with exports in security and justice policies. </w:t>
      </w:r>
      <w:r w:rsidRPr="00321296">
        <w:rPr>
          <w:rFonts w:ascii="Arial" w:eastAsia="Times New Roman" w:hAnsi="Arial" w:cs="Arial"/>
          <w:color w:val="000000"/>
          <w:lang w:eastAsia="en-GB"/>
        </w:rPr>
        <w:t>The international death penalty abolition movement, for example, has faced criticism for cultural imperialism and for attempting to impose 'Northern' liberal standards on very different cultures and political systems.</w:t>
      </w:r>
      <w:r w:rsidRPr="00321296">
        <w:rPr>
          <w:rStyle w:val="FootnoteReference"/>
          <w:rFonts w:ascii="Arial" w:eastAsia="Times New Roman" w:hAnsi="Arial" w:cs="Arial"/>
          <w:color w:val="000000"/>
          <w:lang w:eastAsia="en-GB"/>
        </w:rPr>
        <w:footnoteReference w:id="82"/>
      </w:r>
      <w:r w:rsidRPr="00321296">
        <w:rPr>
          <w:rFonts w:ascii="Arial" w:eastAsia="Times New Roman" w:hAnsi="Arial" w:cs="Arial"/>
          <w:color w:val="000000"/>
          <w:lang w:eastAsia="en-GB"/>
        </w:rPr>
        <w:t xml:space="preserve"> This area is fraught with cha</w:t>
      </w:r>
      <w:r w:rsidR="00E57BBD">
        <w:rPr>
          <w:rFonts w:ascii="Arial" w:eastAsia="Times New Roman" w:hAnsi="Arial" w:cs="Arial"/>
          <w:color w:val="000000"/>
          <w:lang w:eastAsia="en-GB"/>
        </w:rPr>
        <w:t xml:space="preserve">llenges, and </w:t>
      </w:r>
      <w:r w:rsidRPr="00321296">
        <w:rPr>
          <w:rFonts w:ascii="Arial" w:eastAsia="Times New Roman" w:hAnsi="Arial" w:cs="Arial"/>
          <w:color w:val="000000"/>
          <w:lang w:eastAsia="en-GB"/>
        </w:rPr>
        <w:t xml:space="preserve">the export of policies or approaches that might be widely viewed by scholars as 'progressive' policy models or approaches cannot be disentangled from fundamental structural inequalities in international power relations. </w:t>
      </w:r>
      <w:r w:rsidR="00E57BBD">
        <w:rPr>
          <w:rFonts w:ascii="Arial" w:eastAsia="Times New Roman" w:hAnsi="Arial" w:cs="Arial"/>
          <w:color w:val="000000"/>
          <w:lang w:eastAsia="en-GB"/>
        </w:rPr>
        <w:t>T</w:t>
      </w:r>
      <w:r w:rsidRPr="00321296">
        <w:rPr>
          <w:rFonts w:ascii="Arial" w:eastAsia="Times New Roman" w:hAnsi="Arial" w:cs="Arial"/>
          <w:color w:val="000000"/>
          <w:lang w:eastAsia="en-GB"/>
        </w:rPr>
        <w:t>he recent work of Lohne on international criminal justice</w:t>
      </w:r>
      <w:r w:rsidR="00E57BBD">
        <w:rPr>
          <w:rFonts w:ascii="Arial" w:eastAsia="Times New Roman" w:hAnsi="Arial" w:cs="Arial"/>
          <w:color w:val="000000"/>
          <w:lang w:eastAsia="en-GB"/>
        </w:rPr>
        <w:t>, for example,</w:t>
      </w:r>
      <w:r w:rsidRPr="00321296">
        <w:rPr>
          <w:rFonts w:ascii="Arial" w:eastAsia="Times New Roman" w:hAnsi="Arial" w:cs="Arial"/>
          <w:color w:val="000000"/>
          <w:lang w:eastAsia="en-GB"/>
        </w:rPr>
        <w:t xml:space="preserve"> highlights the normative complexities of forms of transnational ‘penal aid’, that remain, </w:t>
      </w:r>
      <w:r w:rsidR="00E57BBD">
        <w:rPr>
          <w:rFonts w:ascii="Arial" w:eastAsia="Times New Roman" w:hAnsi="Arial" w:cs="Arial"/>
          <w:color w:val="000000"/>
          <w:lang w:eastAsia="en-GB"/>
        </w:rPr>
        <w:t>however laudable their original intentions,</w:t>
      </w:r>
      <w:r w:rsidRPr="00321296">
        <w:rPr>
          <w:rFonts w:ascii="Arial" w:eastAsia="Times New Roman" w:hAnsi="Arial" w:cs="Arial"/>
          <w:color w:val="000000"/>
          <w:lang w:eastAsia="en-GB"/>
        </w:rPr>
        <w:t xml:space="preserve"> ‘</w:t>
      </w:r>
      <w:r w:rsidRPr="00321296">
        <w:rPr>
          <w:rFonts w:ascii="Arial" w:hAnsi="Arial" w:cs="Arial"/>
        </w:rPr>
        <w:t>imbued with neo-colonialism and global inequalities’.</w:t>
      </w:r>
      <w:r w:rsidR="00E57BBD" w:rsidRPr="00321296">
        <w:rPr>
          <w:rStyle w:val="FootnoteReference"/>
          <w:rFonts w:ascii="Arial" w:eastAsia="Times New Roman" w:hAnsi="Arial" w:cs="Arial"/>
          <w:color w:val="000000"/>
          <w:lang w:eastAsia="en-GB"/>
        </w:rPr>
        <w:footnoteReference w:id="83"/>
      </w:r>
      <w:r w:rsidR="00E57BBD" w:rsidRPr="00321296">
        <w:rPr>
          <w:rFonts w:ascii="Arial" w:eastAsia="Times New Roman" w:hAnsi="Arial" w:cs="Arial"/>
          <w:color w:val="000000"/>
          <w:lang w:eastAsia="en-GB"/>
        </w:rPr>
        <w:t xml:space="preserve"> </w:t>
      </w:r>
      <w:r w:rsidRPr="00321296">
        <w:rPr>
          <w:rFonts w:ascii="Arial" w:hAnsi="Arial" w:cs="Arial"/>
        </w:rPr>
        <w:t>Nevertheless, we would argue that normatively positive forms of international policy mobility and exchange remain possible, if undertaken with due regard for the challenges and complexities involved. Such processes of knowledge and policy exchange can be facilitated by sensitive and systematic scholarly research that remains alive to the dangers of neo-colonialist imposition. For example, i</w:t>
      </w:r>
      <w:r w:rsidRPr="00321296">
        <w:rPr>
          <w:rFonts w:ascii="Arial" w:hAnsi="Arial" w:cs="Arial"/>
          <w:color w:val="000000"/>
        </w:rPr>
        <w:t>n terms of the application of general principles in relation to North-South transfer activity, Blaustein argues that ‘</w:t>
      </w:r>
      <w:r w:rsidRPr="00321296">
        <w:rPr>
          <w:rFonts w:ascii="Arial" w:eastAsia="Times New Roman" w:hAnsi="Arial" w:cs="Arial"/>
          <w:lang w:eastAsia="en-GB"/>
        </w:rPr>
        <w:t xml:space="preserve">ethical engagement should seek to minimize </w:t>
      </w:r>
      <w:r w:rsidRPr="00321296">
        <w:rPr>
          <w:rFonts w:ascii="Arial" w:eastAsia="Times New Roman" w:hAnsi="Arial" w:cs="Arial"/>
          <w:lang w:eastAsia="en-GB"/>
        </w:rPr>
        <w:lastRenderedPageBreak/>
        <w:t>harm and support discursive representation through glocal interactions that are “authentic, inclusive and consequential”’.</w:t>
      </w:r>
      <w:r w:rsidRPr="00321296">
        <w:rPr>
          <w:rStyle w:val="FootnoteReference"/>
          <w:rFonts w:ascii="Arial" w:eastAsia="Times New Roman" w:hAnsi="Arial" w:cs="Arial"/>
          <w:lang w:eastAsia="en-GB"/>
        </w:rPr>
        <w:footnoteReference w:id="84"/>
      </w:r>
      <w:r w:rsidRPr="00321296">
        <w:rPr>
          <w:rFonts w:ascii="Arial" w:eastAsia="Times New Roman" w:hAnsi="Arial" w:cs="Arial"/>
          <w:lang w:eastAsia="en-GB"/>
        </w:rPr>
        <w:t xml:space="preserve"> Further, among other practices he stresses the importance of </w:t>
      </w:r>
      <w:r w:rsidRPr="00321296">
        <w:rPr>
          <w:rFonts w:ascii="Arial" w:eastAsia="Times New Roman" w:hAnsi="Arial" w:cs="Arial"/>
          <w:i/>
          <w:iCs/>
          <w:lang w:eastAsia="en-GB"/>
        </w:rPr>
        <w:t>reflexivity</w:t>
      </w:r>
      <w:r w:rsidRPr="00321296">
        <w:rPr>
          <w:rFonts w:ascii="Arial" w:eastAsia="Times New Roman" w:hAnsi="Arial" w:cs="Arial"/>
          <w:lang w:eastAsia="en-GB"/>
        </w:rPr>
        <w:t xml:space="preserve"> – forcing Northern researchers to ‘confront any universalist assumptions that are embedded in their research and recommendations’</w:t>
      </w:r>
      <w:r w:rsidRPr="00321296">
        <w:rPr>
          <w:rStyle w:val="FootnoteReference"/>
          <w:rFonts w:ascii="Arial" w:eastAsia="Times New Roman" w:hAnsi="Arial" w:cs="Arial"/>
          <w:lang w:eastAsia="en-GB"/>
        </w:rPr>
        <w:footnoteReference w:id="85"/>
      </w:r>
      <w:r w:rsidRPr="00321296">
        <w:rPr>
          <w:rFonts w:ascii="Arial" w:eastAsia="Times New Roman" w:hAnsi="Arial" w:cs="Arial"/>
          <w:lang w:eastAsia="en-GB"/>
        </w:rPr>
        <w:t xml:space="preserve"> – and </w:t>
      </w:r>
      <w:r w:rsidRPr="00321296">
        <w:rPr>
          <w:rFonts w:ascii="Arial" w:eastAsia="Times New Roman" w:hAnsi="Arial" w:cs="Arial"/>
          <w:i/>
          <w:iCs/>
          <w:lang w:eastAsia="en-GB"/>
        </w:rPr>
        <w:t xml:space="preserve">transparency, </w:t>
      </w:r>
      <w:r w:rsidRPr="00321296">
        <w:rPr>
          <w:rFonts w:ascii="Arial" w:eastAsia="Times New Roman" w:hAnsi="Arial" w:cs="Arial"/>
          <w:lang w:eastAsia="en-GB"/>
        </w:rPr>
        <w:t>enabling ‘research users to recognize the formative intentions and influences of northern criminologists’.</w:t>
      </w:r>
      <w:r w:rsidRPr="00321296">
        <w:rPr>
          <w:rStyle w:val="FootnoteReference"/>
          <w:rFonts w:ascii="Arial" w:eastAsia="Times New Roman" w:hAnsi="Arial" w:cs="Arial"/>
          <w:lang w:eastAsia="en-GB"/>
        </w:rPr>
        <w:footnoteReference w:id="86"/>
      </w:r>
      <w:r w:rsidRPr="00321296">
        <w:rPr>
          <w:rFonts w:ascii="Arial" w:eastAsia="Times New Roman" w:hAnsi="Arial" w:cs="Arial"/>
          <w:lang w:eastAsia="en-GB"/>
        </w:rPr>
        <w:t xml:space="preserve"> </w:t>
      </w:r>
    </w:p>
    <w:p w14:paraId="2868BACA" w14:textId="553F5728" w:rsidR="0003641A" w:rsidRPr="00321296" w:rsidRDefault="0003641A" w:rsidP="0003641A">
      <w:pPr>
        <w:spacing w:line="276" w:lineRule="auto"/>
        <w:rPr>
          <w:rFonts w:ascii="Arial" w:eastAsia="Helvetica" w:hAnsi="Arial" w:cs="Arial"/>
          <w:color w:val="1A1A1A"/>
        </w:rPr>
      </w:pPr>
      <w:r w:rsidRPr="00321296">
        <w:rPr>
          <w:rFonts w:ascii="Arial" w:eastAsia="Times New Roman" w:hAnsi="Arial" w:cs="Arial"/>
          <w:color w:val="000000"/>
          <w:lang w:eastAsia="en-GB"/>
        </w:rPr>
        <w:t xml:space="preserve">Consideration of the ways in which the dangers inherent in North-South activity might be mitigated leads neatly to the third set of cognate problems we identified earlier: the more practical issues of 'how to do' policy transfer. </w:t>
      </w:r>
      <w:r w:rsidRPr="00321296">
        <w:rPr>
          <w:rFonts w:ascii="Arial" w:eastAsia="Helvetica" w:hAnsi="Arial" w:cs="Arial"/>
          <w:color w:val="1A1A1A"/>
        </w:rPr>
        <w:t>Earlier we suggested that</w:t>
      </w:r>
      <w:r w:rsidR="00036F88">
        <w:rPr>
          <w:rFonts w:ascii="Arial" w:eastAsia="Helvetica" w:hAnsi="Arial" w:cs="Arial"/>
          <w:color w:val="1A1A1A"/>
        </w:rPr>
        <w:t>,</w:t>
      </w:r>
      <w:r w:rsidRPr="00321296">
        <w:rPr>
          <w:rFonts w:ascii="Arial" w:eastAsia="Helvetica" w:hAnsi="Arial" w:cs="Arial"/>
          <w:color w:val="1A1A1A"/>
        </w:rPr>
        <w:t xml:space="preserve"> rather than seeing research in the field of policy transfer as necessarily privileging retrospective studies, there is an argument for greater utilisation of </w:t>
      </w:r>
      <w:r w:rsidRPr="00321296">
        <w:rPr>
          <w:rFonts w:ascii="Arial" w:eastAsia="Helvetica" w:hAnsi="Arial" w:cs="Arial"/>
          <w:i/>
          <w:iCs/>
          <w:color w:val="1A1A1A"/>
        </w:rPr>
        <w:t xml:space="preserve">contemporaneous </w:t>
      </w:r>
      <w:r w:rsidRPr="00321296">
        <w:rPr>
          <w:rFonts w:ascii="Arial" w:eastAsia="Helvetica" w:hAnsi="Arial" w:cs="Arial"/>
          <w:color w:val="1A1A1A"/>
        </w:rPr>
        <w:t xml:space="preserve">approaches and, indeed, very considerable potential in what we might come to think of as </w:t>
      </w:r>
      <w:r w:rsidRPr="00321296">
        <w:rPr>
          <w:rFonts w:ascii="Arial" w:eastAsia="Helvetica" w:hAnsi="Arial" w:cs="Arial"/>
          <w:i/>
          <w:iCs/>
          <w:color w:val="1A1A1A"/>
        </w:rPr>
        <w:t xml:space="preserve">prospective </w:t>
      </w:r>
      <w:r w:rsidRPr="00321296">
        <w:rPr>
          <w:rFonts w:ascii="Arial" w:eastAsia="Helvetica" w:hAnsi="Arial" w:cs="Arial"/>
          <w:color w:val="1A1A1A"/>
        </w:rPr>
        <w:t xml:space="preserve">policy transfer research. By this we mean research which seeks to explore the </w:t>
      </w:r>
      <w:r w:rsidRPr="00321296">
        <w:rPr>
          <w:rFonts w:ascii="Arial" w:eastAsia="Helvetica" w:hAnsi="Arial" w:cs="Arial"/>
          <w:i/>
          <w:iCs/>
          <w:color w:val="1A1A1A"/>
        </w:rPr>
        <w:t xml:space="preserve">potential </w:t>
      </w:r>
      <w:r w:rsidRPr="00321296">
        <w:rPr>
          <w:rFonts w:ascii="Arial" w:eastAsia="Helvetica" w:hAnsi="Arial" w:cs="Arial"/>
          <w:color w:val="1A1A1A"/>
        </w:rPr>
        <w:t>for policy transfer and utilises existing research knowledge to identify the pitfalls and problems that are likely to affect policy mobility. Under this approach, cross-national transfer would become something akin to what Rose</w:t>
      </w:r>
      <w:r w:rsidRPr="00321296">
        <w:rPr>
          <w:rStyle w:val="FootnoteReference"/>
          <w:rFonts w:ascii="Arial" w:eastAsia="Helvetica" w:hAnsi="Arial" w:cs="Arial"/>
          <w:color w:val="1A1A1A"/>
        </w:rPr>
        <w:footnoteReference w:id="87"/>
      </w:r>
      <w:r w:rsidRPr="00321296">
        <w:rPr>
          <w:rFonts w:ascii="Arial" w:eastAsia="Helvetica" w:hAnsi="Arial" w:cs="Arial"/>
          <w:color w:val="1A1A1A"/>
        </w:rPr>
        <w:t xml:space="preserve"> has referred to as ‘prospective policy evaluation’.</w:t>
      </w:r>
      <w:r w:rsidRPr="00321296">
        <w:rPr>
          <w:rStyle w:val="FootnoteReference"/>
          <w:rFonts w:ascii="Arial" w:eastAsia="Helvetica" w:hAnsi="Arial" w:cs="Arial"/>
          <w:color w:val="1A1A1A"/>
        </w:rPr>
        <w:footnoteReference w:id="88"/>
      </w:r>
      <w:r w:rsidRPr="00321296">
        <w:rPr>
          <w:rFonts w:ascii="Arial" w:eastAsia="Helvetica" w:hAnsi="Arial" w:cs="Arial"/>
          <w:color w:val="1A1A1A"/>
        </w:rPr>
        <w:t xml:space="preserve"> Done effectively, it would involve the explicit utilisation of both explanatory and normative theory:</w:t>
      </w:r>
      <w:r w:rsidRPr="00321296">
        <w:rPr>
          <w:rStyle w:val="FootnoteReference"/>
          <w:rFonts w:ascii="Arial" w:eastAsia="Helvetica" w:hAnsi="Arial" w:cs="Arial"/>
          <w:color w:val="1A1A1A"/>
        </w:rPr>
        <w:footnoteReference w:id="89"/>
      </w:r>
      <w:r w:rsidRPr="00321296">
        <w:rPr>
          <w:rFonts w:ascii="Arial" w:eastAsia="Helvetica" w:hAnsi="Arial" w:cs="Arial"/>
          <w:color w:val="1A1A1A"/>
        </w:rPr>
        <w:t xml:space="preserve">  normative theory in order to identify putative policies worthy of borrowing or evaluating; explanatory theory as the basis for exploring how such borrowing might be expected to work in practice. </w:t>
      </w:r>
    </w:p>
    <w:p w14:paraId="54D2A096" w14:textId="79FF7C95" w:rsidR="0003641A" w:rsidRPr="00321296" w:rsidRDefault="0003641A" w:rsidP="0003641A">
      <w:pPr>
        <w:spacing w:line="276" w:lineRule="auto"/>
        <w:rPr>
          <w:rFonts w:ascii="Arial" w:eastAsia="Helvetica" w:hAnsi="Arial" w:cs="Arial"/>
          <w:color w:val="1A1A1A"/>
        </w:rPr>
      </w:pPr>
      <w:r w:rsidRPr="00321296">
        <w:rPr>
          <w:rFonts w:ascii="Arial" w:eastAsia="Helvetica" w:hAnsi="Arial" w:cs="Arial"/>
          <w:color w:val="1A1A1A"/>
        </w:rPr>
        <w:t>Explanatory theory requires us to go back to the questions asked earlier in the paper, in particular: which factors constrain or facilitate policy movement? Although, as we have shown, research now offers increasingly detailed answers to such questions, it remains the case that there are some quite profound limits to our knowledge in this field.</w:t>
      </w:r>
      <w:r w:rsidRPr="00321296">
        <w:rPr>
          <w:rStyle w:val="FootnoteReference"/>
          <w:rFonts w:ascii="Arial" w:eastAsia="Helvetica" w:hAnsi="Arial" w:cs="Arial"/>
          <w:color w:val="1A1A1A"/>
        </w:rPr>
        <w:footnoteReference w:id="90"/>
      </w:r>
      <w:r w:rsidRPr="00321296">
        <w:rPr>
          <w:rFonts w:ascii="Arial" w:eastAsia="Helvetica" w:hAnsi="Arial" w:cs="Arial"/>
          <w:color w:val="1A1A1A"/>
        </w:rPr>
        <w:t xml:space="preserve"> Despite this, the long-established traditions of policy borrowing across a variety of fields including security and justice, together with the impossibility of autarky, means that there remains much to be gained by seeking to enhance our explanatory understanding in this area. In this connection, Mossberger and Wolman offer </w:t>
      </w:r>
      <w:r w:rsidRPr="00321296">
        <w:rPr>
          <w:rFonts w:ascii="Arial" w:eastAsia="Helvetica" w:hAnsi="Arial" w:cs="Arial"/>
          <w:color w:val="1A1A1A"/>
          <w:lang w:val="en-US"/>
        </w:rPr>
        <w:t xml:space="preserve">some explicit practical criteria that might inform thinking about cross-national policy transfer in security and justice as a form of prospective policy evaluation. These include </w:t>
      </w:r>
      <w:r w:rsidRPr="00321296">
        <w:rPr>
          <w:rFonts w:ascii="Arial" w:eastAsia="Helvetica" w:hAnsi="Arial" w:cs="Arial"/>
          <w:bCs/>
          <w:i/>
          <w:color w:val="1A1A1A"/>
          <w:lang w:val="en-US"/>
        </w:rPr>
        <w:t>awareness</w:t>
      </w:r>
      <w:r w:rsidRPr="00321296">
        <w:rPr>
          <w:rFonts w:ascii="Arial" w:eastAsia="Helvetica" w:hAnsi="Arial" w:cs="Arial"/>
          <w:color w:val="1A1A1A"/>
          <w:lang w:val="en-US"/>
        </w:rPr>
        <w:t xml:space="preserve">, of potentially relevant policy models and approaches in operation in other jurisdictions, a systematic process of </w:t>
      </w:r>
      <w:r w:rsidRPr="00321296">
        <w:rPr>
          <w:rFonts w:ascii="Arial" w:eastAsia="Helvetica" w:hAnsi="Arial" w:cs="Arial"/>
          <w:bCs/>
          <w:i/>
          <w:color w:val="1A1A1A"/>
          <w:lang w:val="en-US"/>
        </w:rPr>
        <w:t>assessment</w:t>
      </w:r>
      <w:r w:rsidRPr="00321296">
        <w:rPr>
          <w:rFonts w:ascii="Arial" w:eastAsia="Helvetica" w:hAnsi="Arial" w:cs="Arial"/>
          <w:color w:val="1A1A1A"/>
          <w:lang w:val="en-US"/>
        </w:rPr>
        <w:t xml:space="preserve"> of the suitability of the policy for transfer, and finally (based on the previous two criteria) informed </w:t>
      </w:r>
      <w:r w:rsidRPr="00321296">
        <w:rPr>
          <w:rFonts w:ascii="Arial" w:eastAsia="Helvetica" w:hAnsi="Arial" w:cs="Arial"/>
          <w:bCs/>
          <w:i/>
          <w:color w:val="1A1A1A"/>
          <w:lang w:val="en-US"/>
        </w:rPr>
        <w:t>application</w:t>
      </w:r>
      <w:r w:rsidRPr="00321296">
        <w:rPr>
          <w:rFonts w:ascii="Arial" w:eastAsia="Helvetica" w:hAnsi="Arial" w:cs="Arial"/>
          <w:color w:val="1A1A1A"/>
          <w:lang w:val="en-US"/>
        </w:rPr>
        <w:t xml:space="preserve"> of the policy (or elements thereof) in a new context. The idea of </w:t>
      </w:r>
      <w:r w:rsidRPr="00321296">
        <w:rPr>
          <w:rFonts w:ascii="Arial" w:eastAsia="Helvetica" w:hAnsi="Arial" w:cs="Arial"/>
          <w:color w:val="1A1A1A"/>
          <w:lang w:val="en-US"/>
        </w:rPr>
        <w:lastRenderedPageBreak/>
        <w:t>prospective policy evaluation (related in this context to policy mobility) hinges, as Mossberger and Wolman put it, on ‘the ability to predict whether or how a borrowed idea will work in a new setting, and what adaptations are required for successful implementation’.</w:t>
      </w:r>
      <w:r w:rsidRPr="00321296">
        <w:rPr>
          <w:rStyle w:val="FootnoteReference"/>
          <w:rFonts w:ascii="Arial" w:eastAsia="Helvetica" w:hAnsi="Arial" w:cs="Arial"/>
          <w:color w:val="1A1A1A"/>
          <w:lang w:val="en-US"/>
        </w:rPr>
        <w:footnoteReference w:id="91"/>
      </w:r>
      <w:r w:rsidRPr="00321296">
        <w:rPr>
          <w:rFonts w:ascii="Arial" w:eastAsia="Helvetica" w:hAnsi="Arial" w:cs="Arial"/>
          <w:color w:val="1A1A1A"/>
          <w:lang w:val="en-US"/>
        </w:rPr>
        <w:t xml:space="preserve"> </w:t>
      </w:r>
      <w:r w:rsidRPr="00321296">
        <w:rPr>
          <w:rFonts w:ascii="Arial" w:eastAsia="Helvetica" w:hAnsi="Arial" w:cs="Arial"/>
          <w:color w:val="1A1A1A"/>
        </w:rPr>
        <w:t>This framework provides a promising basis for the development of ‘good practice’ in thinking about effective policy transfer, and it is clear that much transfer activity takes place without such systematic analysis and application.</w:t>
      </w:r>
      <w:r>
        <w:rPr>
          <w:rFonts w:ascii="Arial" w:eastAsia="Helvetica" w:hAnsi="Arial" w:cs="Arial"/>
          <w:color w:val="1A1A1A"/>
        </w:rPr>
        <w:t xml:space="preserve"> The potential for positive policy transfers could, we feel, be significantly enhanced by combining the pragmatic frameworks of policy analysis experts such as Mossberger and Wolman, with the normative analyses proposed by authors such as Braithwaite and Zedner. </w:t>
      </w:r>
    </w:p>
    <w:p w14:paraId="39338A63" w14:textId="77777777" w:rsidR="00FB6999" w:rsidRDefault="00FB6999" w:rsidP="00134409">
      <w:pPr>
        <w:spacing w:after="0"/>
        <w:rPr>
          <w:rFonts w:ascii="Arial" w:eastAsia="Helvetica" w:hAnsi="Arial" w:cs="Arial"/>
          <w:b/>
          <w:color w:val="1A1A1A"/>
          <w:lang w:val="en-US"/>
        </w:rPr>
      </w:pPr>
    </w:p>
    <w:p w14:paraId="043F8089" w14:textId="22492618" w:rsidR="00CC43CA" w:rsidRDefault="00FB6999" w:rsidP="00CA1FED">
      <w:pPr>
        <w:spacing w:after="0"/>
        <w:jc w:val="center"/>
        <w:rPr>
          <w:rFonts w:ascii="Arial" w:eastAsia="Helvetica" w:hAnsi="Arial" w:cs="Arial"/>
          <w:b/>
          <w:color w:val="1A1A1A"/>
          <w:lang w:val="en-US"/>
        </w:rPr>
      </w:pPr>
      <w:r>
        <w:rPr>
          <w:rFonts w:ascii="Arial" w:eastAsia="Helvetica" w:hAnsi="Arial" w:cs="Arial"/>
          <w:b/>
          <w:color w:val="1A1A1A"/>
          <w:lang w:val="en-US"/>
        </w:rPr>
        <w:t>CONCLUSION</w:t>
      </w:r>
    </w:p>
    <w:p w14:paraId="1E686704" w14:textId="77777777" w:rsidR="00FB6999" w:rsidRPr="00CC43CA" w:rsidRDefault="00FB6999" w:rsidP="00134409">
      <w:pPr>
        <w:spacing w:after="0"/>
        <w:rPr>
          <w:rFonts w:ascii="Arial" w:eastAsia="Helvetica" w:hAnsi="Arial" w:cs="Arial"/>
          <w:b/>
          <w:color w:val="1A1A1A"/>
          <w:lang w:val="en-US"/>
        </w:rPr>
      </w:pPr>
    </w:p>
    <w:p w14:paraId="1D20A7BB" w14:textId="04C70081" w:rsidR="00CC43CA" w:rsidRPr="00CC43CA" w:rsidRDefault="00CC43CA" w:rsidP="00134409">
      <w:pPr>
        <w:spacing w:after="0"/>
        <w:rPr>
          <w:rFonts w:ascii="Arial" w:eastAsia="Helvetica" w:hAnsi="Arial" w:cs="Arial"/>
          <w:color w:val="1A1A1A"/>
          <w:lang w:val="en-US"/>
        </w:rPr>
      </w:pPr>
      <w:r w:rsidRPr="00CC43CA">
        <w:rPr>
          <w:rFonts w:ascii="Arial" w:eastAsia="Helvetica" w:hAnsi="Arial" w:cs="Arial"/>
          <w:color w:val="1A1A1A"/>
          <w:lang w:val="en-US"/>
        </w:rPr>
        <w:t xml:space="preserve">In this paper, we have </w:t>
      </w:r>
      <w:r w:rsidR="009E7722">
        <w:rPr>
          <w:rFonts w:ascii="Arial" w:eastAsia="Helvetica" w:hAnsi="Arial" w:cs="Arial"/>
          <w:color w:val="1A1A1A"/>
          <w:lang w:val="en-US"/>
        </w:rPr>
        <w:t>offered a critical examination of</w:t>
      </w:r>
      <w:r w:rsidRPr="00CC43CA">
        <w:rPr>
          <w:rFonts w:ascii="Arial" w:eastAsia="Helvetica" w:hAnsi="Arial" w:cs="Arial"/>
          <w:color w:val="1A1A1A"/>
          <w:lang w:val="en-US"/>
        </w:rPr>
        <w:t xml:space="preserve"> </w:t>
      </w:r>
      <w:r w:rsidR="00234069">
        <w:rPr>
          <w:rFonts w:ascii="Arial" w:eastAsia="Helvetica" w:hAnsi="Arial" w:cs="Arial"/>
          <w:color w:val="1A1A1A"/>
          <w:lang w:val="en-US"/>
        </w:rPr>
        <w:t xml:space="preserve">the </w:t>
      </w:r>
      <w:r w:rsidRPr="00CC43CA">
        <w:rPr>
          <w:rFonts w:ascii="Arial" w:eastAsia="Helvetica" w:hAnsi="Arial" w:cs="Arial"/>
          <w:color w:val="1A1A1A"/>
          <w:lang w:val="en-US"/>
        </w:rPr>
        <w:t xml:space="preserve">research </w:t>
      </w:r>
      <w:r w:rsidR="00234069">
        <w:rPr>
          <w:rFonts w:ascii="Arial" w:eastAsia="Helvetica" w:hAnsi="Arial" w:cs="Arial"/>
          <w:color w:val="1A1A1A"/>
          <w:lang w:val="en-US"/>
        </w:rPr>
        <w:t xml:space="preserve">evidence on </w:t>
      </w:r>
      <w:r w:rsidRPr="00CC43CA">
        <w:rPr>
          <w:rFonts w:ascii="Arial" w:eastAsia="Helvetica" w:hAnsi="Arial" w:cs="Arial"/>
          <w:color w:val="1A1A1A"/>
          <w:lang w:val="en-US"/>
        </w:rPr>
        <w:t>cross</w:t>
      </w:r>
      <w:r w:rsidR="00234069">
        <w:rPr>
          <w:rFonts w:ascii="Arial" w:eastAsia="Helvetica" w:hAnsi="Arial" w:cs="Arial"/>
          <w:color w:val="1A1A1A"/>
          <w:lang w:val="en-US"/>
        </w:rPr>
        <w:t>-</w:t>
      </w:r>
      <w:r w:rsidRPr="00CC43CA">
        <w:rPr>
          <w:rFonts w:ascii="Arial" w:eastAsia="Helvetica" w:hAnsi="Arial" w:cs="Arial"/>
          <w:color w:val="1A1A1A"/>
          <w:lang w:val="en-US"/>
        </w:rPr>
        <w:t xml:space="preserve">national policy exchange in crime control, security and justice. </w:t>
      </w:r>
      <w:r w:rsidR="00234069">
        <w:rPr>
          <w:rFonts w:ascii="Arial" w:eastAsia="Helvetica" w:hAnsi="Arial" w:cs="Arial"/>
          <w:color w:val="1A1A1A"/>
          <w:lang w:val="en-US"/>
        </w:rPr>
        <w:t>Although</w:t>
      </w:r>
      <w:r w:rsidRPr="00CC43CA">
        <w:rPr>
          <w:rFonts w:ascii="Arial" w:eastAsia="Helvetica" w:hAnsi="Arial" w:cs="Arial"/>
          <w:color w:val="1A1A1A"/>
          <w:lang w:val="en-US"/>
        </w:rPr>
        <w:t xml:space="preserve"> only a limited amount of the research that draws explicitly on these concepts focuse</w:t>
      </w:r>
      <w:r w:rsidR="00234069">
        <w:rPr>
          <w:rFonts w:ascii="Arial" w:eastAsia="Helvetica" w:hAnsi="Arial" w:cs="Arial"/>
          <w:color w:val="1A1A1A"/>
          <w:lang w:val="en-US"/>
        </w:rPr>
        <w:t>s</w:t>
      </w:r>
      <w:r w:rsidRPr="00CC43CA">
        <w:rPr>
          <w:rFonts w:ascii="Arial" w:eastAsia="Helvetica" w:hAnsi="Arial" w:cs="Arial"/>
          <w:color w:val="1A1A1A"/>
          <w:lang w:val="en-US"/>
        </w:rPr>
        <w:t xml:space="preserve"> on the</w:t>
      </w:r>
      <w:r w:rsidR="00234069">
        <w:rPr>
          <w:rFonts w:ascii="Arial" w:eastAsia="Helvetica" w:hAnsi="Arial" w:cs="Arial"/>
          <w:color w:val="1A1A1A"/>
          <w:lang w:val="en-US"/>
        </w:rPr>
        <w:t>se</w:t>
      </w:r>
      <w:r w:rsidRPr="00CC43CA">
        <w:rPr>
          <w:rFonts w:ascii="Arial" w:eastAsia="Helvetica" w:hAnsi="Arial" w:cs="Arial"/>
          <w:color w:val="1A1A1A"/>
          <w:lang w:val="en-US"/>
        </w:rPr>
        <w:t xml:space="preserve"> issues</w:t>
      </w:r>
      <w:r w:rsidR="00234069">
        <w:rPr>
          <w:rFonts w:ascii="Arial" w:eastAsia="Helvetica" w:hAnsi="Arial" w:cs="Arial"/>
          <w:color w:val="1A1A1A"/>
          <w:lang w:val="en-US"/>
        </w:rPr>
        <w:t>, n</w:t>
      </w:r>
      <w:r w:rsidRPr="00CC43CA">
        <w:rPr>
          <w:rFonts w:ascii="Arial" w:eastAsia="Helvetica" w:hAnsi="Arial" w:cs="Arial"/>
          <w:color w:val="1A1A1A"/>
          <w:lang w:val="en-US"/>
        </w:rPr>
        <w:t xml:space="preserve">evertheless, there is now a sufficient body of work for us to make </w:t>
      </w:r>
      <w:r w:rsidR="000F4346">
        <w:rPr>
          <w:rFonts w:ascii="Arial" w:eastAsia="Helvetica" w:hAnsi="Arial" w:cs="Arial"/>
          <w:color w:val="1A1A1A"/>
          <w:lang w:val="en-US"/>
        </w:rPr>
        <w:t>some</w:t>
      </w:r>
      <w:r w:rsidRPr="00CC43CA">
        <w:rPr>
          <w:rFonts w:ascii="Arial" w:eastAsia="Helvetica" w:hAnsi="Arial" w:cs="Arial"/>
          <w:color w:val="1A1A1A"/>
          <w:lang w:val="en-US"/>
        </w:rPr>
        <w:t xml:space="preserve"> general observations. </w:t>
      </w:r>
      <w:r w:rsidR="000F4346">
        <w:rPr>
          <w:rFonts w:ascii="Arial" w:eastAsia="Helvetica" w:hAnsi="Arial" w:cs="Arial"/>
          <w:color w:val="1A1A1A"/>
          <w:lang w:val="en-US"/>
        </w:rPr>
        <w:t>T</w:t>
      </w:r>
      <w:r w:rsidRPr="00CC43CA">
        <w:rPr>
          <w:rFonts w:ascii="Arial" w:eastAsia="Helvetica" w:hAnsi="Arial" w:cs="Arial"/>
          <w:color w:val="1A1A1A"/>
          <w:lang w:val="en-US"/>
        </w:rPr>
        <w:t xml:space="preserve">here </w:t>
      </w:r>
      <w:r w:rsidR="000F4346">
        <w:rPr>
          <w:rFonts w:ascii="Arial" w:eastAsia="Helvetica" w:hAnsi="Arial" w:cs="Arial"/>
          <w:color w:val="1A1A1A"/>
          <w:lang w:val="en-US"/>
        </w:rPr>
        <w:t>is general</w:t>
      </w:r>
      <w:r w:rsidRPr="00CC43CA">
        <w:rPr>
          <w:rFonts w:ascii="Arial" w:eastAsia="Helvetica" w:hAnsi="Arial" w:cs="Arial"/>
          <w:color w:val="1A1A1A"/>
          <w:lang w:val="en-US"/>
        </w:rPr>
        <w:t xml:space="preserve"> consensus that recent decades have seen a significant increase in activity related to policy transfer and mobility, and that policy models and ideas appear to be circulating around the globe with greater frequency and velocity than in previous eras. </w:t>
      </w:r>
      <w:r w:rsidR="000F4346">
        <w:rPr>
          <w:rFonts w:ascii="Arial" w:eastAsia="Helvetica" w:hAnsi="Arial" w:cs="Arial"/>
          <w:color w:val="1A1A1A"/>
          <w:lang w:val="en-US"/>
        </w:rPr>
        <w:t>Despite this</w:t>
      </w:r>
      <w:r w:rsidRPr="00CC43CA">
        <w:rPr>
          <w:rFonts w:ascii="Arial" w:eastAsia="Helvetica" w:hAnsi="Arial" w:cs="Arial"/>
          <w:color w:val="1A1A1A"/>
          <w:lang w:val="en-US"/>
        </w:rPr>
        <w:t>,</w:t>
      </w:r>
      <w:r w:rsidR="00897AEA">
        <w:rPr>
          <w:rFonts w:ascii="Arial" w:eastAsia="Helvetica" w:hAnsi="Arial" w:cs="Arial"/>
          <w:color w:val="1A1A1A"/>
          <w:lang w:val="en-US"/>
        </w:rPr>
        <w:t xml:space="preserve"> </w:t>
      </w:r>
      <w:r w:rsidRPr="00CC43CA">
        <w:rPr>
          <w:rFonts w:ascii="Arial" w:eastAsia="Helvetica" w:hAnsi="Arial" w:cs="Arial"/>
          <w:color w:val="1A1A1A"/>
          <w:lang w:val="en-US"/>
        </w:rPr>
        <w:t xml:space="preserve">‘successful’ policy transfers – in terms of </w:t>
      </w:r>
      <w:r w:rsidR="00234069">
        <w:rPr>
          <w:rFonts w:ascii="Arial" w:eastAsia="Helvetica" w:hAnsi="Arial" w:cs="Arial"/>
          <w:color w:val="1A1A1A"/>
          <w:lang w:val="en-US"/>
        </w:rPr>
        <w:t xml:space="preserve">origin-destination </w:t>
      </w:r>
      <w:r w:rsidRPr="00CC43CA">
        <w:rPr>
          <w:rFonts w:ascii="Arial" w:eastAsia="Helvetica" w:hAnsi="Arial" w:cs="Arial"/>
          <w:color w:val="1A1A1A"/>
          <w:lang w:val="en-US"/>
        </w:rPr>
        <w:t xml:space="preserve">similarity </w:t>
      </w:r>
      <w:r w:rsidR="00234069">
        <w:rPr>
          <w:rFonts w:ascii="Arial" w:eastAsia="Helvetica" w:hAnsi="Arial" w:cs="Arial"/>
          <w:color w:val="1A1A1A"/>
          <w:lang w:val="en-US"/>
        </w:rPr>
        <w:t xml:space="preserve">and policy effectiveness </w:t>
      </w:r>
      <w:r w:rsidRPr="00CC43CA">
        <w:rPr>
          <w:rFonts w:ascii="Arial" w:eastAsia="Helvetica" w:hAnsi="Arial" w:cs="Arial"/>
          <w:color w:val="1A1A1A"/>
          <w:lang w:val="en-US"/>
        </w:rPr>
        <w:t xml:space="preserve">– </w:t>
      </w:r>
      <w:r w:rsidR="000F4346">
        <w:rPr>
          <w:rFonts w:ascii="Arial" w:eastAsia="Helvetica" w:hAnsi="Arial" w:cs="Arial"/>
          <w:color w:val="1A1A1A"/>
          <w:lang w:val="en-US"/>
        </w:rPr>
        <w:t xml:space="preserve">still </w:t>
      </w:r>
      <w:r w:rsidRPr="00CC43CA">
        <w:rPr>
          <w:rFonts w:ascii="Arial" w:eastAsia="Helvetica" w:hAnsi="Arial" w:cs="Arial"/>
          <w:color w:val="1A1A1A"/>
          <w:lang w:val="en-US"/>
        </w:rPr>
        <w:t>appear to be relatively few and far between. To the extent that policy transfer happens or is attempted, the literature</w:t>
      </w:r>
      <w:r w:rsidR="00234069">
        <w:rPr>
          <w:rFonts w:ascii="Arial" w:eastAsia="Helvetica" w:hAnsi="Arial" w:cs="Arial"/>
          <w:color w:val="1A1A1A"/>
          <w:lang w:val="en-US"/>
        </w:rPr>
        <w:t xml:space="preserve"> </w:t>
      </w:r>
      <w:r w:rsidRPr="00CC43CA">
        <w:rPr>
          <w:rFonts w:ascii="Arial" w:eastAsia="Helvetica" w:hAnsi="Arial" w:cs="Arial"/>
          <w:color w:val="1A1A1A"/>
          <w:lang w:val="en-US"/>
        </w:rPr>
        <w:t>highlight</w:t>
      </w:r>
      <w:r w:rsidR="000F4346">
        <w:rPr>
          <w:rFonts w:ascii="Arial" w:eastAsia="Helvetica" w:hAnsi="Arial" w:cs="Arial"/>
          <w:color w:val="1A1A1A"/>
          <w:lang w:val="en-US"/>
        </w:rPr>
        <w:t>s</w:t>
      </w:r>
      <w:r w:rsidRPr="00CC43CA">
        <w:rPr>
          <w:rFonts w:ascii="Arial" w:eastAsia="Helvetica" w:hAnsi="Arial" w:cs="Arial"/>
          <w:color w:val="1A1A1A"/>
          <w:lang w:val="en-US"/>
        </w:rPr>
        <w:t xml:space="preserve"> a range of explanatory mechanisms</w:t>
      </w:r>
      <w:r w:rsidR="00632EAD">
        <w:rPr>
          <w:rFonts w:ascii="Arial" w:eastAsia="Helvetica" w:hAnsi="Arial" w:cs="Arial"/>
          <w:color w:val="1A1A1A"/>
          <w:lang w:val="en-US"/>
        </w:rPr>
        <w:t xml:space="preserve">. These can include more or less ‘rational’ attempts at policy learning from other jurisdictions, but also </w:t>
      </w:r>
      <w:r w:rsidRPr="00CC43CA">
        <w:rPr>
          <w:rFonts w:ascii="Arial" w:eastAsia="Helvetica" w:hAnsi="Arial" w:cs="Arial"/>
          <w:color w:val="1A1A1A"/>
          <w:lang w:val="en-US"/>
        </w:rPr>
        <w:t xml:space="preserve">other mechanisms </w:t>
      </w:r>
      <w:r w:rsidR="00234069">
        <w:rPr>
          <w:rFonts w:ascii="Arial" w:eastAsia="Helvetica" w:hAnsi="Arial" w:cs="Arial"/>
          <w:color w:val="1A1A1A"/>
          <w:lang w:val="en-US"/>
        </w:rPr>
        <w:t>relating</w:t>
      </w:r>
      <w:r w:rsidRPr="00CC43CA">
        <w:rPr>
          <w:rFonts w:ascii="Arial" w:eastAsia="Helvetica" w:hAnsi="Arial" w:cs="Arial"/>
          <w:color w:val="1A1A1A"/>
          <w:lang w:val="en-US"/>
        </w:rPr>
        <w:t xml:space="preserve"> to ‘coercion’ (at least on some level), and ‘mimicry’ (whereby policies are copied or emulated for reasons </w:t>
      </w:r>
      <w:r w:rsidR="00632EAD">
        <w:rPr>
          <w:rFonts w:ascii="Arial" w:eastAsia="Helvetica" w:hAnsi="Arial" w:cs="Arial"/>
          <w:color w:val="1A1A1A"/>
          <w:lang w:val="en-US"/>
        </w:rPr>
        <w:t xml:space="preserve">other than </w:t>
      </w:r>
      <w:r w:rsidRPr="00CC43CA">
        <w:rPr>
          <w:rFonts w:ascii="Arial" w:eastAsia="Helvetica" w:hAnsi="Arial" w:cs="Arial"/>
          <w:color w:val="1A1A1A"/>
          <w:lang w:val="en-US"/>
        </w:rPr>
        <w:t>likely</w:t>
      </w:r>
      <w:r w:rsidR="00632EAD">
        <w:rPr>
          <w:rFonts w:ascii="Arial" w:eastAsia="Helvetica" w:hAnsi="Arial" w:cs="Arial"/>
          <w:color w:val="1A1A1A"/>
          <w:lang w:val="en-US"/>
        </w:rPr>
        <w:t xml:space="preserve"> instrumental</w:t>
      </w:r>
      <w:r w:rsidRPr="00CC43CA">
        <w:rPr>
          <w:rFonts w:ascii="Arial" w:eastAsia="Helvetica" w:hAnsi="Arial" w:cs="Arial"/>
          <w:color w:val="1A1A1A"/>
          <w:lang w:val="en-US"/>
        </w:rPr>
        <w:t xml:space="preserve"> effectiveness of adopted approaches). </w:t>
      </w:r>
      <w:r w:rsidR="009B1C2D">
        <w:rPr>
          <w:rFonts w:ascii="Arial" w:eastAsia="Helvetica" w:hAnsi="Arial" w:cs="Arial"/>
          <w:color w:val="1A1A1A"/>
          <w:lang w:val="en-US"/>
        </w:rPr>
        <w:t xml:space="preserve">Research suggests that </w:t>
      </w:r>
      <w:r w:rsidRPr="00CC43CA">
        <w:rPr>
          <w:rFonts w:ascii="Arial" w:eastAsia="Helvetica" w:hAnsi="Arial" w:cs="Arial"/>
          <w:color w:val="1A1A1A"/>
          <w:lang w:val="en-US"/>
        </w:rPr>
        <w:t xml:space="preserve">policy symbols, rhetoric and abstract ideas (perhaps </w:t>
      </w:r>
      <w:r w:rsidR="009B1C2D">
        <w:rPr>
          <w:rFonts w:ascii="Arial" w:eastAsia="Helvetica" w:hAnsi="Arial" w:cs="Arial"/>
          <w:color w:val="1A1A1A"/>
          <w:lang w:val="en-US"/>
        </w:rPr>
        <w:t xml:space="preserve">of particular importance </w:t>
      </w:r>
      <w:r w:rsidRPr="00CC43CA">
        <w:rPr>
          <w:rFonts w:ascii="Arial" w:eastAsia="Helvetica" w:hAnsi="Arial" w:cs="Arial"/>
          <w:color w:val="1A1A1A"/>
          <w:lang w:val="en-US"/>
        </w:rPr>
        <w:t>in the field</w:t>
      </w:r>
      <w:r w:rsidR="009B1C2D">
        <w:rPr>
          <w:rFonts w:ascii="Arial" w:eastAsia="Helvetica" w:hAnsi="Arial" w:cs="Arial"/>
          <w:color w:val="1A1A1A"/>
          <w:lang w:val="en-US"/>
        </w:rPr>
        <w:t>s</w:t>
      </w:r>
      <w:r w:rsidRPr="00CC43CA">
        <w:rPr>
          <w:rFonts w:ascii="Arial" w:eastAsia="Helvetica" w:hAnsi="Arial" w:cs="Arial"/>
          <w:color w:val="1A1A1A"/>
          <w:lang w:val="en-US"/>
        </w:rPr>
        <w:t xml:space="preserve"> of justice and security) </w:t>
      </w:r>
      <w:r w:rsidR="009B1C2D">
        <w:rPr>
          <w:rFonts w:ascii="Arial" w:eastAsia="Helvetica" w:hAnsi="Arial" w:cs="Arial"/>
          <w:color w:val="1A1A1A"/>
          <w:lang w:val="en-US"/>
        </w:rPr>
        <w:t xml:space="preserve">appear to travel more easily than more concrete manifestations of policy content and instruments. It also shows how </w:t>
      </w:r>
      <w:r w:rsidRPr="00CC43CA">
        <w:rPr>
          <w:rFonts w:ascii="Arial" w:eastAsia="Helvetica" w:hAnsi="Arial" w:cs="Arial"/>
          <w:color w:val="1A1A1A"/>
          <w:lang w:val="en-US"/>
        </w:rPr>
        <w:t xml:space="preserve">similarly labelled policies often develop in very distinct ways in new social, political and legal contexts. </w:t>
      </w:r>
      <w:r w:rsidR="009B1C2D">
        <w:rPr>
          <w:rFonts w:ascii="Arial" w:eastAsia="Helvetica" w:hAnsi="Arial" w:cs="Arial"/>
          <w:color w:val="1A1A1A"/>
          <w:lang w:val="en-US"/>
        </w:rPr>
        <w:t>T</w:t>
      </w:r>
      <w:r w:rsidRPr="00CC43CA">
        <w:rPr>
          <w:rFonts w:ascii="Arial" w:eastAsia="Helvetica" w:hAnsi="Arial" w:cs="Arial"/>
          <w:color w:val="1A1A1A"/>
          <w:lang w:val="en-US"/>
        </w:rPr>
        <w:t>he particular nature of the policy concerned, and key features of the cultural, political and economic contexts can provide important constraints and facilitators for the international mobility of policies</w:t>
      </w:r>
      <w:r w:rsidR="009B1C2D">
        <w:rPr>
          <w:rFonts w:ascii="Arial" w:eastAsia="Helvetica" w:hAnsi="Arial" w:cs="Arial"/>
          <w:color w:val="1A1A1A"/>
          <w:lang w:val="en-US"/>
        </w:rPr>
        <w:t xml:space="preserve">. Whilst for a number of reasons much research to date has </w:t>
      </w:r>
      <w:r w:rsidRPr="00CC43CA">
        <w:rPr>
          <w:rFonts w:ascii="Arial" w:eastAsia="Helvetica" w:hAnsi="Arial" w:cs="Arial"/>
          <w:color w:val="1A1A1A"/>
          <w:lang w:val="en-US"/>
        </w:rPr>
        <w:t xml:space="preserve">implied a critical </w:t>
      </w:r>
      <w:r w:rsidR="009E7722">
        <w:rPr>
          <w:rFonts w:ascii="Arial" w:eastAsia="Helvetica" w:hAnsi="Arial" w:cs="Arial"/>
          <w:color w:val="1A1A1A"/>
          <w:lang w:val="en-US"/>
        </w:rPr>
        <w:t xml:space="preserve">and somewhat negative </w:t>
      </w:r>
      <w:r w:rsidRPr="00CC43CA">
        <w:rPr>
          <w:rFonts w:ascii="Arial" w:eastAsia="Helvetica" w:hAnsi="Arial" w:cs="Arial"/>
          <w:color w:val="1A1A1A"/>
          <w:lang w:val="en-US"/>
        </w:rPr>
        <w:t xml:space="preserve">view of such </w:t>
      </w:r>
      <w:r w:rsidR="009B1C2D">
        <w:rPr>
          <w:rFonts w:ascii="Arial" w:eastAsia="Helvetica" w:hAnsi="Arial" w:cs="Arial"/>
          <w:color w:val="1A1A1A"/>
          <w:lang w:val="en-US"/>
        </w:rPr>
        <w:t>phenomena,</w:t>
      </w:r>
      <w:r w:rsidRPr="00CC43CA">
        <w:rPr>
          <w:rFonts w:ascii="Arial" w:eastAsia="Helvetica" w:hAnsi="Arial" w:cs="Arial"/>
          <w:color w:val="1A1A1A"/>
          <w:lang w:val="en-US"/>
        </w:rPr>
        <w:t xml:space="preserve"> there are significant examples</w:t>
      </w:r>
      <w:r w:rsidR="009B1C2D">
        <w:rPr>
          <w:rFonts w:ascii="Arial" w:eastAsia="Helvetica" w:hAnsi="Arial" w:cs="Arial"/>
          <w:color w:val="1A1A1A"/>
          <w:lang w:val="en-US"/>
        </w:rPr>
        <w:t xml:space="preserve"> </w:t>
      </w:r>
      <w:r w:rsidRPr="00CC43CA">
        <w:rPr>
          <w:rFonts w:ascii="Arial" w:eastAsia="Helvetica" w:hAnsi="Arial" w:cs="Arial"/>
          <w:color w:val="1A1A1A"/>
          <w:lang w:val="en-US"/>
        </w:rPr>
        <w:t xml:space="preserve">where positive penal policy outcomes appear to have emerged from processes of international policy transfer and convergence. </w:t>
      </w:r>
      <w:r w:rsidR="009E7722">
        <w:rPr>
          <w:rFonts w:ascii="Arial" w:eastAsia="Helvetica" w:hAnsi="Arial" w:cs="Arial"/>
          <w:color w:val="1A1A1A"/>
          <w:lang w:val="en-US"/>
        </w:rPr>
        <w:t>Moreover, w</w:t>
      </w:r>
      <w:r w:rsidRPr="00CC43CA">
        <w:rPr>
          <w:rFonts w:ascii="Arial" w:eastAsia="Helvetica" w:hAnsi="Arial" w:cs="Arial"/>
          <w:color w:val="1A1A1A"/>
          <w:lang w:val="en-US"/>
        </w:rPr>
        <w:t xml:space="preserve">e argue that more explicit attention to </w:t>
      </w:r>
      <w:r w:rsidR="009B1C2D">
        <w:rPr>
          <w:rFonts w:ascii="Arial" w:eastAsia="Helvetica" w:hAnsi="Arial" w:cs="Arial"/>
          <w:color w:val="1A1A1A"/>
          <w:lang w:val="en-US"/>
        </w:rPr>
        <w:t xml:space="preserve">combining </w:t>
      </w:r>
      <w:r w:rsidRPr="00CC43CA">
        <w:rPr>
          <w:rFonts w:ascii="Arial" w:eastAsia="Helvetica" w:hAnsi="Arial" w:cs="Arial"/>
          <w:color w:val="1A1A1A"/>
          <w:lang w:val="en-US"/>
        </w:rPr>
        <w:t>the normative</w:t>
      </w:r>
      <w:r w:rsidR="009B1C2D">
        <w:rPr>
          <w:rFonts w:ascii="Arial" w:eastAsia="Helvetica" w:hAnsi="Arial" w:cs="Arial"/>
          <w:color w:val="1A1A1A"/>
          <w:lang w:val="en-US"/>
        </w:rPr>
        <w:t xml:space="preserve"> and practical</w:t>
      </w:r>
      <w:r w:rsidRPr="00CC43CA">
        <w:rPr>
          <w:rFonts w:ascii="Arial" w:eastAsia="Helvetica" w:hAnsi="Arial" w:cs="Arial"/>
          <w:color w:val="1A1A1A"/>
          <w:lang w:val="en-US"/>
        </w:rPr>
        <w:t xml:space="preserve"> dimensions of policy transfer in security and justice</w:t>
      </w:r>
      <w:r w:rsidR="009E7722">
        <w:rPr>
          <w:rFonts w:ascii="Arial" w:eastAsia="Helvetica" w:hAnsi="Arial" w:cs="Arial"/>
          <w:color w:val="1A1A1A"/>
          <w:lang w:val="en-US"/>
        </w:rPr>
        <w:t>, and to exploring such processes prospectively, holds great promise for the further development of this field</w:t>
      </w:r>
      <w:r w:rsidRPr="00CC43CA">
        <w:rPr>
          <w:rFonts w:ascii="Arial" w:eastAsia="Helvetica" w:hAnsi="Arial" w:cs="Arial"/>
          <w:color w:val="1A1A1A"/>
          <w:lang w:val="en-US"/>
        </w:rPr>
        <w:t xml:space="preserve">. </w:t>
      </w:r>
    </w:p>
    <w:p w14:paraId="6E850084" w14:textId="77777777" w:rsidR="0028082A" w:rsidRPr="00F32BAB" w:rsidRDefault="0028082A" w:rsidP="00463334">
      <w:pPr>
        <w:rPr>
          <w:rFonts w:cstheme="minorHAnsi"/>
          <w:sz w:val="20"/>
          <w:szCs w:val="20"/>
        </w:rPr>
      </w:pPr>
    </w:p>
    <w:sectPr w:rsidR="0028082A" w:rsidRPr="00F32B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953ED" w14:textId="77777777" w:rsidR="00425201" w:rsidRDefault="00425201" w:rsidP="00B332B2">
      <w:pPr>
        <w:spacing w:after="0" w:line="240" w:lineRule="auto"/>
      </w:pPr>
      <w:r>
        <w:separator/>
      </w:r>
    </w:p>
  </w:endnote>
  <w:endnote w:type="continuationSeparator" w:id="0">
    <w:p w14:paraId="273022AB" w14:textId="77777777" w:rsidR="00425201" w:rsidRDefault="00425201" w:rsidP="00B3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dvP7B6C">
    <w:altName w:val="Cambria"/>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77B4" w14:textId="77777777" w:rsidR="00425201" w:rsidRDefault="00425201" w:rsidP="00B332B2">
      <w:pPr>
        <w:spacing w:after="0" w:line="240" w:lineRule="auto"/>
      </w:pPr>
      <w:r>
        <w:separator/>
      </w:r>
    </w:p>
  </w:footnote>
  <w:footnote w:type="continuationSeparator" w:id="0">
    <w:p w14:paraId="58AA6C1C" w14:textId="77777777" w:rsidR="00425201" w:rsidRDefault="00425201" w:rsidP="00B332B2">
      <w:pPr>
        <w:spacing w:after="0" w:line="240" w:lineRule="auto"/>
      </w:pPr>
      <w:r>
        <w:continuationSeparator/>
      </w:r>
    </w:p>
  </w:footnote>
  <w:footnote w:id="1">
    <w:p w14:paraId="3AA0565C" w14:textId="77777777" w:rsidR="00CA1FED" w:rsidRPr="00CA1FED" w:rsidRDefault="00CA1FED" w:rsidP="00CA1FED">
      <w:pPr>
        <w:spacing w:after="0" w:line="240" w:lineRule="auto"/>
        <w:rPr>
          <w:rFonts w:eastAsia="Times New Roman" w:cstheme="minorHAnsi"/>
          <w:i/>
          <w:iCs/>
          <w:color w:val="222222"/>
          <w:sz w:val="20"/>
          <w:szCs w:val="20"/>
          <w:shd w:val="clear" w:color="auto" w:fill="FFFFFF"/>
          <w:lang w:eastAsia="en-GB"/>
        </w:rPr>
      </w:pPr>
      <w:r w:rsidRPr="00945356">
        <w:rPr>
          <w:rFonts w:cstheme="minorHAnsi"/>
          <w:sz w:val="20"/>
          <w:szCs w:val="20"/>
        </w:rPr>
        <w:t xml:space="preserve">* </w:t>
      </w:r>
      <w:r w:rsidRPr="00CA1FED">
        <w:rPr>
          <w:rFonts w:cstheme="minorHAnsi"/>
          <w:i/>
          <w:iCs/>
          <w:sz w:val="20"/>
          <w:szCs w:val="20"/>
        </w:rPr>
        <w:t xml:space="preserve">School of Social Sciences, Cardiff University, </w:t>
      </w:r>
      <w:r w:rsidRPr="00CA1FED">
        <w:rPr>
          <w:rFonts w:eastAsia="Times New Roman" w:cstheme="minorHAnsi"/>
          <w:i/>
          <w:iCs/>
          <w:color w:val="222222"/>
          <w:sz w:val="20"/>
          <w:szCs w:val="20"/>
          <w:shd w:val="clear" w:color="auto" w:fill="FFFFFF"/>
          <w:lang w:eastAsia="en-GB"/>
        </w:rPr>
        <w:t xml:space="preserve">King Edward VII Ave, Cardiff CF10 3NN; </w:t>
      </w:r>
    </w:p>
    <w:p w14:paraId="50B23029" w14:textId="40A8304E" w:rsidR="00CA1FED" w:rsidRDefault="00425201" w:rsidP="00FB6999">
      <w:pPr>
        <w:spacing w:after="0" w:line="240" w:lineRule="auto"/>
        <w:rPr>
          <w:rFonts w:eastAsia="Times New Roman" w:cstheme="minorHAnsi"/>
          <w:i/>
          <w:iCs/>
          <w:color w:val="222222"/>
          <w:sz w:val="20"/>
          <w:szCs w:val="20"/>
          <w:shd w:val="clear" w:color="auto" w:fill="FFFFFF"/>
          <w:lang w:eastAsia="en-GB"/>
        </w:rPr>
      </w:pPr>
      <w:hyperlink r:id="rId1" w:history="1">
        <w:r w:rsidR="00CA1FED" w:rsidRPr="00CA1FED">
          <w:rPr>
            <w:rStyle w:val="Hyperlink"/>
            <w:i/>
            <w:iCs/>
          </w:rPr>
          <w:t>jonesTD2@cardiff.ac.uk</w:t>
        </w:r>
      </w:hyperlink>
    </w:p>
    <w:p w14:paraId="234B6F8A" w14:textId="77777777" w:rsidR="00CA1FED" w:rsidRPr="00CA1FED" w:rsidRDefault="00CA1FED" w:rsidP="00CA1FED">
      <w:pPr>
        <w:spacing w:after="0" w:line="240" w:lineRule="auto"/>
        <w:rPr>
          <w:rFonts w:eastAsia="Times New Roman" w:cstheme="minorHAnsi"/>
          <w:i/>
          <w:iCs/>
          <w:sz w:val="20"/>
          <w:szCs w:val="20"/>
          <w:lang w:eastAsia="en-GB"/>
        </w:rPr>
      </w:pPr>
    </w:p>
    <w:p w14:paraId="1BF0BE15" w14:textId="6798F104" w:rsidR="00CA1FED" w:rsidRPr="00CA1FED" w:rsidRDefault="00CA1FED" w:rsidP="00FB6999">
      <w:pPr>
        <w:pStyle w:val="EndnoteText"/>
        <w:rPr>
          <w:rFonts w:cstheme="minorHAnsi"/>
          <w:i/>
          <w:iCs/>
        </w:rPr>
      </w:pPr>
      <w:r w:rsidRPr="00CA1FED">
        <w:rPr>
          <w:rFonts w:cstheme="minorHAnsi"/>
          <w:i/>
          <w:iCs/>
        </w:rPr>
        <w:t>** Department of Social Policy, London School of Economics, Houghton, Street, London, WC2A 2AE, London; t.newburn@lse.ac.uk</w:t>
      </w:r>
    </w:p>
    <w:p w14:paraId="173DF025" w14:textId="6B1F92EC" w:rsidR="00CA1FED" w:rsidRPr="00945356" w:rsidRDefault="00CA1FED" w:rsidP="00945356">
      <w:pPr>
        <w:spacing w:after="0" w:line="240" w:lineRule="auto"/>
        <w:rPr>
          <w:rFonts w:cstheme="minorHAnsi"/>
          <w:sz w:val="20"/>
          <w:szCs w:val="20"/>
        </w:rPr>
      </w:pPr>
    </w:p>
    <w:p w14:paraId="31F266BB" w14:textId="77777777" w:rsidR="00CA1FED" w:rsidRDefault="00CA1FED" w:rsidP="00F32BAB">
      <w:pPr>
        <w:spacing w:after="0" w:line="240" w:lineRule="auto"/>
        <w:rPr>
          <w:rFonts w:cstheme="minorHAnsi"/>
          <w:sz w:val="20"/>
          <w:szCs w:val="20"/>
        </w:rPr>
      </w:pPr>
    </w:p>
    <w:p w14:paraId="5A278A3B" w14:textId="45D06771" w:rsidR="00CA1FED" w:rsidRPr="008E5294" w:rsidRDefault="00CA1FED" w:rsidP="00F32BAB">
      <w:pPr>
        <w:spacing w:after="0" w:line="240" w:lineRule="auto"/>
        <w:rPr>
          <w:rFonts w:cstheme="minorHAnsi"/>
        </w:rPr>
      </w:pPr>
      <w:r w:rsidRPr="008E5294">
        <w:rPr>
          <w:rStyle w:val="FootnoteReference"/>
          <w:rFonts w:cstheme="minorHAnsi"/>
          <w:sz w:val="20"/>
          <w:szCs w:val="20"/>
        </w:rPr>
        <w:footnoteRef/>
      </w:r>
      <w:r w:rsidRPr="008E5294">
        <w:rPr>
          <w:rFonts w:cstheme="minorHAnsi"/>
          <w:sz w:val="20"/>
          <w:szCs w:val="20"/>
        </w:rPr>
        <w:t xml:space="preserve"> </w:t>
      </w:r>
      <w:r>
        <w:rPr>
          <w:rFonts w:cstheme="minorHAnsi"/>
          <w:sz w:val="20"/>
          <w:szCs w:val="20"/>
        </w:rPr>
        <w:t>T</w:t>
      </w:r>
      <w:r w:rsidR="00C66B4E">
        <w:rPr>
          <w:rFonts w:cstheme="minorHAnsi"/>
          <w:sz w:val="20"/>
          <w:szCs w:val="20"/>
        </w:rPr>
        <w:t>.</w:t>
      </w:r>
      <w:r>
        <w:rPr>
          <w:rFonts w:cstheme="minorHAnsi"/>
          <w:sz w:val="20"/>
          <w:szCs w:val="20"/>
        </w:rPr>
        <w:t xml:space="preserve"> </w:t>
      </w:r>
      <w:r>
        <w:rPr>
          <w:rFonts w:cstheme="minorHAnsi"/>
          <w:sz w:val="20"/>
          <w:szCs w:val="20"/>
          <w:lang w:val="en-US"/>
        </w:rPr>
        <w:t xml:space="preserve">Newburn </w:t>
      </w:r>
      <w:r w:rsidRPr="00F32BAB">
        <w:rPr>
          <w:rFonts w:cstheme="minorHAnsi"/>
          <w:sz w:val="20"/>
          <w:szCs w:val="20"/>
          <w:lang w:val="en-US"/>
        </w:rPr>
        <w:t xml:space="preserve">and </w:t>
      </w:r>
      <w:r>
        <w:rPr>
          <w:rFonts w:cstheme="minorHAnsi"/>
          <w:sz w:val="20"/>
          <w:szCs w:val="20"/>
          <w:lang w:val="en-US"/>
        </w:rPr>
        <w:t>R</w:t>
      </w:r>
      <w:r w:rsidR="00C66B4E">
        <w:rPr>
          <w:rFonts w:cstheme="minorHAnsi"/>
          <w:sz w:val="20"/>
          <w:szCs w:val="20"/>
          <w:lang w:val="en-US"/>
        </w:rPr>
        <w:t>.</w:t>
      </w:r>
      <w:r>
        <w:rPr>
          <w:rFonts w:cstheme="minorHAnsi"/>
          <w:sz w:val="20"/>
          <w:szCs w:val="20"/>
          <w:lang w:val="en-US"/>
        </w:rPr>
        <w:t xml:space="preserve"> </w:t>
      </w:r>
      <w:r w:rsidRPr="00F32BAB">
        <w:rPr>
          <w:rFonts w:cstheme="minorHAnsi"/>
          <w:sz w:val="20"/>
          <w:szCs w:val="20"/>
          <w:lang w:val="en-US"/>
        </w:rPr>
        <w:t>Sparks (</w:t>
      </w:r>
      <w:r>
        <w:rPr>
          <w:rFonts w:cstheme="minorHAnsi"/>
          <w:sz w:val="20"/>
          <w:szCs w:val="20"/>
          <w:lang w:val="en-US"/>
        </w:rPr>
        <w:t>e</w:t>
      </w:r>
      <w:r w:rsidRPr="00F32BAB">
        <w:rPr>
          <w:rFonts w:cstheme="minorHAnsi"/>
          <w:sz w:val="20"/>
          <w:szCs w:val="20"/>
          <w:lang w:val="en-US"/>
        </w:rPr>
        <w:t>ds</w:t>
      </w:r>
      <w:r>
        <w:rPr>
          <w:rFonts w:cstheme="minorHAnsi"/>
          <w:sz w:val="20"/>
          <w:szCs w:val="20"/>
          <w:lang w:val="en-US"/>
        </w:rPr>
        <w:t>.</w:t>
      </w:r>
      <w:r w:rsidRPr="00F32BAB">
        <w:rPr>
          <w:rFonts w:cstheme="minorHAnsi"/>
          <w:sz w:val="20"/>
          <w:szCs w:val="20"/>
          <w:lang w:val="en-US"/>
        </w:rPr>
        <w:t>)</w:t>
      </w:r>
      <w:r>
        <w:rPr>
          <w:rFonts w:cstheme="minorHAnsi"/>
          <w:sz w:val="20"/>
          <w:szCs w:val="20"/>
          <w:lang w:val="en-US"/>
        </w:rPr>
        <w:t xml:space="preserve">, </w:t>
      </w:r>
      <w:r w:rsidRPr="00F32BAB">
        <w:rPr>
          <w:rFonts w:cstheme="minorHAnsi"/>
          <w:i/>
          <w:sz w:val="20"/>
          <w:szCs w:val="20"/>
          <w:lang w:val="en-US"/>
        </w:rPr>
        <w:t>Criminal Justice and Political Cultures</w:t>
      </w:r>
      <w:r w:rsidRPr="00F32BAB">
        <w:rPr>
          <w:rFonts w:cstheme="minorHAnsi"/>
          <w:sz w:val="20"/>
          <w:szCs w:val="20"/>
          <w:lang w:val="en-US"/>
        </w:rPr>
        <w:t xml:space="preserve"> (2004)</w:t>
      </w:r>
      <w:r w:rsidR="00347E18">
        <w:rPr>
          <w:rFonts w:cstheme="minorHAnsi"/>
          <w:sz w:val="20"/>
          <w:szCs w:val="20"/>
          <w:lang w:val="en-US"/>
        </w:rPr>
        <w:t>.</w:t>
      </w:r>
    </w:p>
  </w:footnote>
  <w:footnote w:id="2">
    <w:p w14:paraId="6D5FFE29" w14:textId="6445DB8D" w:rsidR="00CA1FED" w:rsidRPr="008E5294" w:rsidRDefault="00CA1FED" w:rsidP="00F32BAB">
      <w:pPr>
        <w:spacing w:after="0" w:line="240" w:lineRule="auto"/>
        <w:rPr>
          <w:rFonts w:cstheme="minorHAnsi"/>
        </w:rPr>
      </w:pPr>
      <w:r w:rsidRPr="008E5294">
        <w:rPr>
          <w:rStyle w:val="FootnoteReference"/>
          <w:rFonts w:cstheme="minorHAnsi"/>
          <w:sz w:val="20"/>
          <w:szCs w:val="20"/>
        </w:rPr>
        <w:footnoteRef/>
      </w:r>
      <w:r w:rsidRPr="008E5294">
        <w:rPr>
          <w:rFonts w:cstheme="minorHAnsi"/>
          <w:sz w:val="20"/>
          <w:szCs w:val="20"/>
        </w:rPr>
        <w:t xml:space="preserve"> </w:t>
      </w:r>
      <w:r>
        <w:rPr>
          <w:rFonts w:cstheme="minorHAnsi"/>
          <w:sz w:val="20"/>
          <w:szCs w:val="20"/>
        </w:rPr>
        <w:t>D</w:t>
      </w:r>
      <w:r w:rsidR="00C66B4E">
        <w:rPr>
          <w:rFonts w:cstheme="minorHAnsi"/>
          <w:sz w:val="20"/>
          <w:szCs w:val="20"/>
        </w:rPr>
        <w:t>.</w:t>
      </w:r>
      <w:r>
        <w:rPr>
          <w:rFonts w:cstheme="minorHAnsi"/>
          <w:sz w:val="20"/>
          <w:szCs w:val="20"/>
        </w:rPr>
        <w:t xml:space="preserve"> </w:t>
      </w:r>
      <w:r w:rsidRPr="00F32BAB">
        <w:rPr>
          <w:rFonts w:cstheme="minorHAnsi"/>
          <w:sz w:val="20"/>
          <w:szCs w:val="20"/>
        </w:rPr>
        <w:t>Garland</w:t>
      </w:r>
      <w:r>
        <w:rPr>
          <w:rFonts w:cstheme="minorHAnsi"/>
          <w:sz w:val="20"/>
          <w:szCs w:val="20"/>
        </w:rPr>
        <w:t xml:space="preserve">, </w:t>
      </w:r>
      <w:r w:rsidRPr="00F32BAB">
        <w:rPr>
          <w:rFonts w:cstheme="minorHAnsi"/>
          <w:i/>
          <w:sz w:val="20"/>
          <w:szCs w:val="20"/>
        </w:rPr>
        <w:t>The Culture of Control</w:t>
      </w:r>
      <w:r w:rsidRPr="00F32BAB">
        <w:rPr>
          <w:rFonts w:cstheme="minorHAnsi"/>
          <w:sz w:val="20"/>
          <w:szCs w:val="20"/>
        </w:rPr>
        <w:t xml:space="preserve"> (2001</w:t>
      </w:r>
      <w:r>
        <w:rPr>
          <w:rFonts w:cstheme="minorHAnsi"/>
          <w:sz w:val="20"/>
          <w:szCs w:val="20"/>
        </w:rPr>
        <w:t>)</w:t>
      </w:r>
      <w:r w:rsidR="00347E18">
        <w:rPr>
          <w:rFonts w:cstheme="minorHAnsi"/>
          <w:sz w:val="20"/>
          <w:szCs w:val="20"/>
        </w:rPr>
        <w:t>.</w:t>
      </w:r>
    </w:p>
  </w:footnote>
  <w:footnote w:id="3">
    <w:p w14:paraId="72D66E8C" w14:textId="39C31957" w:rsidR="00CA1FED" w:rsidRPr="00F32BAB" w:rsidRDefault="00CA1FED" w:rsidP="00F32BAB">
      <w:pPr>
        <w:spacing w:after="0" w:line="240" w:lineRule="auto"/>
        <w:rPr>
          <w:rFonts w:cstheme="minorHAnsi"/>
          <w:lang w:val="en-US"/>
        </w:rPr>
      </w:pPr>
      <w:r w:rsidRPr="008E5294">
        <w:rPr>
          <w:rStyle w:val="FootnoteReference"/>
          <w:rFonts w:cstheme="minorHAnsi"/>
          <w:sz w:val="20"/>
          <w:szCs w:val="20"/>
        </w:rPr>
        <w:footnoteRef/>
      </w:r>
      <w:r w:rsidRPr="008E5294">
        <w:rPr>
          <w:rFonts w:cstheme="minorHAnsi"/>
          <w:sz w:val="20"/>
          <w:szCs w:val="20"/>
        </w:rPr>
        <w:t xml:space="preserve"> </w:t>
      </w:r>
      <w:r>
        <w:rPr>
          <w:rFonts w:cstheme="minorHAnsi"/>
          <w:sz w:val="20"/>
          <w:szCs w:val="20"/>
        </w:rPr>
        <w:t>N</w:t>
      </w:r>
      <w:r w:rsidR="00C66B4E">
        <w:rPr>
          <w:rFonts w:cstheme="minorHAnsi"/>
          <w:sz w:val="20"/>
          <w:szCs w:val="20"/>
        </w:rPr>
        <w:t>.</w:t>
      </w:r>
      <w:r>
        <w:rPr>
          <w:rFonts w:cstheme="minorHAnsi"/>
          <w:sz w:val="20"/>
          <w:szCs w:val="20"/>
        </w:rPr>
        <w:t xml:space="preserve"> </w:t>
      </w:r>
      <w:r w:rsidRPr="00F32BAB">
        <w:rPr>
          <w:rFonts w:cstheme="minorHAnsi"/>
          <w:sz w:val="20"/>
          <w:szCs w:val="20"/>
          <w:lang w:val="en-US"/>
        </w:rPr>
        <w:t xml:space="preserve">Lacey, </w:t>
      </w:r>
      <w:r w:rsidRPr="00F32BAB">
        <w:rPr>
          <w:rFonts w:cstheme="minorHAnsi"/>
          <w:i/>
          <w:sz w:val="20"/>
          <w:szCs w:val="20"/>
          <w:lang w:val="en-US"/>
        </w:rPr>
        <w:t>The Prisoners’ Dilemma</w:t>
      </w:r>
      <w:r w:rsidRPr="00F32BAB">
        <w:rPr>
          <w:rFonts w:cstheme="minorHAnsi"/>
          <w:sz w:val="20"/>
          <w:szCs w:val="20"/>
          <w:lang w:val="en-US"/>
        </w:rPr>
        <w:t xml:space="preserve"> (2011)</w:t>
      </w:r>
      <w:r w:rsidR="00347E18">
        <w:rPr>
          <w:rFonts w:cstheme="minorHAnsi"/>
          <w:sz w:val="20"/>
          <w:szCs w:val="20"/>
          <w:lang w:val="en-US"/>
        </w:rPr>
        <w:t>.</w:t>
      </w:r>
    </w:p>
  </w:footnote>
  <w:footnote w:id="4">
    <w:p w14:paraId="7ADCA70D" w14:textId="2643EC3D" w:rsidR="00CA1FED" w:rsidRPr="005F6E34" w:rsidRDefault="00CA1FED" w:rsidP="005F6E34">
      <w:pPr>
        <w:tabs>
          <w:tab w:val="left" w:pos="0"/>
        </w:tabs>
        <w:suppressAutoHyphens/>
        <w:spacing w:after="0" w:line="240" w:lineRule="auto"/>
        <w:jc w:val="both"/>
        <w:rPr>
          <w:rFonts w:cstheme="minorHAnsi"/>
          <w:sz w:val="20"/>
          <w:szCs w:val="20"/>
        </w:rPr>
      </w:pPr>
      <w:r w:rsidRPr="00F32BAB">
        <w:rPr>
          <w:rStyle w:val="FootnoteReference"/>
          <w:rFonts w:cstheme="minorHAnsi"/>
          <w:sz w:val="20"/>
          <w:szCs w:val="20"/>
        </w:rPr>
        <w:footnoteRef/>
      </w:r>
      <w:r w:rsidR="00C66B4E">
        <w:rPr>
          <w:rFonts w:cstheme="minorHAnsi"/>
          <w:sz w:val="20"/>
          <w:szCs w:val="20"/>
        </w:rPr>
        <w:t xml:space="preserve"> </w:t>
      </w:r>
      <w:r>
        <w:rPr>
          <w:rFonts w:cstheme="minorHAnsi"/>
          <w:sz w:val="20"/>
          <w:szCs w:val="20"/>
        </w:rPr>
        <w:t>M</w:t>
      </w:r>
      <w:r w:rsidR="00C66B4E">
        <w:rPr>
          <w:rFonts w:cstheme="minorHAnsi"/>
          <w:sz w:val="20"/>
          <w:szCs w:val="20"/>
        </w:rPr>
        <w:t xml:space="preserve">. </w:t>
      </w:r>
      <w:r w:rsidRPr="00F32BAB">
        <w:rPr>
          <w:rFonts w:cstheme="minorHAnsi"/>
          <w:sz w:val="20"/>
          <w:szCs w:val="20"/>
          <w:lang w:val="en-US"/>
        </w:rPr>
        <w:t xml:space="preserve">Tonry, ‘Is cross-national and comparative research on the criminal justice system useful?’ </w:t>
      </w:r>
      <w:r>
        <w:rPr>
          <w:rFonts w:cstheme="minorHAnsi"/>
          <w:sz w:val="20"/>
          <w:szCs w:val="20"/>
          <w:lang w:val="en-US"/>
        </w:rPr>
        <w:t>(2015)</w:t>
      </w:r>
      <w:r w:rsidR="00347E18">
        <w:rPr>
          <w:rFonts w:cstheme="minorHAnsi"/>
          <w:sz w:val="20"/>
          <w:szCs w:val="20"/>
          <w:lang w:val="en-US"/>
        </w:rPr>
        <w:t xml:space="preserve"> 12</w:t>
      </w:r>
      <w:r>
        <w:rPr>
          <w:rFonts w:cstheme="minorHAnsi"/>
          <w:sz w:val="20"/>
          <w:szCs w:val="20"/>
          <w:lang w:val="en-US"/>
        </w:rPr>
        <w:t xml:space="preserve"> </w:t>
      </w:r>
      <w:r w:rsidRPr="00F32BAB">
        <w:rPr>
          <w:rFonts w:cstheme="minorHAnsi"/>
          <w:i/>
          <w:sz w:val="20"/>
          <w:szCs w:val="20"/>
          <w:lang w:val="en-US"/>
        </w:rPr>
        <w:t>European J</w:t>
      </w:r>
      <w:r>
        <w:rPr>
          <w:rFonts w:cstheme="minorHAnsi"/>
          <w:i/>
          <w:sz w:val="20"/>
          <w:szCs w:val="20"/>
          <w:lang w:val="en-US"/>
        </w:rPr>
        <w:t>.</w:t>
      </w:r>
      <w:r w:rsidRPr="00F32BAB">
        <w:rPr>
          <w:rFonts w:cstheme="minorHAnsi"/>
          <w:i/>
          <w:sz w:val="20"/>
          <w:szCs w:val="20"/>
          <w:lang w:val="en-US"/>
        </w:rPr>
        <w:t xml:space="preserve"> of Criminology</w:t>
      </w:r>
      <w:r>
        <w:rPr>
          <w:rFonts w:cstheme="minorHAnsi"/>
          <w:sz w:val="20"/>
          <w:szCs w:val="20"/>
          <w:lang w:val="en-US"/>
        </w:rPr>
        <w:t xml:space="preserve"> </w:t>
      </w:r>
      <w:r w:rsidRPr="00F32BAB">
        <w:rPr>
          <w:rFonts w:cstheme="minorHAnsi"/>
          <w:sz w:val="20"/>
          <w:szCs w:val="20"/>
          <w:lang w:val="en-US"/>
        </w:rPr>
        <w:t>50</w:t>
      </w:r>
      <w:r>
        <w:rPr>
          <w:rFonts w:cstheme="minorHAnsi"/>
          <w:sz w:val="20"/>
          <w:szCs w:val="20"/>
          <w:lang w:val="en-US"/>
        </w:rPr>
        <w:t>5</w:t>
      </w:r>
      <w:r w:rsidRPr="00F32BAB">
        <w:rPr>
          <w:rFonts w:cstheme="minorHAnsi"/>
          <w:sz w:val="20"/>
          <w:szCs w:val="20"/>
          <w:lang w:val="en-US"/>
        </w:rPr>
        <w:t xml:space="preserve">; </w:t>
      </w:r>
      <w:r>
        <w:rPr>
          <w:rFonts w:cstheme="minorHAnsi"/>
          <w:sz w:val="20"/>
          <w:szCs w:val="20"/>
          <w:lang w:val="en-US"/>
        </w:rPr>
        <w:t>T</w:t>
      </w:r>
      <w:r w:rsidR="00C66B4E">
        <w:rPr>
          <w:rFonts w:cstheme="minorHAnsi"/>
          <w:sz w:val="20"/>
          <w:szCs w:val="20"/>
          <w:lang w:val="en-US"/>
        </w:rPr>
        <w:t>.</w:t>
      </w:r>
      <w:r>
        <w:rPr>
          <w:rFonts w:cstheme="minorHAnsi"/>
          <w:sz w:val="20"/>
          <w:szCs w:val="20"/>
          <w:lang w:val="en-US"/>
        </w:rPr>
        <w:t xml:space="preserve"> </w:t>
      </w:r>
      <w:r w:rsidRPr="00F32BAB">
        <w:rPr>
          <w:rFonts w:cstheme="minorHAnsi"/>
          <w:sz w:val="20"/>
          <w:szCs w:val="20"/>
          <w:lang w:val="en-US"/>
        </w:rPr>
        <w:t>Jones,</w:t>
      </w:r>
      <w:r>
        <w:rPr>
          <w:rFonts w:cstheme="minorHAnsi"/>
          <w:sz w:val="20"/>
          <w:szCs w:val="20"/>
          <w:lang w:val="en-US"/>
        </w:rPr>
        <w:t xml:space="preserve"> J</w:t>
      </w:r>
      <w:r w:rsidR="00C66B4E">
        <w:rPr>
          <w:rFonts w:cstheme="minorHAnsi"/>
          <w:sz w:val="20"/>
          <w:szCs w:val="20"/>
          <w:lang w:val="en-US"/>
        </w:rPr>
        <w:t>.</w:t>
      </w:r>
      <w:r w:rsidRPr="00F32BAB">
        <w:rPr>
          <w:rFonts w:cstheme="minorHAnsi"/>
          <w:sz w:val="20"/>
          <w:szCs w:val="20"/>
          <w:lang w:val="en-US"/>
        </w:rPr>
        <w:t xml:space="preserve"> Blaustein</w:t>
      </w:r>
      <w:r>
        <w:rPr>
          <w:rFonts w:cstheme="minorHAnsi"/>
          <w:sz w:val="20"/>
          <w:szCs w:val="20"/>
          <w:lang w:val="en-US"/>
        </w:rPr>
        <w:t xml:space="preserve"> </w:t>
      </w:r>
      <w:r w:rsidRPr="00F32BAB">
        <w:rPr>
          <w:rFonts w:cstheme="minorHAnsi"/>
          <w:sz w:val="20"/>
          <w:szCs w:val="20"/>
          <w:lang w:val="en-US"/>
        </w:rPr>
        <w:t xml:space="preserve">and </w:t>
      </w:r>
      <w:r>
        <w:rPr>
          <w:rFonts w:cstheme="minorHAnsi"/>
          <w:sz w:val="20"/>
          <w:szCs w:val="20"/>
          <w:lang w:val="en-US"/>
        </w:rPr>
        <w:t>T</w:t>
      </w:r>
      <w:r w:rsidR="00C66B4E">
        <w:rPr>
          <w:rFonts w:cstheme="minorHAnsi"/>
          <w:sz w:val="20"/>
          <w:szCs w:val="20"/>
          <w:lang w:val="en-US"/>
        </w:rPr>
        <w:t>.</w:t>
      </w:r>
      <w:r>
        <w:rPr>
          <w:rFonts w:cstheme="minorHAnsi"/>
          <w:sz w:val="20"/>
          <w:szCs w:val="20"/>
          <w:lang w:val="en-US"/>
        </w:rPr>
        <w:t xml:space="preserve"> </w:t>
      </w:r>
      <w:r w:rsidRPr="00F32BAB">
        <w:rPr>
          <w:rFonts w:cstheme="minorHAnsi"/>
          <w:sz w:val="20"/>
          <w:szCs w:val="20"/>
          <w:lang w:val="en-US"/>
        </w:rPr>
        <w:t xml:space="preserve">Newburn, </w:t>
      </w:r>
      <w:r>
        <w:rPr>
          <w:rFonts w:cstheme="minorHAnsi"/>
          <w:sz w:val="20"/>
          <w:szCs w:val="20"/>
          <w:lang w:val="en-US"/>
        </w:rPr>
        <w:t>‘</w:t>
      </w:r>
      <w:r w:rsidRPr="00F32BAB">
        <w:rPr>
          <w:rFonts w:cstheme="minorHAnsi"/>
          <w:sz w:val="20"/>
          <w:szCs w:val="20"/>
        </w:rPr>
        <w:t>Researching cross-natio</w:t>
      </w:r>
      <w:r w:rsidR="00347E18">
        <w:rPr>
          <w:rFonts w:cstheme="minorHAnsi"/>
          <w:sz w:val="20"/>
          <w:szCs w:val="20"/>
        </w:rPr>
        <w:t>nal mobilities in crime control</w:t>
      </w:r>
      <w:r>
        <w:rPr>
          <w:rFonts w:cstheme="minorHAnsi"/>
          <w:sz w:val="20"/>
          <w:szCs w:val="20"/>
        </w:rPr>
        <w:t>’</w:t>
      </w:r>
      <w:r w:rsidRPr="00F32BAB">
        <w:rPr>
          <w:rFonts w:cstheme="minorHAnsi"/>
          <w:sz w:val="20"/>
          <w:szCs w:val="20"/>
        </w:rPr>
        <w:t xml:space="preserve"> </w:t>
      </w:r>
      <w:r w:rsidRPr="00F32BAB">
        <w:rPr>
          <w:rFonts w:cstheme="minorHAnsi"/>
          <w:i/>
          <w:iCs/>
          <w:sz w:val="20"/>
          <w:szCs w:val="20"/>
        </w:rPr>
        <w:t>Criminology and Criminal Justice</w:t>
      </w:r>
      <w:r w:rsidR="00347E18">
        <w:rPr>
          <w:rFonts w:cstheme="minorHAnsi"/>
          <w:i/>
          <w:iCs/>
          <w:sz w:val="20"/>
          <w:szCs w:val="20"/>
        </w:rPr>
        <w:t xml:space="preserve"> </w:t>
      </w:r>
      <w:r w:rsidR="00347E18" w:rsidRPr="00F32BAB">
        <w:rPr>
          <w:rFonts w:cstheme="minorHAnsi"/>
          <w:sz w:val="20"/>
          <w:szCs w:val="20"/>
          <w:lang w:val="en-US"/>
        </w:rPr>
        <w:t>(2019)</w:t>
      </w:r>
      <w:r>
        <w:rPr>
          <w:rFonts w:cstheme="minorHAnsi"/>
          <w:i/>
          <w:iCs/>
          <w:sz w:val="20"/>
          <w:szCs w:val="20"/>
        </w:rPr>
        <w:t xml:space="preserve"> </w:t>
      </w:r>
      <w:r w:rsidRPr="00CA1FED">
        <w:rPr>
          <w:rFonts w:cstheme="minorHAnsi"/>
          <w:i/>
          <w:iCs/>
          <w:sz w:val="20"/>
          <w:szCs w:val="20"/>
        </w:rPr>
        <w:t>DOI: 10.1177/1748895819864627</w:t>
      </w:r>
    </w:p>
  </w:footnote>
  <w:footnote w:id="5">
    <w:p w14:paraId="341F046F" w14:textId="7AB0B78C" w:rsidR="00CA1FED" w:rsidRPr="00FD72F5" w:rsidRDefault="00CA1FED" w:rsidP="005F6E34">
      <w:pPr>
        <w:pStyle w:val="FootnoteText"/>
        <w:rPr>
          <w:rFonts w:cstheme="minorHAnsi"/>
          <w:iCs/>
        </w:rPr>
      </w:pPr>
      <w:r w:rsidRPr="00FD72F5">
        <w:rPr>
          <w:rStyle w:val="FootnoteReference"/>
          <w:rFonts w:cstheme="minorHAnsi"/>
        </w:rPr>
        <w:footnoteRef/>
      </w:r>
      <w:r w:rsidRPr="00FD72F5">
        <w:rPr>
          <w:rFonts w:cstheme="minorHAnsi"/>
        </w:rPr>
        <w:t xml:space="preserve"> </w:t>
      </w:r>
      <w:r>
        <w:rPr>
          <w:rFonts w:cstheme="minorHAnsi"/>
        </w:rPr>
        <w:t xml:space="preserve">Broader reviews can be found in </w:t>
      </w:r>
      <w:r w:rsidRPr="00FD72F5">
        <w:rPr>
          <w:rFonts w:cstheme="minorHAnsi"/>
        </w:rPr>
        <w:t xml:space="preserve">Newburn and Sparks, </w:t>
      </w:r>
      <w:r>
        <w:rPr>
          <w:rFonts w:cstheme="minorHAnsi"/>
        </w:rPr>
        <w:t>op. cit., n. 2</w:t>
      </w:r>
      <w:r w:rsidRPr="00FD72F5">
        <w:rPr>
          <w:rFonts w:cstheme="minorHAnsi"/>
        </w:rPr>
        <w:t xml:space="preserve">; </w:t>
      </w:r>
      <w:r>
        <w:rPr>
          <w:rFonts w:cstheme="minorHAnsi"/>
        </w:rPr>
        <w:t>T</w:t>
      </w:r>
      <w:r w:rsidR="00C66B4E">
        <w:rPr>
          <w:rFonts w:cstheme="minorHAnsi"/>
        </w:rPr>
        <w:t>.</w:t>
      </w:r>
      <w:r>
        <w:rPr>
          <w:rFonts w:cstheme="minorHAnsi"/>
        </w:rPr>
        <w:t xml:space="preserve"> </w:t>
      </w:r>
      <w:r w:rsidRPr="00F32BAB">
        <w:rPr>
          <w:rFonts w:cstheme="minorHAnsi"/>
        </w:rPr>
        <w:t>Newburn, T</w:t>
      </w:r>
      <w:r w:rsidR="00C66B4E">
        <w:rPr>
          <w:rFonts w:cstheme="minorHAnsi"/>
        </w:rPr>
        <w:t>.</w:t>
      </w:r>
      <w:r w:rsidRPr="00F32BAB">
        <w:rPr>
          <w:rFonts w:cstheme="minorHAnsi"/>
        </w:rPr>
        <w:t xml:space="preserve"> Jone</w:t>
      </w:r>
      <w:r>
        <w:rPr>
          <w:rFonts w:cstheme="minorHAnsi"/>
        </w:rPr>
        <w:t>s</w:t>
      </w:r>
      <w:r w:rsidRPr="00F32BAB">
        <w:rPr>
          <w:rFonts w:cstheme="minorHAnsi"/>
        </w:rPr>
        <w:t xml:space="preserve"> and </w:t>
      </w:r>
      <w:r>
        <w:rPr>
          <w:rFonts w:cstheme="minorHAnsi"/>
        </w:rPr>
        <w:t>J</w:t>
      </w:r>
      <w:r w:rsidR="00C66B4E">
        <w:rPr>
          <w:rFonts w:cstheme="minorHAnsi"/>
        </w:rPr>
        <w:t>.</w:t>
      </w:r>
      <w:r>
        <w:rPr>
          <w:rFonts w:cstheme="minorHAnsi"/>
        </w:rPr>
        <w:t xml:space="preserve"> </w:t>
      </w:r>
      <w:r w:rsidRPr="00F32BAB">
        <w:rPr>
          <w:rFonts w:cstheme="minorHAnsi"/>
        </w:rPr>
        <w:t xml:space="preserve">Blaustein,  </w:t>
      </w:r>
      <w:r>
        <w:rPr>
          <w:rFonts w:cstheme="minorHAnsi"/>
        </w:rPr>
        <w:t>‘</w:t>
      </w:r>
      <w:r w:rsidRPr="00F32BAB">
        <w:rPr>
          <w:rFonts w:cstheme="minorHAnsi"/>
        </w:rPr>
        <w:t>Policy mobilities and comparative penality</w:t>
      </w:r>
      <w:r>
        <w:rPr>
          <w:rFonts w:cstheme="minorHAnsi"/>
        </w:rPr>
        <w:t>’</w:t>
      </w:r>
      <w:r w:rsidR="00347E18">
        <w:rPr>
          <w:rFonts w:cstheme="minorHAnsi"/>
        </w:rPr>
        <w:t xml:space="preserve"> </w:t>
      </w:r>
      <w:r w:rsidR="00347E18" w:rsidRPr="00F32BAB">
        <w:rPr>
          <w:rFonts w:cstheme="minorHAnsi"/>
        </w:rPr>
        <w:t>(201</w:t>
      </w:r>
      <w:r w:rsidR="00347E18">
        <w:rPr>
          <w:rFonts w:cstheme="minorHAnsi"/>
        </w:rPr>
        <w:t>8) 22</w:t>
      </w:r>
      <w:r w:rsidRPr="00F32BAB">
        <w:rPr>
          <w:rFonts w:cstheme="minorHAnsi"/>
        </w:rPr>
        <w:t xml:space="preserve"> </w:t>
      </w:r>
      <w:r w:rsidRPr="00F32BAB">
        <w:rPr>
          <w:rFonts w:cstheme="minorHAnsi"/>
          <w:i/>
        </w:rPr>
        <w:t>Theoretical Criminology</w:t>
      </w:r>
      <w:r>
        <w:rPr>
          <w:rFonts w:cstheme="minorHAnsi"/>
          <w:i/>
        </w:rPr>
        <w:t xml:space="preserve"> </w:t>
      </w:r>
      <w:r w:rsidRPr="00FD72F5">
        <w:rPr>
          <w:rFonts w:cstheme="minorHAnsi"/>
          <w:iCs/>
        </w:rPr>
        <w:t xml:space="preserve">563; Jones </w:t>
      </w:r>
      <w:r w:rsidRPr="00FD72F5">
        <w:rPr>
          <w:rFonts w:cstheme="minorHAnsi"/>
          <w:i/>
        </w:rPr>
        <w:t>et al</w:t>
      </w:r>
      <w:r w:rsidRPr="00FD72F5">
        <w:rPr>
          <w:rFonts w:cstheme="minorHAnsi"/>
          <w:iCs/>
        </w:rPr>
        <w:t xml:space="preserve">, </w:t>
      </w:r>
      <w:r w:rsidR="00347E18">
        <w:rPr>
          <w:rFonts w:cstheme="minorHAnsi"/>
          <w:iCs/>
        </w:rPr>
        <w:t>op. cit., n. 4</w:t>
      </w:r>
      <w:r w:rsidRPr="00FD72F5">
        <w:rPr>
          <w:rFonts w:cstheme="minorHAnsi"/>
          <w:iCs/>
        </w:rPr>
        <w:t>.</w:t>
      </w:r>
    </w:p>
  </w:footnote>
  <w:footnote w:id="6">
    <w:p w14:paraId="329144A7" w14:textId="687E8186" w:rsidR="00CA1FED" w:rsidRPr="00FD72F5" w:rsidRDefault="00CA1FED" w:rsidP="005F6E34">
      <w:pPr>
        <w:spacing w:after="0" w:line="240" w:lineRule="auto"/>
        <w:rPr>
          <w:rFonts w:cstheme="minorHAnsi"/>
        </w:rPr>
      </w:pPr>
      <w:r w:rsidRPr="00F32BAB">
        <w:rPr>
          <w:rStyle w:val="FootnoteReference"/>
          <w:rFonts w:cstheme="minorHAnsi"/>
          <w:sz w:val="20"/>
          <w:szCs w:val="20"/>
        </w:rPr>
        <w:footnoteRef/>
      </w:r>
      <w:r w:rsidRPr="00F32BAB">
        <w:rPr>
          <w:rFonts w:cstheme="minorHAnsi"/>
          <w:sz w:val="20"/>
          <w:szCs w:val="20"/>
        </w:rPr>
        <w:t xml:space="preserve"> </w:t>
      </w:r>
      <w:r>
        <w:rPr>
          <w:rFonts w:cstheme="minorHAnsi"/>
          <w:sz w:val="20"/>
          <w:szCs w:val="20"/>
        </w:rPr>
        <w:t>J</w:t>
      </w:r>
      <w:r w:rsidR="00C66B4E">
        <w:rPr>
          <w:rFonts w:cstheme="minorHAnsi"/>
          <w:sz w:val="20"/>
          <w:szCs w:val="20"/>
        </w:rPr>
        <w:t>.</w:t>
      </w:r>
      <w:r>
        <w:rPr>
          <w:rFonts w:cstheme="minorHAnsi"/>
          <w:sz w:val="20"/>
          <w:szCs w:val="20"/>
        </w:rPr>
        <w:t xml:space="preserve"> </w:t>
      </w:r>
      <w:r w:rsidRPr="00F32BAB">
        <w:rPr>
          <w:rFonts w:cstheme="minorHAnsi"/>
          <w:sz w:val="20"/>
          <w:szCs w:val="20"/>
        </w:rPr>
        <w:t>Walker, ‘The diffusion of innovati</w:t>
      </w:r>
      <w:r w:rsidR="00347E18">
        <w:rPr>
          <w:rFonts w:cstheme="minorHAnsi"/>
          <w:sz w:val="20"/>
          <w:szCs w:val="20"/>
        </w:rPr>
        <w:t xml:space="preserve">ons among the American states’ </w:t>
      </w:r>
      <w:r w:rsidR="00347E18" w:rsidRPr="00F32BAB">
        <w:rPr>
          <w:rFonts w:cstheme="minorHAnsi"/>
          <w:sz w:val="20"/>
          <w:szCs w:val="20"/>
        </w:rPr>
        <w:t>(1969)</w:t>
      </w:r>
      <w:r w:rsidR="00347E18">
        <w:rPr>
          <w:rFonts w:cstheme="minorHAnsi"/>
          <w:sz w:val="20"/>
          <w:szCs w:val="20"/>
        </w:rPr>
        <w:t xml:space="preserve"> 63</w:t>
      </w:r>
      <w:r w:rsidR="00347E18" w:rsidRPr="00F32BAB">
        <w:rPr>
          <w:rFonts w:cstheme="minorHAnsi"/>
          <w:sz w:val="20"/>
          <w:szCs w:val="20"/>
        </w:rPr>
        <w:t xml:space="preserve"> </w:t>
      </w:r>
      <w:r w:rsidRPr="00F32BAB">
        <w:rPr>
          <w:rFonts w:cstheme="minorHAnsi"/>
          <w:i/>
          <w:sz w:val="20"/>
          <w:szCs w:val="20"/>
        </w:rPr>
        <w:t>Am</w:t>
      </w:r>
      <w:r>
        <w:rPr>
          <w:rFonts w:cstheme="minorHAnsi"/>
          <w:i/>
          <w:sz w:val="20"/>
          <w:szCs w:val="20"/>
        </w:rPr>
        <w:t>.</w:t>
      </w:r>
      <w:r w:rsidRPr="00F32BAB">
        <w:rPr>
          <w:rFonts w:cstheme="minorHAnsi"/>
          <w:i/>
          <w:sz w:val="20"/>
          <w:szCs w:val="20"/>
        </w:rPr>
        <w:t xml:space="preserve"> Pol</w:t>
      </w:r>
      <w:r w:rsidR="00347E18">
        <w:rPr>
          <w:rFonts w:cstheme="minorHAnsi"/>
          <w:i/>
          <w:sz w:val="20"/>
          <w:szCs w:val="20"/>
        </w:rPr>
        <w:t>itical</w:t>
      </w:r>
      <w:r w:rsidRPr="00F32BAB">
        <w:rPr>
          <w:rFonts w:cstheme="minorHAnsi"/>
          <w:i/>
          <w:sz w:val="20"/>
          <w:szCs w:val="20"/>
        </w:rPr>
        <w:t xml:space="preserve"> Sc</w:t>
      </w:r>
      <w:r w:rsidR="00347E18">
        <w:rPr>
          <w:rFonts w:cstheme="minorHAnsi"/>
          <w:i/>
          <w:sz w:val="20"/>
          <w:szCs w:val="20"/>
        </w:rPr>
        <w:t>ience</w:t>
      </w:r>
      <w:r w:rsidRPr="00F32BAB">
        <w:rPr>
          <w:rFonts w:cstheme="minorHAnsi"/>
          <w:i/>
          <w:sz w:val="20"/>
          <w:szCs w:val="20"/>
        </w:rPr>
        <w:t xml:space="preserve"> Rev, </w:t>
      </w:r>
      <w:r w:rsidRPr="00F32BAB">
        <w:rPr>
          <w:rFonts w:cstheme="minorHAnsi"/>
          <w:sz w:val="20"/>
          <w:szCs w:val="20"/>
        </w:rPr>
        <w:t>880.</w:t>
      </w:r>
    </w:p>
  </w:footnote>
  <w:footnote w:id="7">
    <w:p w14:paraId="227A2FD4" w14:textId="583BE1B2" w:rsidR="00CA1FED" w:rsidRPr="007D4129" w:rsidRDefault="00CA1FED">
      <w:pPr>
        <w:pStyle w:val="FootnoteText"/>
      </w:pPr>
      <w:r>
        <w:rPr>
          <w:rStyle w:val="FootnoteReference"/>
        </w:rPr>
        <w:footnoteRef/>
      </w:r>
      <w:r>
        <w:t xml:space="preserve"> D</w:t>
      </w:r>
      <w:r w:rsidR="00C66B4E">
        <w:t>.</w:t>
      </w:r>
      <w:r>
        <w:t xml:space="preserve"> </w:t>
      </w:r>
      <w:r>
        <w:rPr>
          <w:lang w:val="en-US"/>
        </w:rPr>
        <w:t>Stone,</w:t>
      </w:r>
      <w:r w:rsidRPr="00D30E14">
        <w:t xml:space="preserve"> ‘Transfer agents and global networks in the ‘transnationalization’ of policy’</w:t>
      </w:r>
      <w:r w:rsidR="00347E18">
        <w:t xml:space="preserve"> </w:t>
      </w:r>
      <w:r w:rsidR="00347E18">
        <w:rPr>
          <w:lang w:val="en-US"/>
        </w:rPr>
        <w:t>(2004</w:t>
      </w:r>
      <w:r w:rsidR="00C66B4E">
        <w:rPr>
          <w:lang w:val="en-US"/>
        </w:rPr>
        <w:t>) 11</w:t>
      </w:r>
      <w:r w:rsidR="00347E18" w:rsidRPr="00D30E14">
        <w:t xml:space="preserve"> </w:t>
      </w:r>
      <w:r>
        <w:rPr>
          <w:i/>
        </w:rPr>
        <w:t>J</w:t>
      </w:r>
      <w:r w:rsidRPr="00D30E14">
        <w:rPr>
          <w:i/>
        </w:rPr>
        <w:t xml:space="preserve"> of European Policy</w:t>
      </w:r>
      <w:r>
        <w:rPr>
          <w:i/>
        </w:rPr>
        <w:t xml:space="preserve"> </w:t>
      </w:r>
      <w:r w:rsidR="00C66B4E" w:rsidRPr="00C66B4E">
        <w:t>545, at</w:t>
      </w:r>
      <w:r w:rsidR="00C66B4E">
        <w:rPr>
          <w:i/>
        </w:rPr>
        <w:t xml:space="preserve"> </w:t>
      </w:r>
      <w:r>
        <w:t>546</w:t>
      </w:r>
      <w:r w:rsidR="00347E18">
        <w:t>.</w:t>
      </w:r>
    </w:p>
  </w:footnote>
  <w:footnote w:id="8">
    <w:p w14:paraId="2095C2A4" w14:textId="34ADF8F0" w:rsidR="00CA1FED" w:rsidRPr="00DE2159" w:rsidRDefault="00CA1FED" w:rsidP="00005ECF">
      <w:pPr>
        <w:spacing w:after="0" w:line="240" w:lineRule="auto"/>
        <w:rPr>
          <w:rFonts w:cstheme="minorHAnsi"/>
        </w:rPr>
      </w:pPr>
      <w:r w:rsidRPr="00FD72F5">
        <w:rPr>
          <w:rStyle w:val="FootnoteReference"/>
          <w:sz w:val="20"/>
          <w:szCs w:val="20"/>
        </w:rPr>
        <w:footnoteRef/>
      </w:r>
      <w:r w:rsidRPr="00FD72F5">
        <w:rPr>
          <w:sz w:val="20"/>
          <w:szCs w:val="20"/>
        </w:rPr>
        <w:t xml:space="preserve"> </w:t>
      </w:r>
      <w:r>
        <w:rPr>
          <w:sz w:val="20"/>
          <w:szCs w:val="20"/>
        </w:rPr>
        <w:t>D</w:t>
      </w:r>
      <w:r w:rsidR="00C66B4E">
        <w:rPr>
          <w:sz w:val="20"/>
          <w:szCs w:val="20"/>
        </w:rPr>
        <w:t>.</w:t>
      </w:r>
      <w:r>
        <w:rPr>
          <w:sz w:val="20"/>
          <w:szCs w:val="20"/>
        </w:rPr>
        <w:t xml:space="preserve"> </w:t>
      </w:r>
      <w:r w:rsidRPr="00FD72F5">
        <w:rPr>
          <w:rFonts w:cstheme="minorHAnsi"/>
          <w:sz w:val="20"/>
          <w:szCs w:val="20"/>
        </w:rPr>
        <w:t xml:space="preserve">Marsh and </w:t>
      </w:r>
      <w:r>
        <w:rPr>
          <w:rFonts w:cstheme="minorHAnsi"/>
          <w:sz w:val="20"/>
          <w:szCs w:val="20"/>
        </w:rPr>
        <w:t>J</w:t>
      </w:r>
      <w:r w:rsidR="00C66B4E">
        <w:rPr>
          <w:rFonts w:cstheme="minorHAnsi"/>
          <w:sz w:val="20"/>
          <w:szCs w:val="20"/>
        </w:rPr>
        <w:t>.</w:t>
      </w:r>
      <w:r>
        <w:rPr>
          <w:rFonts w:cstheme="minorHAnsi"/>
          <w:sz w:val="20"/>
          <w:szCs w:val="20"/>
        </w:rPr>
        <w:t xml:space="preserve"> </w:t>
      </w:r>
      <w:r w:rsidRPr="00FD72F5">
        <w:rPr>
          <w:rFonts w:cstheme="minorHAnsi"/>
          <w:sz w:val="20"/>
          <w:szCs w:val="20"/>
        </w:rPr>
        <w:t xml:space="preserve">Sharman, ‘Policy diffusion and policy transfer’ </w:t>
      </w:r>
      <w:r w:rsidR="00347E18" w:rsidRPr="00FD72F5">
        <w:rPr>
          <w:rFonts w:cstheme="minorHAnsi"/>
          <w:sz w:val="20"/>
          <w:szCs w:val="20"/>
        </w:rPr>
        <w:t xml:space="preserve">(2009) </w:t>
      </w:r>
      <w:r w:rsidR="00347E18">
        <w:rPr>
          <w:rFonts w:cstheme="minorHAnsi"/>
          <w:sz w:val="20"/>
          <w:szCs w:val="20"/>
        </w:rPr>
        <w:t xml:space="preserve">30 </w:t>
      </w:r>
      <w:r w:rsidRPr="00FD72F5">
        <w:rPr>
          <w:rFonts w:cstheme="minorHAnsi"/>
          <w:i/>
          <w:sz w:val="20"/>
          <w:szCs w:val="20"/>
        </w:rPr>
        <w:t>Policy Studies</w:t>
      </w:r>
      <w:r w:rsidRPr="00FD72F5">
        <w:rPr>
          <w:rFonts w:cstheme="minorHAnsi"/>
          <w:sz w:val="20"/>
          <w:szCs w:val="20"/>
        </w:rPr>
        <w:t xml:space="preserve"> 269</w:t>
      </w:r>
      <w:r w:rsidR="00347E18">
        <w:rPr>
          <w:rFonts w:cstheme="minorHAnsi"/>
          <w:sz w:val="20"/>
          <w:szCs w:val="20"/>
        </w:rPr>
        <w:t>.</w:t>
      </w:r>
    </w:p>
  </w:footnote>
  <w:footnote w:id="9">
    <w:p w14:paraId="2678C31C" w14:textId="1133D938" w:rsidR="00CA1FED" w:rsidRPr="00DE2159" w:rsidRDefault="00CA1FED" w:rsidP="00F32BAB">
      <w:pPr>
        <w:spacing w:after="0" w:line="240" w:lineRule="auto"/>
        <w:rPr>
          <w:rFonts w:cstheme="minorHAnsi"/>
        </w:rPr>
      </w:pPr>
      <w:r>
        <w:rPr>
          <w:rStyle w:val="FootnoteReference"/>
        </w:rPr>
        <w:footnoteRef/>
      </w:r>
      <w:r>
        <w:t xml:space="preserve">  </w:t>
      </w:r>
      <w:r w:rsidRPr="00931763">
        <w:rPr>
          <w:rFonts w:cstheme="minorHAnsi"/>
          <w:sz w:val="20"/>
          <w:szCs w:val="20"/>
        </w:rPr>
        <w:t>R</w:t>
      </w:r>
      <w:r w:rsidR="00C66B4E">
        <w:rPr>
          <w:rFonts w:cstheme="minorHAnsi"/>
          <w:sz w:val="20"/>
          <w:szCs w:val="20"/>
        </w:rPr>
        <w:t>.</w:t>
      </w:r>
      <w:r>
        <w:rPr>
          <w:rFonts w:cstheme="minorHAnsi"/>
          <w:sz w:val="20"/>
          <w:szCs w:val="20"/>
        </w:rPr>
        <w:t xml:space="preserve"> R</w:t>
      </w:r>
      <w:r w:rsidRPr="00931763">
        <w:rPr>
          <w:rFonts w:cstheme="minorHAnsi"/>
          <w:sz w:val="20"/>
          <w:szCs w:val="20"/>
        </w:rPr>
        <w:t>ose, ‘What is lesson-drawing?’</w:t>
      </w:r>
      <w:r w:rsidR="00347E18" w:rsidRPr="00347E18">
        <w:rPr>
          <w:rFonts w:cstheme="minorHAnsi"/>
          <w:sz w:val="20"/>
          <w:szCs w:val="20"/>
        </w:rPr>
        <w:t xml:space="preserve"> </w:t>
      </w:r>
      <w:r w:rsidR="00347E18" w:rsidRPr="00931763">
        <w:rPr>
          <w:rFonts w:cstheme="minorHAnsi"/>
          <w:sz w:val="20"/>
          <w:szCs w:val="20"/>
        </w:rPr>
        <w:t xml:space="preserve">(1991) </w:t>
      </w:r>
      <w:r w:rsidR="00347E18">
        <w:rPr>
          <w:rFonts w:cstheme="minorHAnsi"/>
          <w:sz w:val="20"/>
          <w:szCs w:val="20"/>
        </w:rPr>
        <w:t>11</w:t>
      </w:r>
      <w:r w:rsidRPr="00931763">
        <w:rPr>
          <w:rFonts w:cstheme="minorHAnsi"/>
          <w:sz w:val="20"/>
          <w:szCs w:val="20"/>
        </w:rPr>
        <w:t xml:space="preserve"> </w:t>
      </w:r>
      <w:r w:rsidRPr="00931763">
        <w:rPr>
          <w:rFonts w:cstheme="minorHAnsi"/>
          <w:i/>
          <w:sz w:val="20"/>
          <w:szCs w:val="20"/>
        </w:rPr>
        <w:t>J</w:t>
      </w:r>
      <w:r>
        <w:rPr>
          <w:rFonts w:cstheme="minorHAnsi"/>
          <w:i/>
          <w:sz w:val="20"/>
          <w:szCs w:val="20"/>
        </w:rPr>
        <w:t>.</w:t>
      </w:r>
      <w:r w:rsidRPr="00931763">
        <w:rPr>
          <w:rFonts w:cstheme="minorHAnsi"/>
          <w:i/>
          <w:sz w:val="20"/>
          <w:szCs w:val="20"/>
        </w:rPr>
        <w:t xml:space="preserve"> of Public Policy</w:t>
      </w:r>
      <w:r>
        <w:rPr>
          <w:rFonts w:cstheme="minorHAnsi"/>
          <w:sz w:val="20"/>
          <w:szCs w:val="20"/>
        </w:rPr>
        <w:t xml:space="preserve"> </w:t>
      </w:r>
      <w:r w:rsidRPr="00931763">
        <w:rPr>
          <w:rFonts w:cstheme="minorHAnsi"/>
          <w:sz w:val="20"/>
          <w:szCs w:val="20"/>
        </w:rPr>
        <w:t xml:space="preserve">3. </w:t>
      </w:r>
    </w:p>
  </w:footnote>
  <w:footnote w:id="10">
    <w:p w14:paraId="240010AB" w14:textId="006DD97E" w:rsidR="00C66B4E" w:rsidRPr="00C66B4E" w:rsidRDefault="00CA1FED" w:rsidP="00C66B4E">
      <w:pPr>
        <w:pStyle w:val="FootnoteText"/>
      </w:pPr>
      <w:r>
        <w:rPr>
          <w:rStyle w:val="FootnoteReference"/>
        </w:rPr>
        <w:footnoteRef/>
      </w:r>
      <w:r>
        <w:t xml:space="preserve"> </w:t>
      </w:r>
      <w:r w:rsidR="00C66B4E">
        <w:t>D. Dolowitz</w:t>
      </w:r>
      <w:r w:rsidR="00C66B4E" w:rsidRPr="00C66B4E">
        <w:t xml:space="preserve"> and</w:t>
      </w:r>
      <w:r w:rsidR="00C66B4E">
        <w:t xml:space="preserve"> D. Marsh,</w:t>
      </w:r>
      <w:r w:rsidR="00C66B4E" w:rsidRPr="00C66B4E">
        <w:t xml:space="preserve"> </w:t>
      </w:r>
      <w:r w:rsidR="00C66B4E">
        <w:t>‘</w:t>
      </w:r>
      <w:r w:rsidR="00C66B4E" w:rsidRPr="00C66B4E">
        <w:t>Learning from abroad: The role of policy transfer in policy making</w:t>
      </w:r>
      <w:r w:rsidR="00C66B4E">
        <w:t xml:space="preserve">’ </w:t>
      </w:r>
      <w:r w:rsidR="00C66B4E" w:rsidRPr="00C66B4E">
        <w:t>(2000)</w:t>
      </w:r>
      <w:r w:rsidR="00C66B4E">
        <w:t xml:space="preserve"> 13</w:t>
      </w:r>
    </w:p>
    <w:p w14:paraId="15D394E2" w14:textId="325D3DFA" w:rsidR="00CA1FED" w:rsidRDefault="00C66B4E" w:rsidP="00C66B4E">
      <w:pPr>
        <w:pStyle w:val="FootnoteText"/>
      </w:pPr>
      <w:r w:rsidRPr="00C66B4E">
        <w:rPr>
          <w:i/>
          <w:iCs/>
        </w:rPr>
        <w:t xml:space="preserve">Governance </w:t>
      </w:r>
      <w:r>
        <w:t>5, at 5.</w:t>
      </w:r>
    </w:p>
  </w:footnote>
  <w:footnote w:id="11">
    <w:p w14:paraId="3F21C660" w14:textId="0A9B2C7E" w:rsidR="00CA1FED" w:rsidRDefault="00CA1FED">
      <w:pPr>
        <w:pStyle w:val="FootnoteText"/>
      </w:pPr>
      <w:r>
        <w:rPr>
          <w:rStyle w:val="FootnoteReference"/>
        </w:rPr>
        <w:footnoteRef/>
      </w:r>
      <w:r>
        <w:t xml:space="preserve"> J</w:t>
      </w:r>
      <w:r w:rsidR="00C66B4E">
        <w:t>.</w:t>
      </w:r>
      <w:r>
        <w:t xml:space="preserve"> </w:t>
      </w:r>
      <w:r w:rsidRPr="00931763">
        <w:rPr>
          <w:rFonts w:cstheme="minorHAnsi"/>
          <w:lang w:val="en-US"/>
        </w:rPr>
        <w:t>Peck, ‘Geographies of policy: From transfer-</w:t>
      </w:r>
      <w:r w:rsidR="00C66B4E">
        <w:rPr>
          <w:rFonts w:cstheme="minorHAnsi"/>
          <w:lang w:val="en-US"/>
        </w:rPr>
        <w:t xml:space="preserve">diffusion to mobility-mutation’ </w:t>
      </w:r>
      <w:r w:rsidR="00C66B4E" w:rsidRPr="00931763">
        <w:rPr>
          <w:rFonts w:cstheme="minorHAnsi"/>
          <w:lang w:val="en-US"/>
        </w:rPr>
        <w:t>(2011)</w:t>
      </w:r>
      <w:r w:rsidR="00C66B4E">
        <w:rPr>
          <w:rFonts w:cstheme="minorHAnsi"/>
          <w:lang w:val="en-US"/>
        </w:rPr>
        <w:t xml:space="preserve"> 35</w:t>
      </w:r>
      <w:r w:rsidRPr="00931763">
        <w:rPr>
          <w:rFonts w:cstheme="minorHAnsi"/>
          <w:lang w:val="en-US"/>
        </w:rPr>
        <w:t xml:space="preserve"> </w:t>
      </w:r>
      <w:r w:rsidRPr="00931763">
        <w:rPr>
          <w:rFonts w:cstheme="minorHAnsi"/>
          <w:i/>
          <w:iCs/>
          <w:lang w:val="en-US"/>
        </w:rPr>
        <w:t xml:space="preserve">Progress in Human Geography </w:t>
      </w:r>
      <w:r w:rsidRPr="00931763">
        <w:rPr>
          <w:rFonts w:cstheme="minorHAnsi"/>
          <w:lang w:val="en-US"/>
        </w:rPr>
        <w:t>773</w:t>
      </w:r>
      <w:r w:rsidR="00C66B4E">
        <w:rPr>
          <w:rFonts w:cstheme="minorHAnsi"/>
          <w:lang w:val="en-US"/>
        </w:rPr>
        <w:t>.</w:t>
      </w:r>
    </w:p>
  </w:footnote>
  <w:footnote w:id="12">
    <w:p w14:paraId="424B6194" w14:textId="7EB937F3" w:rsidR="00CA1FED" w:rsidRDefault="00CA1FED">
      <w:pPr>
        <w:pStyle w:val="FootnoteText"/>
      </w:pPr>
      <w:r>
        <w:rPr>
          <w:rStyle w:val="FootnoteReference"/>
        </w:rPr>
        <w:footnoteRef/>
      </w:r>
      <w:r>
        <w:t xml:space="preserve"> See Newburn et al, op. cit. n. 5</w:t>
      </w:r>
    </w:p>
  </w:footnote>
  <w:footnote w:id="13">
    <w:p w14:paraId="13F866BF" w14:textId="16CAAD44" w:rsidR="00CA1FED" w:rsidRPr="00F32BAB" w:rsidRDefault="00CA1FED" w:rsidP="00F32BAB">
      <w:pPr>
        <w:spacing w:after="0" w:line="240" w:lineRule="auto"/>
        <w:rPr>
          <w:rFonts w:cstheme="minorHAnsi"/>
          <w:lang w:val="en-US"/>
        </w:rPr>
      </w:pPr>
      <w:r>
        <w:rPr>
          <w:rStyle w:val="FootnoteReference"/>
        </w:rPr>
        <w:footnoteRef/>
      </w:r>
      <w:r>
        <w:t xml:space="preserve"> </w:t>
      </w:r>
      <w:r w:rsidR="00C66B4E">
        <w:t xml:space="preserve"> </w:t>
      </w:r>
      <w:r w:rsidR="00C66B4E">
        <w:rPr>
          <w:rFonts w:cstheme="minorHAnsi"/>
          <w:sz w:val="20"/>
          <w:szCs w:val="20"/>
        </w:rPr>
        <w:t>S. K</w:t>
      </w:r>
      <w:r w:rsidRPr="00931763">
        <w:rPr>
          <w:rFonts w:cstheme="minorHAnsi"/>
          <w:sz w:val="20"/>
          <w:szCs w:val="20"/>
        </w:rPr>
        <w:t xml:space="preserve">arstedt, (2004) ‘Durkheim, Tarde and beyond: The global travel of crime policies’, in Newburn and Sparks </w:t>
      </w:r>
      <w:r>
        <w:rPr>
          <w:rFonts w:cstheme="minorHAnsi"/>
          <w:sz w:val="20"/>
          <w:szCs w:val="20"/>
        </w:rPr>
        <w:t xml:space="preserve">op. cit, n. </w:t>
      </w:r>
      <w:r>
        <w:rPr>
          <w:rFonts w:cstheme="minorHAnsi"/>
          <w:sz w:val="20"/>
          <w:szCs w:val="20"/>
          <w:lang w:val="en-US"/>
        </w:rPr>
        <w:t xml:space="preserve">1, at </w:t>
      </w:r>
      <w:r w:rsidRPr="00931763">
        <w:rPr>
          <w:rFonts w:cstheme="minorHAnsi"/>
          <w:sz w:val="20"/>
          <w:szCs w:val="20"/>
          <w:lang w:val="en-US"/>
        </w:rPr>
        <w:t>16</w:t>
      </w:r>
      <w:r w:rsidR="00C66B4E">
        <w:rPr>
          <w:rFonts w:cstheme="minorHAnsi"/>
          <w:sz w:val="20"/>
          <w:szCs w:val="20"/>
          <w:lang w:val="en-US"/>
        </w:rPr>
        <w:t>.</w:t>
      </w:r>
    </w:p>
  </w:footnote>
  <w:footnote w:id="14">
    <w:p w14:paraId="3E7D319B" w14:textId="064DD578" w:rsidR="00CA1FED" w:rsidRDefault="00CA1FED">
      <w:pPr>
        <w:pStyle w:val="FootnoteText"/>
      </w:pPr>
      <w:r>
        <w:rPr>
          <w:rStyle w:val="FootnoteReference"/>
        </w:rPr>
        <w:footnoteRef/>
      </w:r>
      <w:r>
        <w:t xml:space="preserve"> S</w:t>
      </w:r>
      <w:r w:rsidR="00C66B4E">
        <w:t>. Webber,</w:t>
      </w:r>
      <w:r w:rsidR="00C66B4E" w:rsidRPr="00C66B4E">
        <w:rPr>
          <w:rFonts w:cstheme="minorHAnsi"/>
          <w:lang w:val="en-US"/>
        </w:rPr>
        <w:t xml:space="preserve"> </w:t>
      </w:r>
      <w:r w:rsidRPr="00D30E14">
        <w:t>'Mobile Adaptation and Sticky Experiments: Circulating Best Practices and Lessons Lear</w:t>
      </w:r>
      <w:r w:rsidR="0070036C">
        <w:t xml:space="preserve">ned in Climate Change Adaption' </w:t>
      </w:r>
      <w:r w:rsidR="0070036C">
        <w:rPr>
          <w:rFonts w:cstheme="minorHAnsi"/>
          <w:lang w:val="en-US"/>
        </w:rPr>
        <w:t>(2015</w:t>
      </w:r>
      <w:r w:rsidR="0070036C" w:rsidRPr="00931763">
        <w:rPr>
          <w:rFonts w:cstheme="minorHAnsi"/>
          <w:lang w:val="en-US"/>
        </w:rPr>
        <w:t>)</w:t>
      </w:r>
      <w:r w:rsidRPr="00D30E14">
        <w:t> </w:t>
      </w:r>
      <w:r w:rsidR="0070036C">
        <w:t xml:space="preserve">53 </w:t>
      </w:r>
      <w:r w:rsidRPr="00E12009">
        <w:rPr>
          <w:i/>
        </w:rPr>
        <w:t>Geographical Research</w:t>
      </w:r>
      <w:r w:rsidRPr="00D30E14">
        <w:t xml:space="preserve"> 26</w:t>
      </w:r>
      <w:r w:rsidR="0070036C">
        <w:t>.</w:t>
      </w:r>
    </w:p>
  </w:footnote>
  <w:footnote w:id="15">
    <w:p w14:paraId="0D4B6C24" w14:textId="73030833" w:rsidR="00CA1FED" w:rsidRDefault="00CA1FED">
      <w:pPr>
        <w:pStyle w:val="FootnoteText"/>
      </w:pPr>
      <w:r>
        <w:rPr>
          <w:rStyle w:val="FootnoteReference"/>
        </w:rPr>
        <w:footnoteRef/>
      </w:r>
      <w:r>
        <w:t xml:space="preserve"> Tonry, op. cit., n. 5, at 510</w:t>
      </w:r>
      <w:r w:rsidR="0070036C">
        <w:t>.</w:t>
      </w:r>
    </w:p>
  </w:footnote>
  <w:footnote w:id="16">
    <w:p w14:paraId="65709B10" w14:textId="3F5B4A65" w:rsidR="00CA1FED" w:rsidRDefault="00CA1FED">
      <w:pPr>
        <w:pStyle w:val="FootnoteText"/>
      </w:pPr>
      <w:r>
        <w:rPr>
          <w:rStyle w:val="FootnoteReference"/>
        </w:rPr>
        <w:footnoteRef/>
      </w:r>
      <w:r>
        <w:t xml:space="preserve"> T</w:t>
      </w:r>
      <w:r w:rsidR="0070036C">
        <w:t>.</w:t>
      </w:r>
      <w:r>
        <w:t xml:space="preserve"> </w:t>
      </w:r>
      <w:r w:rsidRPr="00931763">
        <w:rPr>
          <w:rFonts w:cstheme="minorHAnsi"/>
        </w:rPr>
        <w:t xml:space="preserve">Jones and </w:t>
      </w:r>
      <w:r>
        <w:rPr>
          <w:rFonts w:cstheme="minorHAnsi"/>
        </w:rPr>
        <w:t>T</w:t>
      </w:r>
      <w:r w:rsidR="0070036C">
        <w:rPr>
          <w:rFonts w:cstheme="minorHAnsi"/>
        </w:rPr>
        <w:t>.</w:t>
      </w:r>
      <w:r>
        <w:rPr>
          <w:rFonts w:cstheme="minorHAnsi"/>
        </w:rPr>
        <w:t xml:space="preserve"> </w:t>
      </w:r>
      <w:r w:rsidRPr="00931763">
        <w:rPr>
          <w:rFonts w:cstheme="minorHAnsi"/>
        </w:rPr>
        <w:t xml:space="preserve">Newburn, </w:t>
      </w:r>
      <w:r w:rsidRPr="00931763">
        <w:rPr>
          <w:rFonts w:cstheme="minorHAnsi"/>
          <w:i/>
        </w:rPr>
        <w:t>Policy Transfer and Criminal Justice</w:t>
      </w:r>
      <w:r>
        <w:rPr>
          <w:rFonts w:cstheme="minorHAnsi"/>
          <w:i/>
        </w:rPr>
        <w:t xml:space="preserve"> </w:t>
      </w:r>
      <w:r w:rsidRPr="00931763">
        <w:rPr>
          <w:rFonts w:cstheme="minorHAnsi"/>
        </w:rPr>
        <w:t>(2007)</w:t>
      </w:r>
      <w:r>
        <w:rPr>
          <w:rFonts w:cstheme="minorHAnsi"/>
        </w:rPr>
        <w:t xml:space="preserve">; D </w:t>
      </w:r>
      <w:r w:rsidR="0070036C">
        <w:rPr>
          <w:rFonts w:cstheme="minorHAnsi"/>
          <w:iCs/>
        </w:rPr>
        <w:t>Brown et al</w:t>
      </w:r>
      <w:r w:rsidRPr="00931763">
        <w:rPr>
          <w:rFonts w:cstheme="minorHAnsi"/>
          <w:iCs/>
        </w:rPr>
        <w:t>.</w:t>
      </w:r>
      <w:r w:rsidR="0070036C">
        <w:rPr>
          <w:rFonts w:cstheme="minorHAnsi"/>
          <w:iCs/>
        </w:rPr>
        <w:t>,</w:t>
      </w:r>
      <w:r w:rsidRPr="00931763">
        <w:rPr>
          <w:rFonts w:cstheme="minorHAnsi"/>
          <w:iCs/>
        </w:rPr>
        <w:t xml:space="preserve"> </w:t>
      </w:r>
      <w:r w:rsidRPr="00931763">
        <w:rPr>
          <w:rFonts w:cstheme="minorHAnsi"/>
          <w:i/>
          <w:iCs/>
        </w:rPr>
        <w:t>Justice Reinvest</w:t>
      </w:r>
      <w:r w:rsidR="0070036C">
        <w:rPr>
          <w:rFonts w:cstheme="minorHAnsi"/>
          <w:i/>
          <w:iCs/>
        </w:rPr>
        <w:t>ment: Winding Back Imprisonment</w:t>
      </w:r>
      <w:r w:rsidRPr="00931763">
        <w:rPr>
          <w:rFonts w:cstheme="minorHAnsi"/>
          <w:i/>
          <w:iCs/>
        </w:rPr>
        <w:t xml:space="preserve"> </w:t>
      </w:r>
      <w:r w:rsidR="0070036C">
        <w:rPr>
          <w:rFonts w:cstheme="minorHAnsi"/>
          <w:iCs/>
        </w:rPr>
        <w:t>(2016).</w:t>
      </w:r>
    </w:p>
  </w:footnote>
  <w:footnote w:id="17">
    <w:p w14:paraId="3F557059" w14:textId="00DCB487" w:rsidR="00CA1FED" w:rsidRDefault="00CA1FED">
      <w:pPr>
        <w:pStyle w:val="FootnoteText"/>
      </w:pPr>
      <w:r>
        <w:rPr>
          <w:rStyle w:val="FootnoteReference"/>
        </w:rPr>
        <w:footnoteRef/>
      </w:r>
      <w:r>
        <w:t xml:space="preserve"> Jones and Newburn, id.; Brown et al, id.; D</w:t>
      </w:r>
      <w:r w:rsidR="0070036C">
        <w:t>.</w:t>
      </w:r>
      <w:r>
        <w:t xml:space="preserve"> </w:t>
      </w:r>
      <w:r w:rsidR="0070036C">
        <w:rPr>
          <w:rFonts w:cstheme="minorHAnsi"/>
        </w:rPr>
        <w:t>Marsh</w:t>
      </w:r>
      <w:r w:rsidRPr="00931763">
        <w:rPr>
          <w:rFonts w:cstheme="minorHAnsi"/>
        </w:rPr>
        <w:t xml:space="preserve"> </w:t>
      </w:r>
      <w:r>
        <w:rPr>
          <w:rFonts w:cstheme="minorHAnsi"/>
        </w:rPr>
        <w:t>and M</w:t>
      </w:r>
      <w:r w:rsidR="0070036C">
        <w:rPr>
          <w:rFonts w:cstheme="minorHAnsi"/>
        </w:rPr>
        <w:t>.</w:t>
      </w:r>
      <w:r w:rsidRPr="00931763">
        <w:rPr>
          <w:rFonts w:cstheme="minorHAnsi"/>
        </w:rPr>
        <w:t xml:space="preserve"> Evans, ‘Policy transfer: into the future, learning from the past’</w:t>
      </w:r>
      <w:r w:rsidR="0070036C">
        <w:rPr>
          <w:rFonts w:cstheme="minorHAnsi"/>
        </w:rPr>
        <w:t xml:space="preserve"> </w:t>
      </w:r>
      <w:r w:rsidR="0070036C" w:rsidRPr="00931763">
        <w:rPr>
          <w:rFonts w:cstheme="minorHAnsi"/>
        </w:rPr>
        <w:t xml:space="preserve"> (2012) </w:t>
      </w:r>
      <w:r w:rsidR="0070036C">
        <w:rPr>
          <w:rFonts w:cstheme="minorHAnsi"/>
        </w:rPr>
        <w:t>33</w:t>
      </w:r>
      <w:r w:rsidRPr="00931763">
        <w:rPr>
          <w:rFonts w:cstheme="minorHAnsi"/>
        </w:rPr>
        <w:t xml:space="preserve"> </w:t>
      </w:r>
      <w:r w:rsidRPr="00931763">
        <w:rPr>
          <w:rFonts w:cstheme="minorHAnsi"/>
          <w:i/>
        </w:rPr>
        <w:t>Policy Studie</w:t>
      </w:r>
      <w:r>
        <w:rPr>
          <w:rFonts w:cstheme="minorHAnsi"/>
          <w:i/>
        </w:rPr>
        <w:t>s</w:t>
      </w:r>
      <w:r w:rsidRPr="00931763">
        <w:rPr>
          <w:rFonts w:cstheme="minorHAnsi"/>
          <w:i/>
        </w:rPr>
        <w:t xml:space="preserve"> </w:t>
      </w:r>
      <w:r w:rsidRPr="00931763">
        <w:rPr>
          <w:rFonts w:cstheme="minorHAnsi"/>
        </w:rPr>
        <w:t>587</w:t>
      </w:r>
      <w:r w:rsidR="0070036C">
        <w:rPr>
          <w:rFonts w:cstheme="minorHAnsi"/>
        </w:rPr>
        <w:t>.</w:t>
      </w:r>
    </w:p>
  </w:footnote>
  <w:footnote w:id="18">
    <w:p w14:paraId="2CA6F38E" w14:textId="644EB5AB" w:rsidR="00CA1FED" w:rsidRDefault="00CA1FED" w:rsidP="009D46D5">
      <w:pPr>
        <w:pStyle w:val="FootnoteText"/>
      </w:pPr>
      <w:r>
        <w:rPr>
          <w:rStyle w:val="FootnoteReference"/>
        </w:rPr>
        <w:footnoteRef/>
      </w:r>
      <w:r>
        <w:t xml:space="preserve"> Marsh and Sharman, op. cit., n. 8.</w:t>
      </w:r>
    </w:p>
  </w:footnote>
  <w:footnote w:id="19">
    <w:p w14:paraId="4CD24D61" w14:textId="3A9C5689" w:rsidR="00CA1FED" w:rsidRDefault="00CA1FED" w:rsidP="009D46D5">
      <w:pPr>
        <w:pStyle w:val="FootnoteText"/>
      </w:pPr>
      <w:r>
        <w:rPr>
          <w:rStyle w:val="FootnoteReference"/>
        </w:rPr>
        <w:footnoteRef/>
      </w:r>
      <w:r>
        <w:t xml:space="preserve"> Jones and Newburn, op. cit.., n. 16.</w:t>
      </w:r>
    </w:p>
  </w:footnote>
  <w:footnote w:id="20">
    <w:p w14:paraId="4835A51D" w14:textId="1AB09173" w:rsidR="00CA1FED" w:rsidRPr="00E12009" w:rsidRDefault="00CA1FED" w:rsidP="009D46D5">
      <w:pPr>
        <w:pStyle w:val="FootnoteText"/>
        <w:rPr>
          <w:lang w:val="fr-FR"/>
        </w:rPr>
      </w:pPr>
      <w:r>
        <w:rPr>
          <w:rStyle w:val="FootnoteReference"/>
        </w:rPr>
        <w:footnoteRef/>
      </w:r>
      <w:r w:rsidRPr="00E12009">
        <w:rPr>
          <w:lang w:val="fr-FR"/>
        </w:rPr>
        <w:t xml:space="preserve"> Brown et al, </w:t>
      </w:r>
      <w:r>
        <w:rPr>
          <w:lang w:val="fr-FR"/>
        </w:rPr>
        <w:t>op. cit</w:t>
      </w:r>
      <w:r w:rsidRPr="00E12009">
        <w:rPr>
          <w:lang w:val="fr-FR"/>
        </w:rPr>
        <w:t>., n. 16.</w:t>
      </w:r>
    </w:p>
  </w:footnote>
  <w:footnote w:id="21">
    <w:p w14:paraId="184DCFE6" w14:textId="3FCD0E92" w:rsidR="00CA1FED" w:rsidRPr="00DE2159" w:rsidRDefault="00CA1FED" w:rsidP="00F32BAB">
      <w:pPr>
        <w:spacing w:after="0" w:line="240" w:lineRule="auto"/>
        <w:rPr>
          <w:rFonts w:cstheme="minorHAnsi"/>
        </w:rPr>
      </w:pPr>
      <w:r>
        <w:rPr>
          <w:rStyle w:val="FootnoteReference"/>
        </w:rPr>
        <w:footnoteRef/>
      </w:r>
      <w:r>
        <w:t xml:space="preserve"> </w:t>
      </w:r>
      <w:r w:rsidR="0070036C">
        <w:t xml:space="preserve"> </w:t>
      </w:r>
      <w:r w:rsidR="0070036C">
        <w:rPr>
          <w:rFonts w:cstheme="minorHAnsi"/>
          <w:sz w:val="20"/>
          <w:szCs w:val="20"/>
        </w:rPr>
        <w:t xml:space="preserve">S. Butler, </w:t>
      </w:r>
      <w:r w:rsidRPr="00931763">
        <w:rPr>
          <w:rFonts w:cstheme="minorHAnsi"/>
          <w:sz w:val="20"/>
          <w:szCs w:val="20"/>
        </w:rPr>
        <w:t>‘The symbolic qualities of the Dublin drug court: The complexities of policy transfer’</w:t>
      </w:r>
      <w:r w:rsidR="0070036C">
        <w:rPr>
          <w:rFonts w:cstheme="minorHAnsi"/>
          <w:sz w:val="20"/>
          <w:szCs w:val="20"/>
        </w:rPr>
        <w:t xml:space="preserve"> (2013) 20</w:t>
      </w:r>
      <w:r w:rsidRPr="00931763">
        <w:rPr>
          <w:rFonts w:cstheme="minorHAnsi"/>
          <w:sz w:val="20"/>
          <w:szCs w:val="20"/>
        </w:rPr>
        <w:t xml:space="preserve"> </w:t>
      </w:r>
      <w:r w:rsidRPr="00931763">
        <w:rPr>
          <w:rFonts w:cstheme="minorHAnsi"/>
          <w:i/>
          <w:sz w:val="20"/>
          <w:szCs w:val="20"/>
        </w:rPr>
        <w:t>Drugs: Education, Prevention and Policy</w:t>
      </w:r>
      <w:r w:rsidR="0070036C">
        <w:rPr>
          <w:rFonts w:cstheme="minorHAnsi"/>
          <w:sz w:val="20"/>
          <w:szCs w:val="20"/>
        </w:rPr>
        <w:t xml:space="preserve"> </w:t>
      </w:r>
      <w:r w:rsidRPr="00931763">
        <w:rPr>
          <w:rFonts w:cstheme="minorHAnsi"/>
          <w:sz w:val="20"/>
          <w:szCs w:val="20"/>
        </w:rPr>
        <w:t>5</w:t>
      </w:r>
      <w:r w:rsidR="0070036C">
        <w:rPr>
          <w:rFonts w:cstheme="minorHAnsi"/>
          <w:sz w:val="20"/>
          <w:szCs w:val="20"/>
        </w:rPr>
        <w:t>.</w:t>
      </w:r>
    </w:p>
  </w:footnote>
  <w:footnote w:id="22">
    <w:p w14:paraId="358CB553" w14:textId="0EAFC9AE" w:rsidR="00CA1FED" w:rsidRDefault="00CA1FED">
      <w:pPr>
        <w:pStyle w:val="FootnoteText"/>
      </w:pPr>
      <w:r>
        <w:rPr>
          <w:rStyle w:val="FootnoteReference"/>
        </w:rPr>
        <w:footnoteRef/>
      </w:r>
      <w:r>
        <w:t xml:space="preserve"> M</w:t>
      </w:r>
      <w:r w:rsidR="0094716C">
        <w:t>.</w:t>
      </w:r>
      <w:r>
        <w:t xml:space="preserve"> Nellis, ‘Law and Order: The electronic monitoring of offenders’ in </w:t>
      </w:r>
      <w:r w:rsidRPr="00E12009">
        <w:rPr>
          <w:i/>
        </w:rPr>
        <w:t>Policy Transfer and British Social Policy: Learning from the USA?</w:t>
      </w:r>
      <w:r>
        <w:t xml:space="preserve"> </w:t>
      </w:r>
      <w:r w:rsidR="0094716C">
        <w:t>e</w:t>
      </w:r>
      <w:r w:rsidR="0070036C">
        <w:t>d. D. Dolowitz</w:t>
      </w:r>
      <w:r w:rsidR="0070036C" w:rsidRPr="00E12009">
        <w:rPr>
          <w:i/>
        </w:rPr>
        <w:t xml:space="preserve"> </w:t>
      </w:r>
      <w:r>
        <w:t>(2000)</w:t>
      </w:r>
    </w:p>
  </w:footnote>
  <w:footnote w:id="23">
    <w:p w14:paraId="5E872E03" w14:textId="4ED5B2DE" w:rsidR="00CA1FED" w:rsidRDefault="00CA1FED">
      <w:pPr>
        <w:pStyle w:val="FootnoteText"/>
      </w:pPr>
      <w:r>
        <w:rPr>
          <w:rStyle w:val="FootnoteReference"/>
        </w:rPr>
        <w:footnoteRef/>
      </w:r>
      <w:r w:rsidR="0094716C">
        <w:t xml:space="preserve"> G. </w:t>
      </w:r>
      <w:r w:rsidRPr="00931763">
        <w:rPr>
          <w:rFonts w:cstheme="minorHAnsi"/>
        </w:rPr>
        <w:t>Maxwell, ‘Crossing cultural boundaries: Implementing restorative justice in interna</w:t>
      </w:r>
      <w:r w:rsidR="0094716C">
        <w:rPr>
          <w:rFonts w:cstheme="minorHAnsi"/>
        </w:rPr>
        <w:t xml:space="preserve">tional and indigenous contexts’ </w:t>
      </w:r>
      <w:r w:rsidR="0094716C" w:rsidRPr="00931763">
        <w:rPr>
          <w:rFonts w:cstheme="minorHAnsi"/>
        </w:rPr>
        <w:t xml:space="preserve">(2008) </w:t>
      </w:r>
      <w:r w:rsidR="0094716C">
        <w:rPr>
          <w:rFonts w:cstheme="minorHAnsi"/>
        </w:rPr>
        <w:t>11</w:t>
      </w:r>
      <w:r w:rsidRPr="00931763">
        <w:rPr>
          <w:rFonts w:cstheme="minorHAnsi"/>
        </w:rPr>
        <w:t xml:space="preserve"> </w:t>
      </w:r>
      <w:r w:rsidRPr="00931763">
        <w:rPr>
          <w:rFonts w:cstheme="minorHAnsi"/>
          <w:i/>
        </w:rPr>
        <w:t>Sociology of Crime, Law and Deviance</w:t>
      </w:r>
      <w:r w:rsidRPr="00931763">
        <w:rPr>
          <w:rFonts w:cstheme="minorHAnsi"/>
        </w:rPr>
        <w:t xml:space="preserve"> 81</w:t>
      </w:r>
      <w:r w:rsidR="0094716C">
        <w:rPr>
          <w:rFonts w:cstheme="minorHAnsi"/>
        </w:rPr>
        <w:t>.</w:t>
      </w:r>
    </w:p>
  </w:footnote>
  <w:footnote w:id="24">
    <w:p w14:paraId="7C28A05D" w14:textId="773BD359" w:rsidR="00CA1FED" w:rsidRDefault="00CA1FED">
      <w:pPr>
        <w:pStyle w:val="FootnoteText"/>
      </w:pPr>
      <w:r>
        <w:rPr>
          <w:rStyle w:val="FootnoteReference"/>
        </w:rPr>
        <w:footnoteRef/>
      </w:r>
      <w:r>
        <w:t xml:space="preserve"> J</w:t>
      </w:r>
      <w:r w:rsidR="0094716C">
        <w:t>.</w:t>
      </w:r>
      <w:r>
        <w:t xml:space="preserve"> </w:t>
      </w:r>
      <w:r w:rsidR="0094716C">
        <w:rPr>
          <w:rFonts w:cstheme="minorHAnsi"/>
          <w:lang w:val="en-US"/>
        </w:rPr>
        <w:t xml:space="preserve">Muncie, </w:t>
      </w:r>
      <w:r w:rsidRPr="00931763">
        <w:rPr>
          <w:rFonts w:cstheme="minorHAnsi"/>
          <w:lang w:val="en-US"/>
        </w:rPr>
        <w:t>‘</w:t>
      </w:r>
      <w:r w:rsidRPr="00931763">
        <w:rPr>
          <w:rFonts w:cstheme="minorHAnsi"/>
          <w:bCs/>
        </w:rPr>
        <w:t>Policy Transfers and ‘What Works’: Some Reflections on Comparative Youth Justice’</w:t>
      </w:r>
      <w:r w:rsidR="0094716C">
        <w:rPr>
          <w:rFonts w:cstheme="minorHAnsi"/>
          <w:bCs/>
        </w:rPr>
        <w:t xml:space="preserve"> </w:t>
      </w:r>
      <w:r w:rsidR="0094716C" w:rsidRPr="00931763">
        <w:rPr>
          <w:rFonts w:cstheme="minorHAnsi"/>
          <w:lang w:val="en-US"/>
        </w:rPr>
        <w:t xml:space="preserve">(2001) </w:t>
      </w:r>
      <w:r w:rsidR="0094716C">
        <w:rPr>
          <w:rFonts w:cstheme="minorHAnsi"/>
          <w:lang w:val="en-US"/>
        </w:rPr>
        <w:t>1</w:t>
      </w:r>
      <w:r w:rsidRPr="00931763">
        <w:rPr>
          <w:rFonts w:cstheme="minorHAnsi"/>
          <w:b/>
          <w:bCs/>
        </w:rPr>
        <w:t xml:space="preserve"> </w:t>
      </w:r>
      <w:r w:rsidRPr="00931763">
        <w:rPr>
          <w:rFonts w:cstheme="minorHAnsi"/>
          <w:bCs/>
          <w:i/>
        </w:rPr>
        <w:t>Youth Justice</w:t>
      </w:r>
      <w:r w:rsidRPr="00931763">
        <w:rPr>
          <w:rFonts w:cstheme="minorHAnsi"/>
          <w:bCs/>
        </w:rPr>
        <w:t xml:space="preserve"> 27</w:t>
      </w:r>
      <w:r w:rsidR="0094716C">
        <w:rPr>
          <w:rFonts w:cstheme="minorHAnsi"/>
          <w:bCs/>
        </w:rPr>
        <w:t>.</w:t>
      </w:r>
    </w:p>
  </w:footnote>
  <w:footnote w:id="25">
    <w:p w14:paraId="756B1B8A" w14:textId="07572D08" w:rsidR="00CA1FED" w:rsidRDefault="00CA1FED">
      <w:pPr>
        <w:pStyle w:val="FootnoteText"/>
      </w:pPr>
      <w:r>
        <w:rPr>
          <w:rStyle w:val="FootnoteReference"/>
        </w:rPr>
        <w:footnoteRef/>
      </w:r>
      <w:r>
        <w:t xml:space="preserve"> P</w:t>
      </w:r>
      <w:r w:rsidR="0094716C">
        <w:t>.</w:t>
      </w:r>
      <w:r>
        <w:t xml:space="preserve"> </w:t>
      </w:r>
      <w:r w:rsidR="0094716C">
        <w:rPr>
          <w:rFonts w:cstheme="minorHAnsi"/>
        </w:rPr>
        <w:t>Erwin,</w:t>
      </w:r>
      <w:r w:rsidRPr="00931763">
        <w:rPr>
          <w:rFonts w:cstheme="minorHAnsi"/>
        </w:rPr>
        <w:t xml:space="preserve"> ‘Exporting US Domestic Violence Reforms: An analysis of Human Rights fram</w:t>
      </w:r>
      <w:r w:rsidR="0094716C">
        <w:rPr>
          <w:rFonts w:cstheme="minorHAnsi"/>
        </w:rPr>
        <w:t>eworks and US “Best Practices”’ (</w:t>
      </w:r>
      <w:r w:rsidR="0094716C" w:rsidRPr="00931763">
        <w:rPr>
          <w:rFonts w:cstheme="minorHAnsi"/>
        </w:rPr>
        <w:t xml:space="preserve">2006) </w:t>
      </w:r>
      <w:r w:rsidR="0094716C">
        <w:rPr>
          <w:rFonts w:cstheme="minorHAnsi"/>
        </w:rPr>
        <w:t xml:space="preserve">1 </w:t>
      </w:r>
      <w:r w:rsidRPr="00931763">
        <w:rPr>
          <w:rFonts w:cstheme="minorHAnsi"/>
          <w:i/>
        </w:rPr>
        <w:t>Feminist Criminology</w:t>
      </w:r>
      <w:r w:rsidRPr="00931763">
        <w:rPr>
          <w:rFonts w:cstheme="minorHAnsi"/>
        </w:rPr>
        <w:t xml:space="preserve"> 188</w:t>
      </w:r>
      <w:r w:rsidR="0094716C">
        <w:rPr>
          <w:rFonts w:cstheme="minorHAnsi"/>
        </w:rPr>
        <w:t>.</w:t>
      </w:r>
    </w:p>
  </w:footnote>
  <w:footnote w:id="26">
    <w:p w14:paraId="17880620" w14:textId="3CC1FC03" w:rsidR="00CA1FED" w:rsidRPr="007D4129" w:rsidRDefault="00CA1FED">
      <w:pPr>
        <w:pStyle w:val="FootnoteText"/>
        <w:rPr>
          <w:lang w:val="en"/>
        </w:rPr>
      </w:pPr>
      <w:r>
        <w:rPr>
          <w:rStyle w:val="FootnoteReference"/>
        </w:rPr>
        <w:footnoteRef/>
      </w:r>
      <w:r>
        <w:t xml:space="preserve"> A </w:t>
      </w:r>
      <w:r>
        <w:rPr>
          <w:lang w:val="en-US"/>
        </w:rPr>
        <w:t>Robertson, ‘</w:t>
      </w:r>
      <w:r w:rsidRPr="00EE5220">
        <w:rPr>
          <w:lang w:val="en"/>
        </w:rPr>
        <w:t>Cr</w:t>
      </w:r>
      <w:r>
        <w:rPr>
          <w:lang w:val="en"/>
        </w:rPr>
        <w:t>iminal Justice Policy Transfer t</w:t>
      </w:r>
      <w:r w:rsidRPr="00EE5220">
        <w:rPr>
          <w:lang w:val="en"/>
        </w:rPr>
        <w:t>o Post-Soviet States: Two Case Studies Of Police Reform In Russia And Ukraine</w:t>
      </w:r>
      <w:r w:rsidR="0094716C">
        <w:rPr>
          <w:lang w:val="en"/>
        </w:rPr>
        <w:t xml:space="preserve">’ </w:t>
      </w:r>
      <w:r w:rsidR="0094716C">
        <w:rPr>
          <w:lang w:val="en-US"/>
        </w:rPr>
        <w:t>(2005) 11</w:t>
      </w:r>
      <w:r>
        <w:rPr>
          <w:lang w:val="en"/>
        </w:rPr>
        <w:t xml:space="preserve"> </w:t>
      </w:r>
      <w:r w:rsidR="0094716C">
        <w:rPr>
          <w:i/>
          <w:lang w:val="en"/>
        </w:rPr>
        <w:t xml:space="preserve">European J. </w:t>
      </w:r>
      <w:r w:rsidRPr="00E12009">
        <w:rPr>
          <w:i/>
          <w:lang w:val="en"/>
        </w:rPr>
        <w:t>on Criminal Policy and Research</w:t>
      </w:r>
      <w:r>
        <w:rPr>
          <w:lang w:val="en"/>
        </w:rPr>
        <w:t xml:space="preserve"> 1</w:t>
      </w:r>
      <w:r w:rsidR="0094716C">
        <w:rPr>
          <w:lang w:val="en"/>
        </w:rPr>
        <w:t>.</w:t>
      </w:r>
    </w:p>
  </w:footnote>
  <w:footnote w:id="27">
    <w:p w14:paraId="5AABB7D8" w14:textId="611F3725" w:rsidR="00CA1FED" w:rsidRDefault="00CA1FED">
      <w:pPr>
        <w:pStyle w:val="FootnoteText"/>
      </w:pPr>
      <w:r>
        <w:rPr>
          <w:rStyle w:val="FootnoteReference"/>
        </w:rPr>
        <w:footnoteRef/>
      </w:r>
      <w:r>
        <w:t xml:space="preserve"> Jones and Newburn, op. cit.. n. 16.</w:t>
      </w:r>
    </w:p>
  </w:footnote>
  <w:footnote w:id="28">
    <w:p w14:paraId="758E5219" w14:textId="78EDC84B" w:rsidR="00CA1FED" w:rsidRDefault="00CA1FED">
      <w:pPr>
        <w:pStyle w:val="FootnoteText"/>
      </w:pPr>
      <w:r>
        <w:rPr>
          <w:rStyle w:val="FootnoteReference"/>
        </w:rPr>
        <w:footnoteRef/>
      </w:r>
      <w:r>
        <w:t xml:space="preserve"> Marsh and Sharman, op. cit., n. 8</w:t>
      </w:r>
      <w:r w:rsidR="0094716C">
        <w:t>.</w:t>
      </w:r>
    </w:p>
  </w:footnote>
  <w:footnote w:id="29">
    <w:p w14:paraId="3BB321D0" w14:textId="751574FE" w:rsidR="00CA1FED" w:rsidRDefault="00CA1FED">
      <w:pPr>
        <w:pStyle w:val="FootnoteText"/>
      </w:pPr>
      <w:r>
        <w:rPr>
          <w:rStyle w:val="FootnoteReference"/>
        </w:rPr>
        <w:footnoteRef/>
      </w:r>
      <w:r>
        <w:t xml:space="preserve"> F</w:t>
      </w:r>
      <w:r w:rsidR="0094716C">
        <w:t>.</w:t>
      </w:r>
      <w:r>
        <w:t xml:space="preserve"> </w:t>
      </w:r>
      <w:r w:rsidRPr="00931763">
        <w:rPr>
          <w:rFonts w:cstheme="minorHAnsi"/>
        </w:rPr>
        <w:t>Dobbin</w:t>
      </w:r>
      <w:r w:rsidR="0094716C">
        <w:rPr>
          <w:rFonts w:cstheme="minorHAnsi"/>
        </w:rPr>
        <w:t>,</w:t>
      </w:r>
      <w:r>
        <w:rPr>
          <w:rFonts w:cstheme="minorHAnsi"/>
        </w:rPr>
        <w:t xml:space="preserve"> B</w:t>
      </w:r>
      <w:r w:rsidR="0094716C">
        <w:rPr>
          <w:rFonts w:cstheme="minorHAnsi"/>
        </w:rPr>
        <w:t>.</w:t>
      </w:r>
      <w:r w:rsidRPr="00931763">
        <w:rPr>
          <w:rFonts w:cstheme="minorHAnsi"/>
        </w:rPr>
        <w:t xml:space="preserve"> Simmons</w:t>
      </w:r>
      <w:r>
        <w:rPr>
          <w:rFonts w:cstheme="minorHAnsi"/>
        </w:rPr>
        <w:t xml:space="preserve"> </w:t>
      </w:r>
      <w:r w:rsidRPr="00931763">
        <w:rPr>
          <w:rFonts w:cstheme="minorHAnsi"/>
        </w:rPr>
        <w:t xml:space="preserve">and </w:t>
      </w:r>
      <w:r>
        <w:rPr>
          <w:rFonts w:cstheme="minorHAnsi"/>
        </w:rPr>
        <w:t xml:space="preserve">G </w:t>
      </w:r>
      <w:r w:rsidRPr="00931763">
        <w:rPr>
          <w:rFonts w:cstheme="minorHAnsi"/>
        </w:rPr>
        <w:t>Garrett, G.</w:t>
      </w:r>
      <w:r w:rsidR="0094716C">
        <w:rPr>
          <w:rFonts w:cstheme="minorHAnsi"/>
        </w:rPr>
        <w:t>,</w:t>
      </w:r>
      <w:r w:rsidRPr="00931763">
        <w:rPr>
          <w:rFonts w:cstheme="minorHAnsi"/>
        </w:rPr>
        <w:t xml:space="preserve"> ‘The global diffusion of public policies: Social construction, coercion, competition, or learning?’ </w:t>
      </w:r>
      <w:r w:rsidR="0094716C">
        <w:rPr>
          <w:rFonts w:cstheme="minorHAnsi"/>
        </w:rPr>
        <w:t xml:space="preserve">(2007) 33 </w:t>
      </w:r>
      <w:r w:rsidRPr="00931763">
        <w:rPr>
          <w:rFonts w:cstheme="minorHAnsi"/>
          <w:i/>
        </w:rPr>
        <w:t xml:space="preserve">Annual Review of Sociology </w:t>
      </w:r>
      <w:r w:rsidRPr="00931763">
        <w:rPr>
          <w:rFonts w:cstheme="minorHAnsi"/>
        </w:rPr>
        <w:t>449</w:t>
      </w:r>
      <w:r w:rsidR="0094716C">
        <w:rPr>
          <w:rFonts w:cstheme="minorHAnsi"/>
        </w:rPr>
        <w:t>.</w:t>
      </w:r>
    </w:p>
  </w:footnote>
  <w:footnote w:id="30">
    <w:p w14:paraId="68593D68" w14:textId="7655DD2C" w:rsidR="00CA1FED" w:rsidRDefault="00CA1FED">
      <w:pPr>
        <w:pStyle w:val="FootnoteText"/>
      </w:pPr>
      <w:r>
        <w:rPr>
          <w:rStyle w:val="FootnoteReference"/>
        </w:rPr>
        <w:footnoteRef/>
      </w:r>
      <w:r w:rsidR="0094716C">
        <w:t xml:space="preserve"> J. </w:t>
      </w:r>
      <w:r w:rsidRPr="00931763">
        <w:rPr>
          <w:rFonts w:cstheme="minorHAnsi"/>
        </w:rPr>
        <w:t>Sharman, ‘Power and Discourse in Policy Diffusion: Anti-Money La</w:t>
      </w:r>
      <w:r w:rsidR="0094716C">
        <w:rPr>
          <w:rFonts w:cstheme="minorHAnsi"/>
        </w:rPr>
        <w:t xml:space="preserve">undering in Developing States’ </w:t>
      </w:r>
      <w:r w:rsidR="0094716C" w:rsidRPr="00931763">
        <w:rPr>
          <w:rFonts w:cstheme="minorHAnsi"/>
        </w:rPr>
        <w:t xml:space="preserve">(2008) </w:t>
      </w:r>
      <w:r w:rsidR="0094716C">
        <w:rPr>
          <w:rFonts w:cstheme="minorHAnsi"/>
        </w:rPr>
        <w:t xml:space="preserve">52 </w:t>
      </w:r>
      <w:r w:rsidR="0094716C">
        <w:rPr>
          <w:rFonts w:cstheme="minorHAnsi"/>
          <w:i/>
        </w:rPr>
        <w:t>International Studies Q.</w:t>
      </w:r>
      <w:r>
        <w:rPr>
          <w:rFonts w:cstheme="minorHAnsi"/>
        </w:rPr>
        <w:t xml:space="preserve"> </w:t>
      </w:r>
      <w:r w:rsidRPr="00931763">
        <w:rPr>
          <w:rFonts w:cstheme="minorHAnsi"/>
        </w:rPr>
        <w:t>635</w:t>
      </w:r>
      <w:r w:rsidR="0094716C">
        <w:rPr>
          <w:rFonts w:cstheme="minorHAnsi"/>
        </w:rPr>
        <w:t>.</w:t>
      </w:r>
    </w:p>
  </w:footnote>
  <w:footnote w:id="31">
    <w:p w14:paraId="29507453" w14:textId="0710008E" w:rsidR="00CA1FED" w:rsidRDefault="00CA1FED">
      <w:pPr>
        <w:pStyle w:val="FootnoteText"/>
      </w:pPr>
      <w:r>
        <w:rPr>
          <w:rStyle w:val="FootnoteReference"/>
        </w:rPr>
        <w:footnoteRef/>
      </w:r>
      <w:r>
        <w:t xml:space="preserve"> J</w:t>
      </w:r>
      <w:r w:rsidR="0094716C">
        <w:t>.</w:t>
      </w:r>
      <w:r>
        <w:t xml:space="preserve"> </w:t>
      </w:r>
      <w:r w:rsidR="0094716C">
        <w:rPr>
          <w:rFonts w:cstheme="minorHAnsi"/>
          <w:iCs/>
        </w:rPr>
        <w:t xml:space="preserve">Blaustein, </w:t>
      </w:r>
      <w:r w:rsidRPr="00931763">
        <w:rPr>
          <w:rFonts w:cstheme="minorHAnsi"/>
          <w:iCs/>
        </w:rPr>
        <w:t>‘</w:t>
      </w:r>
      <w:r w:rsidRPr="00931763">
        <w:rPr>
          <w:rFonts w:cstheme="minorHAnsi"/>
          <w:bCs/>
          <w:iCs/>
        </w:rPr>
        <w:t>Exporting criminological innovation abroad: Discursive representation, ‘evidence-based crime prevention’ and the post-neoliberal development agenda in Latin America’</w:t>
      </w:r>
      <w:r w:rsidR="0094716C">
        <w:rPr>
          <w:rFonts w:cstheme="minorHAnsi"/>
          <w:bCs/>
          <w:iCs/>
        </w:rPr>
        <w:t xml:space="preserve"> </w:t>
      </w:r>
      <w:r w:rsidR="0094716C" w:rsidRPr="00931763">
        <w:rPr>
          <w:rFonts w:cstheme="minorHAnsi"/>
          <w:iCs/>
        </w:rPr>
        <w:t xml:space="preserve">(2016) </w:t>
      </w:r>
      <w:r w:rsidR="0094716C">
        <w:rPr>
          <w:rFonts w:cstheme="minorHAnsi"/>
          <w:iCs/>
        </w:rPr>
        <w:t>20</w:t>
      </w:r>
      <w:r w:rsidRPr="00931763">
        <w:rPr>
          <w:rFonts w:cstheme="minorHAnsi"/>
          <w:bCs/>
          <w:iCs/>
        </w:rPr>
        <w:t xml:space="preserve"> </w:t>
      </w:r>
      <w:r w:rsidR="0094716C">
        <w:rPr>
          <w:rFonts w:cstheme="minorHAnsi"/>
          <w:bCs/>
          <w:i/>
          <w:iCs/>
        </w:rPr>
        <w:t>Theoretical Criminology</w:t>
      </w:r>
      <w:r w:rsidRPr="00931763">
        <w:rPr>
          <w:rFonts w:cstheme="minorHAnsi"/>
          <w:bCs/>
          <w:i/>
          <w:iCs/>
        </w:rPr>
        <w:t xml:space="preserve"> </w:t>
      </w:r>
      <w:r w:rsidRPr="00931763">
        <w:rPr>
          <w:rFonts w:cstheme="minorHAnsi"/>
          <w:bCs/>
          <w:iCs/>
        </w:rPr>
        <w:t>165</w:t>
      </w:r>
      <w:r w:rsidR="0094716C">
        <w:rPr>
          <w:rFonts w:cstheme="minorHAnsi"/>
          <w:bCs/>
          <w:iCs/>
        </w:rPr>
        <w:t>.</w:t>
      </w:r>
    </w:p>
  </w:footnote>
  <w:footnote w:id="32">
    <w:p w14:paraId="75E3657C" w14:textId="2BDDA479" w:rsidR="00CA1FED" w:rsidRDefault="00CA1FED">
      <w:pPr>
        <w:pStyle w:val="FootnoteText"/>
      </w:pPr>
      <w:r>
        <w:rPr>
          <w:rStyle w:val="FootnoteReference"/>
        </w:rPr>
        <w:footnoteRef/>
      </w:r>
      <w:r>
        <w:t xml:space="preserve"> A</w:t>
      </w:r>
      <w:r w:rsidR="0094716C">
        <w:t>.</w:t>
      </w:r>
      <w:r>
        <w:t xml:space="preserve"> </w:t>
      </w:r>
      <w:r w:rsidRPr="00931763">
        <w:rPr>
          <w:rFonts w:cstheme="minorHAnsi"/>
          <w:iCs/>
        </w:rPr>
        <w:t>Aitchison, ‘Police Reform in Bosnia and Herzegovina: State, Democrac</w:t>
      </w:r>
      <w:r w:rsidR="0094716C">
        <w:rPr>
          <w:rFonts w:cstheme="minorHAnsi"/>
          <w:iCs/>
        </w:rPr>
        <w:t xml:space="preserve">y and International Assistance’ </w:t>
      </w:r>
      <w:r w:rsidR="0094716C" w:rsidRPr="00931763">
        <w:rPr>
          <w:rFonts w:cstheme="minorHAnsi"/>
          <w:iCs/>
        </w:rPr>
        <w:t xml:space="preserve">(2007) </w:t>
      </w:r>
      <w:r w:rsidR="0094716C">
        <w:rPr>
          <w:rFonts w:cstheme="minorHAnsi"/>
          <w:iCs/>
        </w:rPr>
        <w:t xml:space="preserve">17 </w:t>
      </w:r>
      <w:r w:rsidRPr="00931763">
        <w:rPr>
          <w:rFonts w:cstheme="minorHAnsi"/>
          <w:i/>
          <w:iCs/>
        </w:rPr>
        <w:t>Policing and Society</w:t>
      </w:r>
      <w:r w:rsidRPr="00931763">
        <w:rPr>
          <w:rFonts w:cstheme="minorHAnsi"/>
          <w:iCs/>
        </w:rPr>
        <w:t xml:space="preserve"> 321</w:t>
      </w:r>
      <w:r>
        <w:rPr>
          <w:rFonts w:cstheme="minorHAnsi"/>
          <w:iCs/>
        </w:rPr>
        <w:t>; G</w:t>
      </w:r>
      <w:r w:rsidR="0094716C">
        <w:rPr>
          <w:rFonts w:cstheme="minorHAnsi"/>
          <w:iCs/>
        </w:rPr>
        <w:t>.</w:t>
      </w:r>
      <w:r>
        <w:rPr>
          <w:rFonts w:cstheme="minorHAnsi"/>
          <w:iCs/>
        </w:rPr>
        <w:t xml:space="preserve"> </w:t>
      </w:r>
      <w:r w:rsidRPr="00931763">
        <w:rPr>
          <w:rFonts w:cstheme="minorHAnsi"/>
        </w:rPr>
        <w:t xml:space="preserve">Ellison and </w:t>
      </w:r>
      <w:r>
        <w:rPr>
          <w:rFonts w:cstheme="minorHAnsi"/>
        </w:rPr>
        <w:t>N</w:t>
      </w:r>
      <w:r w:rsidR="0094716C">
        <w:rPr>
          <w:rFonts w:cstheme="minorHAnsi"/>
        </w:rPr>
        <w:t>.</w:t>
      </w:r>
      <w:r>
        <w:rPr>
          <w:rFonts w:cstheme="minorHAnsi"/>
        </w:rPr>
        <w:t xml:space="preserve"> </w:t>
      </w:r>
      <w:r w:rsidRPr="00931763">
        <w:rPr>
          <w:rFonts w:cstheme="minorHAnsi"/>
        </w:rPr>
        <w:t>Pino</w:t>
      </w:r>
      <w:r>
        <w:rPr>
          <w:rFonts w:cstheme="minorHAnsi"/>
        </w:rPr>
        <w:t xml:space="preserve">, </w:t>
      </w:r>
      <w:r w:rsidRPr="00931763">
        <w:rPr>
          <w:rFonts w:cstheme="minorHAnsi"/>
          <w:i/>
          <w:iCs/>
        </w:rPr>
        <w:t xml:space="preserve">Globalization, Police Reform and Development: Doing it the Western Way? </w:t>
      </w:r>
      <w:r w:rsidRPr="00931763">
        <w:rPr>
          <w:rFonts w:cstheme="minorHAnsi"/>
        </w:rPr>
        <w:t>(2012)</w:t>
      </w:r>
      <w:r>
        <w:rPr>
          <w:rFonts w:cstheme="minorHAnsi"/>
        </w:rPr>
        <w:t>; J</w:t>
      </w:r>
      <w:r w:rsidR="0094716C">
        <w:rPr>
          <w:rFonts w:cstheme="minorHAnsi"/>
        </w:rPr>
        <w:t>.</w:t>
      </w:r>
      <w:r>
        <w:rPr>
          <w:rFonts w:cstheme="minorHAnsi"/>
        </w:rPr>
        <w:t xml:space="preserve"> </w:t>
      </w:r>
      <w:r w:rsidRPr="00931763">
        <w:rPr>
          <w:rFonts w:cstheme="minorHAnsi"/>
          <w:iCs/>
        </w:rPr>
        <w:t xml:space="preserve">Blaustein, </w:t>
      </w:r>
      <w:r w:rsidRPr="00931763">
        <w:rPr>
          <w:rFonts w:cstheme="minorHAnsi"/>
          <w:i/>
          <w:iCs/>
        </w:rPr>
        <w:t>Speaking Truths to Power: Policy Ethnography and Policy Reform in Bosnia and Herzegovina</w:t>
      </w:r>
      <w:r>
        <w:rPr>
          <w:rFonts w:cstheme="minorHAnsi"/>
          <w:iCs/>
        </w:rPr>
        <w:t xml:space="preserve"> </w:t>
      </w:r>
      <w:r w:rsidRPr="00931763">
        <w:rPr>
          <w:rFonts w:cstheme="minorHAnsi"/>
          <w:iCs/>
        </w:rPr>
        <w:t>(2015)</w:t>
      </w:r>
      <w:r w:rsidR="0094716C">
        <w:rPr>
          <w:rFonts w:cstheme="minorHAnsi"/>
          <w:iCs/>
        </w:rPr>
        <w:t>.</w:t>
      </w:r>
    </w:p>
  </w:footnote>
  <w:footnote w:id="33">
    <w:p w14:paraId="0C704CCD" w14:textId="590F4D09" w:rsidR="00CA1FED" w:rsidRDefault="00CA1FED">
      <w:pPr>
        <w:pStyle w:val="FootnoteText"/>
      </w:pPr>
      <w:r>
        <w:rPr>
          <w:rStyle w:val="FootnoteReference"/>
        </w:rPr>
        <w:footnoteRef/>
      </w:r>
      <w:r w:rsidR="0094716C">
        <w:t xml:space="preserve"> I. </w:t>
      </w:r>
      <w:r w:rsidR="0094716C">
        <w:rPr>
          <w:rFonts w:cstheme="minorHAnsi"/>
        </w:rPr>
        <w:t>Durnescu</w:t>
      </w:r>
      <w:r w:rsidRPr="00931763">
        <w:rPr>
          <w:rFonts w:cstheme="minorHAnsi"/>
        </w:rPr>
        <w:t xml:space="preserve"> and </w:t>
      </w:r>
      <w:r>
        <w:rPr>
          <w:rFonts w:cstheme="minorHAnsi"/>
        </w:rPr>
        <w:t>K</w:t>
      </w:r>
      <w:r w:rsidR="00EA79E8">
        <w:rPr>
          <w:rFonts w:cstheme="minorHAnsi"/>
        </w:rPr>
        <w:t>.</w:t>
      </w:r>
      <w:r>
        <w:rPr>
          <w:rFonts w:cstheme="minorHAnsi"/>
        </w:rPr>
        <w:t xml:space="preserve"> </w:t>
      </w:r>
      <w:r w:rsidRPr="00931763">
        <w:rPr>
          <w:rFonts w:cstheme="minorHAnsi"/>
        </w:rPr>
        <w:t>Haines, ‘Probation in Romania</w:t>
      </w:r>
      <w:r w:rsidR="00EA79E8">
        <w:rPr>
          <w:rFonts w:cstheme="minorHAnsi"/>
        </w:rPr>
        <w:t xml:space="preserve">: Archaeology of a partnership’ </w:t>
      </w:r>
      <w:r w:rsidR="00EA79E8" w:rsidRPr="00931763">
        <w:rPr>
          <w:rFonts w:cstheme="minorHAnsi"/>
        </w:rPr>
        <w:t xml:space="preserve">(2012) </w:t>
      </w:r>
      <w:r w:rsidR="00EA79E8">
        <w:rPr>
          <w:rFonts w:cstheme="minorHAnsi"/>
        </w:rPr>
        <w:t>52</w:t>
      </w:r>
      <w:r w:rsidRPr="00931763">
        <w:rPr>
          <w:rFonts w:cstheme="minorHAnsi"/>
        </w:rPr>
        <w:t xml:space="preserve"> </w:t>
      </w:r>
      <w:r w:rsidRPr="00931763">
        <w:rPr>
          <w:rFonts w:cstheme="minorHAnsi"/>
          <w:i/>
        </w:rPr>
        <w:t>Brit</w:t>
      </w:r>
      <w:r>
        <w:rPr>
          <w:rFonts w:cstheme="minorHAnsi"/>
          <w:i/>
        </w:rPr>
        <w:t>.</w:t>
      </w:r>
      <w:r w:rsidRPr="00931763">
        <w:rPr>
          <w:rFonts w:cstheme="minorHAnsi"/>
          <w:i/>
        </w:rPr>
        <w:t xml:space="preserve"> J</w:t>
      </w:r>
      <w:r>
        <w:rPr>
          <w:rFonts w:cstheme="minorHAnsi"/>
          <w:i/>
        </w:rPr>
        <w:t>.</w:t>
      </w:r>
      <w:r w:rsidR="00EA79E8">
        <w:rPr>
          <w:rFonts w:cstheme="minorHAnsi"/>
          <w:i/>
        </w:rPr>
        <w:t xml:space="preserve"> of Criminology</w:t>
      </w:r>
      <w:r w:rsidRPr="00931763">
        <w:rPr>
          <w:rFonts w:cstheme="minorHAnsi"/>
          <w:i/>
        </w:rPr>
        <w:t xml:space="preserve"> </w:t>
      </w:r>
      <w:r w:rsidRPr="00931763">
        <w:rPr>
          <w:rFonts w:cstheme="minorHAnsi"/>
        </w:rPr>
        <w:t>889</w:t>
      </w:r>
      <w:r w:rsidR="00EA79E8">
        <w:rPr>
          <w:rFonts w:cstheme="minorHAnsi"/>
        </w:rPr>
        <w:t>.</w:t>
      </w:r>
    </w:p>
  </w:footnote>
  <w:footnote w:id="34">
    <w:p w14:paraId="6C937A5B" w14:textId="5B25C9F8" w:rsidR="00CA1FED" w:rsidRDefault="00CA1FED">
      <w:pPr>
        <w:pStyle w:val="FootnoteText"/>
      </w:pPr>
      <w:r>
        <w:rPr>
          <w:rStyle w:val="FootnoteReference"/>
        </w:rPr>
        <w:footnoteRef/>
      </w:r>
      <w:r>
        <w:t xml:space="preserve"> M</w:t>
      </w:r>
      <w:r w:rsidR="00EA79E8">
        <w:t>.</w:t>
      </w:r>
      <w:r>
        <w:t xml:space="preserve"> </w:t>
      </w:r>
      <w:r w:rsidRPr="00931763">
        <w:rPr>
          <w:rFonts w:cstheme="minorHAnsi"/>
          <w:iCs/>
        </w:rPr>
        <w:t>Bosworth,</w:t>
      </w:r>
      <w:r>
        <w:rPr>
          <w:rFonts w:cstheme="minorHAnsi"/>
          <w:iCs/>
        </w:rPr>
        <w:t xml:space="preserve"> </w:t>
      </w:r>
      <w:r w:rsidRPr="00931763">
        <w:rPr>
          <w:rFonts w:cstheme="minorHAnsi"/>
          <w:iCs/>
        </w:rPr>
        <w:t>‘Penal humanitarianism? Sovereign power in an era of mass migration’</w:t>
      </w:r>
      <w:r w:rsidR="00EA79E8">
        <w:rPr>
          <w:rFonts w:cstheme="minorHAnsi"/>
          <w:iCs/>
        </w:rPr>
        <w:t xml:space="preserve"> </w:t>
      </w:r>
      <w:r w:rsidR="00EA79E8" w:rsidRPr="00931763">
        <w:rPr>
          <w:rFonts w:cstheme="minorHAnsi"/>
          <w:iCs/>
        </w:rPr>
        <w:t>(2017)</w:t>
      </w:r>
      <w:r w:rsidR="00EA79E8">
        <w:rPr>
          <w:rFonts w:cstheme="minorHAnsi"/>
          <w:iCs/>
        </w:rPr>
        <w:t xml:space="preserve"> 21</w:t>
      </w:r>
      <w:r w:rsidRPr="00931763">
        <w:rPr>
          <w:rFonts w:cstheme="minorHAnsi"/>
          <w:iCs/>
        </w:rPr>
        <w:t xml:space="preserve"> </w:t>
      </w:r>
      <w:r w:rsidRPr="00931763">
        <w:rPr>
          <w:rFonts w:cstheme="minorHAnsi"/>
          <w:i/>
          <w:iCs/>
        </w:rPr>
        <w:t>New Crim</w:t>
      </w:r>
      <w:r>
        <w:rPr>
          <w:rFonts w:cstheme="minorHAnsi"/>
          <w:i/>
          <w:iCs/>
        </w:rPr>
        <w:t>inal</w:t>
      </w:r>
      <w:r w:rsidRPr="00931763">
        <w:rPr>
          <w:rFonts w:cstheme="minorHAnsi"/>
          <w:i/>
          <w:iCs/>
        </w:rPr>
        <w:t xml:space="preserve"> Law Rev</w:t>
      </w:r>
      <w:r w:rsidR="00EA79E8">
        <w:rPr>
          <w:rFonts w:cstheme="minorHAnsi"/>
          <w:iCs/>
        </w:rPr>
        <w:t>.</w:t>
      </w:r>
      <w:r w:rsidRPr="00931763">
        <w:rPr>
          <w:rFonts w:cstheme="minorHAnsi"/>
          <w:iCs/>
        </w:rPr>
        <w:t xml:space="preserve"> 39</w:t>
      </w:r>
      <w:r w:rsidR="00EA79E8">
        <w:rPr>
          <w:rFonts w:cstheme="minorHAnsi"/>
          <w:iCs/>
        </w:rPr>
        <w:t>.</w:t>
      </w:r>
    </w:p>
  </w:footnote>
  <w:footnote w:id="35">
    <w:p w14:paraId="646F2BBF" w14:textId="53C21166" w:rsidR="00CA1FED" w:rsidRPr="00E12009" w:rsidRDefault="00CA1FED">
      <w:pPr>
        <w:pStyle w:val="FootnoteText"/>
        <w:rPr>
          <w:lang w:val="en-US"/>
        </w:rPr>
      </w:pPr>
      <w:r>
        <w:rPr>
          <w:rStyle w:val="FootnoteReference"/>
        </w:rPr>
        <w:footnoteRef/>
      </w:r>
      <w:r>
        <w:t xml:space="preserve"> M</w:t>
      </w:r>
      <w:r w:rsidR="00EA79E8">
        <w:t>.</w:t>
      </w:r>
      <w:r>
        <w:t xml:space="preserve"> </w:t>
      </w:r>
      <w:r>
        <w:rPr>
          <w:lang w:val="en-US"/>
        </w:rPr>
        <w:t xml:space="preserve">Mathias, ‘The sacralization of the individual: Human rights and the </w:t>
      </w:r>
      <w:r w:rsidR="00EA79E8">
        <w:rPr>
          <w:lang w:val="en-US"/>
        </w:rPr>
        <w:t>abolition of the death penalty’ (2013) 118</w:t>
      </w:r>
      <w:r>
        <w:rPr>
          <w:lang w:val="en-US"/>
        </w:rPr>
        <w:t xml:space="preserve"> </w:t>
      </w:r>
      <w:r w:rsidR="00EA79E8">
        <w:rPr>
          <w:i/>
          <w:lang w:val="en-US"/>
        </w:rPr>
        <w:t>Am. J.</w:t>
      </w:r>
      <w:r w:rsidRPr="00E12009">
        <w:rPr>
          <w:i/>
          <w:lang w:val="en-US"/>
        </w:rPr>
        <w:t xml:space="preserve"> of Sociology</w:t>
      </w:r>
      <w:r>
        <w:rPr>
          <w:lang w:val="en-US"/>
        </w:rPr>
        <w:t xml:space="preserve"> 1246</w:t>
      </w:r>
      <w:r w:rsidR="00EA79E8">
        <w:rPr>
          <w:lang w:val="en-US"/>
        </w:rPr>
        <w:t>.</w:t>
      </w:r>
    </w:p>
  </w:footnote>
  <w:footnote w:id="36">
    <w:p w14:paraId="3553940E" w14:textId="159E872F" w:rsidR="00CA1FED" w:rsidRPr="001E6F7E" w:rsidRDefault="00CA1FED">
      <w:pPr>
        <w:pStyle w:val="FootnoteText"/>
      </w:pPr>
      <w:r>
        <w:rPr>
          <w:rStyle w:val="FootnoteReference"/>
        </w:rPr>
        <w:footnoteRef/>
      </w:r>
      <w:r>
        <w:t xml:space="preserve"> T</w:t>
      </w:r>
      <w:r w:rsidR="00EA79E8">
        <w:t>.</w:t>
      </w:r>
      <w:r>
        <w:t xml:space="preserve"> </w:t>
      </w:r>
      <w:r w:rsidRPr="00EE2F1B">
        <w:t>Daems,</w:t>
      </w:r>
      <w:r>
        <w:t xml:space="preserve"> ‘</w:t>
      </w:r>
      <w:r w:rsidRPr="00EE2F1B">
        <w:t>Slaves and statues: Torture prevention in contemporary Europe</w:t>
      </w:r>
      <w:r>
        <w:t>’</w:t>
      </w:r>
      <w:r w:rsidR="00EA79E8">
        <w:t xml:space="preserve"> </w:t>
      </w:r>
      <w:r w:rsidR="00EA79E8" w:rsidRPr="00EE2F1B">
        <w:t xml:space="preserve">(2017) </w:t>
      </w:r>
      <w:r w:rsidR="00EA79E8">
        <w:t xml:space="preserve">57 </w:t>
      </w:r>
      <w:r w:rsidRPr="00EE2F1B">
        <w:rPr>
          <w:i/>
        </w:rPr>
        <w:t>Br</w:t>
      </w:r>
      <w:r w:rsidR="00EA79E8">
        <w:rPr>
          <w:i/>
        </w:rPr>
        <w:t>it.</w:t>
      </w:r>
      <w:r w:rsidRPr="00EE2F1B">
        <w:rPr>
          <w:i/>
        </w:rPr>
        <w:t xml:space="preserve"> J</w:t>
      </w:r>
      <w:r w:rsidR="00EA79E8">
        <w:rPr>
          <w:i/>
        </w:rPr>
        <w:t>. of</w:t>
      </w:r>
      <w:r w:rsidRPr="00EE2F1B">
        <w:rPr>
          <w:i/>
        </w:rPr>
        <w:t xml:space="preserve"> Crim</w:t>
      </w:r>
      <w:r w:rsidR="00EA79E8">
        <w:rPr>
          <w:i/>
        </w:rPr>
        <w:t>inology</w:t>
      </w:r>
      <w:r w:rsidRPr="00EE2F1B">
        <w:rPr>
          <w:i/>
        </w:rPr>
        <w:t xml:space="preserve"> </w:t>
      </w:r>
      <w:r w:rsidRPr="00EE2F1B">
        <w:t>627</w:t>
      </w:r>
      <w:r w:rsidR="00EA79E8">
        <w:t>.</w:t>
      </w:r>
    </w:p>
  </w:footnote>
  <w:footnote w:id="37">
    <w:p w14:paraId="65A96358" w14:textId="2C483986" w:rsidR="00CA1FED" w:rsidRDefault="00CA1FED" w:rsidP="00DE2159">
      <w:pPr>
        <w:pStyle w:val="FootnoteText"/>
      </w:pPr>
      <w:r>
        <w:rPr>
          <w:rStyle w:val="FootnoteReference"/>
        </w:rPr>
        <w:footnoteRef/>
      </w:r>
      <w:r>
        <w:t xml:space="preserve"> Marsh and Sharman, op. cit., n. 8</w:t>
      </w:r>
    </w:p>
  </w:footnote>
  <w:footnote w:id="38">
    <w:p w14:paraId="55AA1B3C" w14:textId="3D76A694" w:rsidR="00CA1FED" w:rsidRDefault="00CA1FED" w:rsidP="00F32BAB">
      <w:pPr>
        <w:spacing w:after="0" w:line="240" w:lineRule="auto"/>
      </w:pPr>
      <w:r>
        <w:rPr>
          <w:rStyle w:val="FootnoteReference"/>
        </w:rPr>
        <w:footnoteRef/>
      </w:r>
      <w:r>
        <w:t xml:space="preserve"> P</w:t>
      </w:r>
      <w:r w:rsidR="00EA79E8">
        <w:t>.</w:t>
      </w:r>
      <w:r>
        <w:t xml:space="preserve"> </w:t>
      </w:r>
      <w:r w:rsidRPr="00931763">
        <w:rPr>
          <w:rFonts w:cstheme="minorHAnsi"/>
          <w:sz w:val="20"/>
          <w:szCs w:val="20"/>
        </w:rPr>
        <w:t>DiMaggio</w:t>
      </w:r>
      <w:r>
        <w:rPr>
          <w:rFonts w:cstheme="minorHAnsi"/>
          <w:sz w:val="20"/>
          <w:szCs w:val="20"/>
        </w:rPr>
        <w:t xml:space="preserve"> </w:t>
      </w:r>
      <w:r w:rsidRPr="00931763">
        <w:rPr>
          <w:rFonts w:cstheme="minorHAnsi"/>
          <w:sz w:val="20"/>
          <w:szCs w:val="20"/>
        </w:rPr>
        <w:t xml:space="preserve">and </w:t>
      </w:r>
      <w:r>
        <w:rPr>
          <w:rFonts w:cstheme="minorHAnsi"/>
          <w:sz w:val="20"/>
          <w:szCs w:val="20"/>
        </w:rPr>
        <w:t>W</w:t>
      </w:r>
      <w:r w:rsidR="00EA79E8">
        <w:rPr>
          <w:rFonts w:cstheme="minorHAnsi"/>
          <w:sz w:val="20"/>
          <w:szCs w:val="20"/>
        </w:rPr>
        <w:t>.</w:t>
      </w:r>
      <w:r>
        <w:rPr>
          <w:rFonts w:cstheme="minorHAnsi"/>
          <w:sz w:val="20"/>
          <w:szCs w:val="20"/>
        </w:rPr>
        <w:t xml:space="preserve"> </w:t>
      </w:r>
      <w:r w:rsidR="00EA79E8">
        <w:rPr>
          <w:rFonts w:cstheme="minorHAnsi"/>
          <w:sz w:val="20"/>
          <w:szCs w:val="20"/>
        </w:rPr>
        <w:t xml:space="preserve">Powell </w:t>
      </w:r>
      <w:r w:rsidRPr="00931763">
        <w:rPr>
          <w:rFonts w:cstheme="minorHAnsi"/>
          <w:sz w:val="20"/>
          <w:szCs w:val="20"/>
        </w:rPr>
        <w:t>(eds</w:t>
      </w:r>
      <w:r w:rsidR="00EA79E8">
        <w:rPr>
          <w:rFonts w:cstheme="minorHAnsi"/>
          <w:sz w:val="20"/>
          <w:szCs w:val="20"/>
        </w:rPr>
        <w:t>.</w:t>
      </w:r>
      <w:r w:rsidRPr="00931763">
        <w:rPr>
          <w:rFonts w:cstheme="minorHAnsi"/>
          <w:sz w:val="20"/>
          <w:szCs w:val="20"/>
        </w:rPr>
        <w:t xml:space="preserve">) </w:t>
      </w:r>
      <w:r w:rsidRPr="00931763">
        <w:rPr>
          <w:rFonts w:cstheme="minorHAnsi"/>
          <w:i/>
          <w:sz w:val="20"/>
          <w:szCs w:val="20"/>
        </w:rPr>
        <w:t>The new institutionalism in organizational</w:t>
      </w:r>
      <w:r>
        <w:rPr>
          <w:rFonts w:cstheme="minorHAnsi"/>
          <w:i/>
          <w:sz w:val="20"/>
          <w:szCs w:val="20"/>
        </w:rPr>
        <w:t xml:space="preserve"> </w:t>
      </w:r>
      <w:r w:rsidRPr="00931763">
        <w:rPr>
          <w:rFonts w:cstheme="minorHAnsi"/>
          <w:i/>
          <w:sz w:val="20"/>
          <w:szCs w:val="20"/>
        </w:rPr>
        <w:t>analysis</w:t>
      </w:r>
      <w:r w:rsidRPr="00931763">
        <w:rPr>
          <w:rFonts w:cstheme="minorHAnsi"/>
          <w:sz w:val="20"/>
          <w:szCs w:val="20"/>
        </w:rPr>
        <w:t xml:space="preserve"> </w:t>
      </w:r>
      <w:r>
        <w:rPr>
          <w:rFonts w:cstheme="minorHAnsi"/>
          <w:sz w:val="20"/>
          <w:szCs w:val="20"/>
        </w:rPr>
        <w:t>(2009)</w:t>
      </w:r>
      <w:r w:rsidR="00EA79E8">
        <w:rPr>
          <w:rFonts w:cstheme="minorHAnsi"/>
          <w:sz w:val="20"/>
          <w:szCs w:val="20"/>
        </w:rPr>
        <w:t>.</w:t>
      </w:r>
    </w:p>
  </w:footnote>
  <w:footnote w:id="39">
    <w:p w14:paraId="61C4DE85" w14:textId="2A222C25" w:rsidR="00CA1FED" w:rsidRPr="00E12009" w:rsidRDefault="00CA1FED">
      <w:pPr>
        <w:pStyle w:val="FootnoteText"/>
        <w:rPr>
          <w:lang w:val="en-US"/>
        </w:rPr>
      </w:pPr>
      <w:r>
        <w:rPr>
          <w:rStyle w:val="FootnoteReference"/>
        </w:rPr>
        <w:footnoteRef/>
      </w:r>
      <w:r>
        <w:t xml:space="preserve"> </w:t>
      </w:r>
      <w:r>
        <w:rPr>
          <w:lang w:val="en-US"/>
        </w:rPr>
        <w:t>For a more recent analysis see T. Halliday M. Levi and P. Reuter, ‘</w:t>
      </w:r>
      <w:r w:rsidRPr="00E12009">
        <w:rPr>
          <w:lang w:val="en-US"/>
        </w:rPr>
        <w:t>Why Do Transnational Legal Orders Persist? The Curious Case of Anti-Money Laundering</w:t>
      </w:r>
      <w:r>
        <w:rPr>
          <w:lang w:val="en-US"/>
        </w:rPr>
        <w:t xml:space="preserve">’ </w:t>
      </w:r>
      <w:r w:rsidR="00EA79E8">
        <w:rPr>
          <w:lang w:val="en-US"/>
        </w:rPr>
        <w:t xml:space="preserve">(forthcoming) </w:t>
      </w:r>
      <w:r>
        <w:rPr>
          <w:lang w:val="en-US"/>
        </w:rPr>
        <w:t>in G. Shaffer and E. Aaronson (eds</w:t>
      </w:r>
      <w:r w:rsidR="00EA79E8">
        <w:rPr>
          <w:lang w:val="en-US"/>
        </w:rPr>
        <w:t>.</w:t>
      </w:r>
      <w:r>
        <w:rPr>
          <w:lang w:val="en-US"/>
        </w:rPr>
        <w:t xml:space="preserve">) </w:t>
      </w:r>
      <w:r w:rsidRPr="00E12009">
        <w:rPr>
          <w:i/>
          <w:lang w:val="en-US"/>
        </w:rPr>
        <w:t>Transnational Legal Ordering of Criminal Justice</w:t>
      </w:r>
      <w:r w:rsidR="00EA79E8">
        <w:rPr>
          <w:i/>
          <w:lang w:val="en-US"/>
        </w:rPr>
        <w:t>.</w:t>
      </w:r>
    </w:p>
  </w:footnote>
  <w:footnote w:id="40">
    <w:p w14:paraId="0E923CFA" w14:textId="4F76946E" w:rsidR="00CA1FED" w:rsidRDefault="00CA1FED">
      <w:pPr>
        <w:pStyle w:val="FootnoteText"/>
      </w:pPr>
      <w:r>
        <w:rPr>
          <w:rStyle w:val="FootnoteReference"/>
        </w:rPr>
        <w:footnoteRef/>
      </w:r>
      <w:r>
        <w:t xml:space="preserve"> A</w:t>
      </w:r>
      <w:r w:rsidR="00EA79E8">
        <w:t>.</w:t>
      </w:r>
      <w:r>
        <w:t xml:space="preserve"> </w:t>
      </w:r>
      <w:r w:rsidRPr="00931763">
        <w:rPr>
          <w:rFonts w:cstheme="minorHAnsi"/>
        </w:rPr>
        <w:t xml:space="preserve">Jakobi, A. </w:t>
      </w:r>
      <w:r w:rsidRPr="00931763">
        <w:rPr>
          <w:rFonts w:cstheme="minorHAnsi"/>
          <w:i/>
        </w:rPr>
        <w:t xml:space="preserve">Common Goods and Evils? </w:t>
      </w:r>
      <w:r w:rsidRPr="00931763">
        <w:rPr>
          <w:rFonts w:cstheme="minorHAnsi"/>
        </w:rPr>
        <w:t>(2013)</w:t>
      </w:r>
      <w:r w:rsidR="00EA79E8">
        <w:rPr>
          <w:rFonts w:cstheme="minorHAnsi"/>
        </w:rPr>
        <w:t>.</w:t>
      </w:r>
    </w:p>
  </w:footnote>
  <w:footnote w:id="41">
    <w:p w14:paraId="6A7ADF4C" w14:textId="22BE078C" w:rsidR="00CA1FED" w:rsidRPr="00E12009" w:rsidRDefault="00CA1FED">
      <w:pPr>
        <w:pStyle w:val="FootnoteText"/>
        <w:rPr>
          <w:lang w:val="en-US"/>
        </w:rPr>
      </w:pPr>
      <w:r>
        <w:rPr>
          <w:rStyle w:val="FootnoteReference"/>
        </w:rPr>
        <w:footnoteRef/>
      </w:r>
      <w:r>
        <w:t xml:space="preserve"> N</w:t>
      </w:r>
      <w:r w:rsidR="00EA79E8">
        <w:t>.</w:t>
      </w:r>
      <w:r>
        <w:t xml:space="preserve"> Clarke,</w:t>
      </w:r>
      <w:r w:rsidRPr="00D30E14">
        <w:t xml:space="preserve"> 'Urban Policy Mobility, Anti-Politics and Histories of the Transnational Municipal Movement'</w:t>
      </w:r>
      <w:r w:rsidR="00EA79E8">
        <w:t xml:space="preserve"> </w:t>
      </w:r>
      <w:r w:rsidR="00EA79E8" w:rsidRPr="00D30E14">
        <w:t xml:space="preserve">(2012) </w:t>
      </w:r>
      <w:r w:rsidR="00EA79E8">
        <w:t>36</w:t>
      </w:r>
      <w:r w:rsidRPr="00D30E14">
        <w:t xml:space="preserve"> </w:t>
      </w:r>
      <w:r w:rsidRPr="00E12009">
        <w:rPr>
          <w:i/>
        </w:rPr>
        <w:t>Progress in Human Geography</w:t>
      </w:r>
      <w:r w:rsidRPr="00D30E14">
        <w:t xml:space="preserve"> 25</w:t>
      </w:r>
      <w:r w:rsidR="00EA79E8">
        <w:t>.</w:t>
      </w:r>
    </w:p>
  </w:footnote>
  <w:footnote w:id="42">
    <w:p w14:paraId="0B8A351A" w14:textId="0F7BF85B" w:rsidR="00CA1FED" w:rsidRDefault="00CA1FED">
      <w:pPr>
        <w:pStyle w:val="FootnoteText"/>
      </w:pPr>
      <w:r>
        <w:rPr>
          <w:rStyle w:val="FootnoteReference"/>
        </w:rPr>
        <w:footnoteRef/>
      </w:r>
      <w:r>
        <w:t xml:space="preserve"> S</w:t>
      </w:r>
      <w:r w:rsidR="00EA79E8">
        <w:t>.</w:t>
      </w:r>
      <w:r>
        <w:t xml:space="preserve"> </w:t>
      </w:r>
      <w:r w:rsidRPr="00931763">
        <w:rPr>
          <w:rFonts w:cstheme="minorHAnsi"/>
        </w:rPr>
        <w:t>Gonzalez</w:t>
      </w:r>
      <w:r w:rsidR="00EA79E8">
        <w:rPr>
          <w:rFonts w:cstheme="minorHAnsi"/>
        </w:rPr>
        <w:t>,</w:t>
      </w:r>
      <w:r w:rsidRPr="00931763">
        <w:rPr>
          <w:rFonts w:cstheme="minorHAnsi"/>
        </w:rPr>
        <w:t xml:space="preserve"> ‘Bilbao and Barcelona “in motion”: How urban regeneration models travel and mutate in the </w:t>
      </w:r>
      <w:r w:rsidR="00EA79E8">
        <w:rPr>
          <w:rFonts w:cstheme="minorHAnsi"/>
        </w:rPr>
        <w:t>global flows of policy tourism’</w:t>
      </w:r>
      <w:r w:rsidR="00EA79E8" w:rsidRPr="00931763">
        <w:rPr>
          <w:rFonts w:cstheme="minorHAnsi"/>
        </w:rPr>
        <w:t xml:space="preserve"> (2011)</w:t>
      </w:r>
      <w:r w:rsidR="00EA79E8">
        <w:rPr>
          <w:rFonts w:cstheme="minorHAnsi"/>
        </w:rPr>
        <w:t xml:space="preserve"> 48</w:t>
      </w:r>
      <w:r w:rsidRPr="00931763">
        <w:rPr>
          <w:rFonts w:cstheme="minorHAnsi"/>
        </w:rPr>
        <w:t xml:space="preserve"> </w:t>
      </w:r>
      <w:r w:rsidRPr="00931763">
        <w:rPr>
          <w:rFonts w:cstheme="minorHAnsi"/>
          <w:i/>
        </w:rPr>
        <w:t>Urban Studies</w:t>
      </w:r>
      <w:r>
        <w:rPr>
          <w:rFonts w:cstheme="minorHAnsi"/>
        </w:rPr>
        <w:t xml:space="preserve"> </w:t>
      </w:r>
      <w:r w:rsidRPr="00931763">
        <w:rPr>
          <w:rFonts w:cstheme="minorHAnsi"/>
        </w:rPr>
        <w:t>1397</w:t>
      </w:r>
      <w:r w:rsidR="00EA79E8">
        <w:rPr>
          <w:rFonts w:cstheme="minorHAnsi"/>
        </w:rPr>
        <w:t>.</w:t>
      </w:r>
    </w:p>
  </w:footnote>
  <w:footnote w:id="43">
    <w:p w14:paraId="1A06A012" w14:textId="7907C7B0" w:rsidR="00CA1FED" w:rsidRDefault="00CA1FED">
      <w:pPr>
        <w:pStyle w:val="FootnoteText"/>
      </w:pPr>
      <w:r>
        <w:rPr>
          <w:rStyle w:val="FootnoteReference"/>
        </w:rPr>
        <w:footnoteRef/>
      </w:r>
      <w:r>
        <w:t xml:space="preserve"> Marsh and Sharman, op. cit., n. 8, p. 270</w:t>
      </w:r>
    </w:p>
  </w:footnote>
  <w:footnote w:id="44">
    <w:p w14:paraId="2A1523F3" w14:textId="7DBCD1D4" w:rsidR="00CA1FED" w:rsidRDefault="00CA1FED" w:rsidP="00BE1248">
      <w:pPr>
        <w:pStyle w:val="FootnoteText"/>
      </w:pPr>
      <w:r>
        <w:rPr>
          <w:rStyle w:val="FootnoteReference"/>
        </w:rPr>
        <w:footnoteRef/>
      </w:r>
      <w:r>
        <w:t xml:space="preserve"> L</w:t>
      </w:r>
      <w:r w:rsidR="00EA79E8">
        <w:t>.</w:t>
      </w:r>
      <w:r>
        <w:t xml:space="preserve"> </w:t>
      </w:r>
      <w:r w:rsidRPr="00931763">
        <w:rPr>
          <w:rFonts w:cstheme="minorHAnsi"/>
          <w:lang w:val="en-US"/>
        </w:rPr>
        <w:t>Wacquant, ‘How penal common sense comes to Europeans: Notes on the transatlantic di</w:t>
      </w:r>
      <w:r w:rsidR="00EA79E8">
        <w:rPr>
          <w:rFonts w:cstheme="minorHAnsi"/>
          <w:lang w:val="en-US"/>
        </w:rPr>
        <w:t xml:space="preserve">ffusion of the neoliberal doxa’ </w:t>
      </w:r>
      <w:r w:rsidR="00EA79E8" w:rsidRPr="00931763">
        <w:rPr>
          <w:rFonts w:cstheme="minorHAnsi"/>
          <w:lang w:val="en-US"/>
        </w:rPr>
        <w:t xml:space="preserve">(1999) </w:t>
      </w:r>
      <w:r w:rsidR="00EA79E8">
        <w:rPr>
          <w:rFonts w:cstheme="minorHAnsi"/>
          <w:lang w:val="en-US"/>
        </w:rPr>
        <w:t xml:space="preserve">1 </w:t>
      </w:r>
      <w:r w:rsidRPr="00931763">
        <w:rPr>
          <w:rFonts w:cstheme="minorHAnsi"/>
          <w:i/>
          <w:lang w:val="en-US"/>
        </w:rPr>
        <w:t>European Societies</w:t>
      </w:r>
      <w:r>
        <w:rPr>
          <w:rFonts w:cstheme="minorHAnsi"/>
          <w:lang w:val="en-US"/>
        </w:rPr>
        <w:t xml:space="preserve"> </w:t>
      </w:r>
      <w:r w:rsidRPr="00931763">
        <w:rPr>
          <w:rFonts w:cstheme="minorHAnsi"/>
          <w:lang w:val="en-US"/>
        </w:rPr>
        <w:t>319</w:t>
      </w:r>
      <w:r>
        <w:rPr>
          <w:rFonts w:cstheme="minorHAnsi"/>
          <w:lang w:val="en-US"/>
        </w:rPr>
        <w:t xml:space="preserve">; N. </w:t>
      </w:r>
      <w:r w:rsidRPr="00931763">
        <w:rPr>
          <w:rFonts w:cstheme="minorHAnsi"/>
        </w:rPr>
        <w:t xml:space="preserve">Christie, </w:t>
      </w:r>
      <w:r w:rsidRPr="00931763">
        <w:rPr>
          <w:rFonts w:cstheme="minorHAnsi"/>
          <w:i/>
        </w:rPr>
        <w:t>Crime Control as Industry</w:t>
      </w:r>
      <w:r w:rsidRPr="00931763">
        <w:rPr>
          <w:rFonts w:cstheme="minorHAnsi"/>
        </w:rPr>
        <w:t xml:space="preserve"> (2000)</w:t>
      </w:r>
      <w:r>
        <w:rPr>
          <w:rFonts w:cstheme="minorHAnsi"/>
        </w:rPr>
        <w:t xml:space="preserve">; </w:t>
      </w:r>
      <w:r>
        <w:t>Jones and Newburn, op. cit., n. 16; Brown et al, op. cit., n. 16.</w:t>
      </w:r>
    </w:p>
  </w:footnote>
  <w:footnote w:id="45">
    <w:p w14:paraId="33A417AD" w14:textId="3F659BF3" w:rsidR="00CA1FED" w:rsidRDefault="00CA1FED" w:rsidP="00BE1248">
      <w:pPr>
        <w:pStyle w:val="FootnoteText"/>
      </w:pPr>
      <w:r>
        <w:rPr>
          <w:rStyle w:val="FootnoteReference"/>
        </w:rPr>
        <w:footnoteRef/>
      </w:r>
      <w:r>
        <w:t xml:space="preserve"> K</w:t>
      </w:r>
      <w:r w:rsidR="00EA79E8">
        <w:t>.</w:t>
      </w:r>
      <w:r>
        <w:t xml:space="preserve"> </w:t>
      </w:r>
      <w:r w:rsidRPr="00931763">
        <w:rPr>
          <w:rFonts w:cstheme="minorHAnsi"/>
        </w:rPr>
        <w:t xml:space="preserve">Carrington, </w:t>
      </w:r>
      <w:r>
        <w:rPr>
          <w:rFonts w:cstheme="minorHAnsi"/>
        </w:rPr>
        <w:t>R</w:t>
      </w:r>
      <w:r w:rsidR="00EA79E8">
        <w:rPr>
          <w:rFonts w:cstheme="minorHAnsi"/>
        </w:rPr>
        <w:t>.</w:t>
      </w:r>
      <w:r>
        <w:rPr>
          <w:rFonts w:cstheme="minorHAnsi"/>
        </w:rPr>
        <w:t xml:space="preserve"> </w:t>
      </w:r>
      <w:r w:rsidRPr="00931763">
        <w:rPr>
          <w:rFonts w:cstheme="minorHAnsi"/>
        </w:rPr>
        <w:t xml:space="preserve">Hogg, and </w:t>
      </w:r>
      <w:r>
        <w:rPr>
          <w:rFonts w:cstheme="minorHAnsi"/>
        </w:rPr>
        <w:t>M</w:t>
      </w:r>
      <w:r w:rsidR="00EA79E8">
        <w:rPr>
          <w:rFonts w:cstheme="minorHAnsi"/>
        </w:rPr>
        <w:t>.</w:t>
      </w:r>
      <w:r>
        <w:rPr>
          <w:rFonts w:cstheme="minorHAnsi"/>
        </w:rPr>
        <w:t xml:space="preserve"> </w:t>
      </w:r>
      <w:r w:rsidRPr="00931763">
        <w:rPr>
          <w:rFonts w:cstheme="minorHAnsi"/>
        </w:rPr>
        <w:t xml:space="preserve">Sozzo, ‘Southern criminology’, </w:t>
      </w:r>
      <w:r w:rsidR="00EA79E8" w:rsidRPr="00931763">
        <w:rPr>
          <w:rFonts w:cstheme="minorHAnsi"/>
        </w:rPr>
        <w:t xml:space="preserve">(2016) </w:t>
      </w:r>
      <w:r w:rsidR="00EA79E8">
        <w:rPr>
          <w:rFonts w:cstheme="minorHAnsi"/>
        </w:rPr>
        <w:t xml:space="preserve">56 </w:t>
      </w:r>
      <w:r w:rsidR="00EA79E8" w:rsidRPr="00931763">
        <w:rPr>
          <w:rFonts w:cstheme="minorHAnsi"/>
          <w:i/>
        </w:rPr>
        <w:t>B</w:t>
      </w:r>
      <w:r w:rsidR="00EA79E8">
        <w:rPr>
          <w:rFonts w:cstheme="minorHAnsi"/>
          <w:i/>
        </w:rPr>
        <w:t>rit.</w:t>
      </w:r>
      <w:r w:rsidR="00EA79E8" w:rsidRPr="00931763">
        <w:rPr>
          <w:rFonts w:cstheme="minorHAnsi"/>
          <w:i/>
        </w:rPr>
        <w:t xml:space="preserve"> </w:t>
      </w:r>
      <w:r w:rsidR="00EA79E8">
        <w:rPr>
          <w:rFonts w:cstheme="minorHAnsi"/>
          <w:i/>
        </w:rPr>
        <w:t xml:space="preserve">J. </w:t>
      </w:r>
      <w:r w:rsidR="00EA79E8" w:rsidRPr="00931763">
        <w:rPr>
          <w:rFonts w:cstheme="minorHAnsi"/>
          <w:i/>
        </w:rPr>
        <w:t>Crim</w:t>
      </w:r>
      <w:r w:rsidR="00EA79E8">
        <w:rPr>
          <w:rFonts w:cstheme="minorHAnsi"/>
          <w:i/>
        </w:rPr>
        <w:t>inology</w:t>
      </w:r>
      <w:r w:rsidRPr="00931763">
        <w:rPr>
          <w:rFonts w:cstheme="minorHAnsi"/>
        </w:rPr>
        <w:t xml:space="preserve"> 1</w:t>
      </w:r>
      <w:r>
        <w:rPr>
          <w:rFonts w:cstheme="minorHAnsi"/>
        </w:rPr>
        <w:t xml:space="preserve">; </w:t>
      </w:r>
      <w:r>
        <w:t>Blaustein, op. cit.. n. 31; J</w:t>
      </w:r>
      <w:r w:rsidR="00F96076">
        <w:t>.</w:t>
      </w:r>
      <w:r>
        <w:t xml:space="preserve"> </w:t>
      </w:r>
      <w:r w:rsidRPr="00931763">
        <w:rPr>
          <w:rFonts w:cstheme="minorHAnsi"/>
        </w:rPr>
        <w:t xml:space="preserve">Steinberg, ‘Crime prevention goes abroad: Policy transfer and policing in post-apartheid South Africa’, </w:t>
      </w:r>
      <w:r w:rsidR="00F96076" w:rsidRPr="00931763">
        <w:rPr>
          <w:rFonts w:cstheme="minorHAnsi"/>
        </w:rPr>
        <w:t xml:space="preserve">(2011) </w:t>
      </w:r>
      <w:r w:rsidR="00F96076">
        <w:rPr>
          <w:rFonts w:cstheme="minorHAnsi"/>
        </w:rPr>
        <w:t xml:space="preserve">15 </w:t>
      </w:r>
      <w:r w:rsidRPr="00931763">
        <w:rPr>
          <w:rFonts w:cstheme="minorHAnsi"/>
          <w:i/>
        </w:rPr>
        <w:t>Theoretical Criminology</w:t>
      </w:r>
      <w:r w:rsidR="00F96076">
        <w:rPr>
          <w:rFonts w:cstheme="minorHAnsi"/>
        </w:rPr>
        <w:t xml:space="preserve"> </w:t>
      </w:r>
      <w:r w:rsidRPr="00931763">
        <w:rPr>
          <w:rFonts w:cstheme="minorHAnsi"/>
        </w:rPr>
        <w:t>349</w:t>
      </w:r>
      <w:r w:rsidR="00F96076">
        <w:rPr>
          <w:rFonts w:cstheme="minorHAnsi"/>
        </w:rPr>
        <w:t>.</w:t>
      </w:r>
    </w:p>
  </w:footnote>
  <w:footnote w:id="46">
    <w:p w14:paraId="1C9803F3" w14:textId="1F06BFDA" w:rsidR="00CA1FED" w:rsidRPr="00A335A8" w:rsidRDefault="00CA1FED" w:rsidP="00A335A8">
      <w:pPr>
        <w:pStyle w:val="FootnoteText"/>
        <w:rPr>
          <w:rFonts w:cstheme="minorHAnsi"/>
        </w:rPr>
      </w:pPr>
      <w:r w:rsidRPr="00A335A8">
        <w:rPr>
          <w:rStyle w:val="FootnoteReference"/>
          <w:rFonts w:cstheme="minorHAnsi"/>
        </w:rPr>
        <w:footnoteRef/>
      </w:r>
      <w:r w:rsidRPr="00A335A8">
        <w:rPr>
          <w:rFonts w:cstheme="minorHAnsi"/>
        </w:rPr>
        <w:t xml:space="preserve"> Karstedt, </w:t>
      </w:r>
      <w:r>
        <w:rPr>
          <w:rFonts w:cstheme="minorHAnsi"/>
        </w:rPr>
        <w:t>op. cit</w:t>
      </w:r>
      <w:r w:rsidRPr="00A335A8">
        <w:rPr>
          <w:rFonts w:cstheme="minorHAnsi"/>
        </w:rPr>
        <w:t xml:space="preserve">., n. 13; </w:t>
      </w:r>
      <w:r w:rsidR="00F96076">
        <w:rPr>
          <w:rFonts w:cstheme="minorHAnsi"/>
        </w:rPr>
        <w:t xml:space="preserve">J. </w:t>
      </w:r>
      <w:r w:rsidRPr="00A335A8">
        <w:rPr>
          <w:rFonts w:cstheme="minorHAnsi"/>
          <w:lang w:val="en-US"/>
        </w:rPr>
        <w:t>Tauri, ‘An Indigenous commentary on the global</w:t>
      </w:r>
      <w:r w:rsidR="00F96076">
        <w:rPr>
          <w:rFonts w:cstheme="minorHAnsi"/>
          <w:lang w:val="en-US"/>
        </w:rPr>
        <w:t xml:space="preserve">ization of restorative justice’ </w:t>
      </w:r>
      <w:r w:rsidR="00F96076" w:rsidRPr="00A335A8">
        <w:rPr>
          <w:rFonts w:cstheme="minorHAnsi"/>
          <w:lang w:val="en-US"/>
        </w:rPr>
        <w:t xml:space="preserve">(2014) </w:t>
      </w:r>
      <w:r w:rsidR="00F96076">
        <w:rPr>
          <w:rFonts w:cstheme="minorHAnsi"/>
          <w:lang w:val="en-US"/>
        </w:rPr>
        <w:t>21</w:t>
      </w:r>
      <w:r w:rsidRPr="00A335A8">
        <w:rPr>
          <w:rFonts w:cstheme="minorHAnsi"/>
          <w:lang w:val="en-US"/>
        </w:rPr>
        <w:t xml:space="preserve"> </w:t>
      </w:r>
      <w:r w:rsidRPr="00A335A8">
        <w:rPr>
          <w:rFonts w:cstheme="minorHAnsi"/>
          <w:i/>
          <w:lang w:val="en-US"/>
        </w:rPr>
        <w:t>Brit</w:t>
      </w:r>
      <w:r>
        <w:rPr>
          <w:rFonts w:cstheme="minorHAnsi"/>
          <w:i/>
          <w:lang w:val="en-US"/>
        </w:rPr>
        <w:t>.</w:t>
      </w:r>
      <w:r w:rsidRPr="00A335A8">
        <w:rPr>
          <w:rFonts w:cstheme="minorHAnsi"/>
          <w:i/>
          <w:lang w:val="en-US"/>
        </w:rPr>
        <w:t xml:space="preserve"> J</w:t>
      </w:r>
      <w:r>
        <w:rPr>
          <w:rFonts w:cstheme="minorHAnsi"/>
          <w:i/>
          <w:lang w:val="en-US"/>
        </w:rPr>
        <w:t>.</w:t>
      </w:r>
      <w:r w:rsidRPr="00A335A8">
        <w:rPr>
          <w:rFonts w:cstheme="minorHAnsi"/>
          <w:i/>
          <w:lang w:val="en-US"/>
        </w:rPr>
        <w:t xml:space="preserve"> of Community Justice</w:t>
      </w:r>
      <w:r w:rsidRPr="00A335A8">
        <w:rPr>
          <w:rFonts w:cstheme="minorHAnsi"/>
          <w:lang w:val="en-US"/>
        </w:rPr>
        <w:t xml:space="preserve"> 35</w:t>
      </w:r>
      <w:r w:rsidR="00F96076">
        <w:rPr>
          <w:rFonts w:cstheme="minorHAnsi"/>
          <w:lang w:val="en-US"/>
        </w:rPr>
        <w:t>.</w:t>
      </w:r>
    </w:p>
  </w:footnote>
  <w:footnote w:id="47">
    <w:p w14:paraId="0A20940B" w14:textId="1296713E" w:rsidR="00CA1FED" w:rsidRPr="00A335A8" w:rsidRDefault="00CA1FED" w:rsidP="00A335A8">
      <w:pPr>
        <w:pStyle w:val="FootnoteText"/>
        <w:rPr>
          <w:rFonts w:cstheme="minorHAnsi"/>
        </w:rPr>
      </w:pPr>
      <w:r w:rsidRPr="00A335A8">
        <w:rPr>
          <w:rStyle w:val="FootnoteReference"/>
          <w:rFonts w:cstheme="minorHAnsi"/>
        </w:rPr>
        <w:footnoteRef/>
      </w:r>
      <w:r w:rsidRPr="00A335A8">
        <w:rPr>
          <w:rFonts w:cstheme="minorHAnsi"/>
        </w:rPr>
        <w:t xml:space="preserve"> </w:t>
      </w:r>
      <w:r>
        <w:rPr>
          <w:rFonts w:cstheme="minorHAnsi"/>
        </w:rPr>
        <w:t>S</w:t>
      </w:r>
      <w:r w:rsidR="00F96076">
        <w:rPr>
          <w:rFonts w:cstheme="minorHAnsi"/>
        </w:rPr>
        <w:t>.</w:t>
      </w:r>
      <w:r>
        <w:rPr>
          <w:rFonts w:cstheme="minorHAnsi"/>
        </w:rPr>
        <w:t xml:space="preserve"> </w:t>
      </w:r>
      <w:r w:rsidRPr="00A335A8">
        <w:rPr>
          <w:rFonts w:cstheme="minorHAnsi"/>
          <w:lang w:val="en-US"/>
        </w:rPr>
        <w:t>Montero, ‘Worlding Bogota’s Ciclovia: From urban experiment to internationa</w:t>
      </w:r>
      <w:r w:rsidR="00F96076">
        <w:rPr>
          <w:rFonts w:cstheme="minorHAnsi"/>
          <w:lang w:val="en-US"/>
        </w:rPr>
        <w:t>l “best practice”’</w:t>
      </w:r>
      <w:r w:rsidR="00F96076" w:rsidRPr="00A335A8">
        <w:rPr>
          <w:rFonts w:cstheme="minorHAnsi"/>
          <w:lang w:val="en-US"/>
        </w:rPr>
        <w:t xml:space="preserve"> (2017) </w:t>
      </w:r>
      <w:r w:rsidR="00F96076">
        <w:rPr>
          <w:rFonts w:cstheme="minorHAnsi"/>
          <w:lang w:val="en-US"/>
        </w:rPr>
        <w:t>44</w:t>
      </w:r>
      <w:r w:rsidRPr="00A335A8">
        <w:rPr>
          <w:rFonts w:cstheme="minorHAnsi"/>
          <w:lang w:val="en-US"/>
        </w:rPr>
        <w:t xml:space="preserve"> </w:t>
      </w:r>
      <w:r w:rsidR="00F96076">
        <w:rPr>
          <w:rFonts w:cstheme="minorHAnsi"/>
          <w:i/>
          <w:lang w:val="en-US"/>
        </w:rPr>
        <w:t>Latin Am.</w:t>
      </w:r>
      <w:r w:rsidRPr="00A335A8">
        <w:rPr>
          <w:rFonts w:cstheme="minorHAnsi"/>
          <w:i/>
          <w:lang w:val="en-US"/>
        </w:rPr>
        <w:t xml:space="preserve"> Perspectives</w:t>
      </w:r>
      <w:r w:rsidR="00F96076">
        <w:rPr>
          <w:rFonts w:cstheme="minorHAnsi"/>
          <w:lang w:val="en-US"/>
        </w:rPr>
        <w:t xml:space="preserve"> </w:t>
      </w:r>
      <w:r w:rsidRPr="00A335A8">
        <w:rPr>
          <w:rFonts w:cstheme="minorHAnsi"/>
          <w:lang w:val="en-US"/>
        </w:rPr>
        <w:t>111</w:t>
      </w:r>
      <w:r w:rsidR="00F96076">
        <w:rPr>
          <w:rFonts w:cstheme="minorHAnsi"/>
          <w:lang w:val="en-US"/>
        </w:rPr>
        <w:t>.</w:t>
      </w:r>
    </w:p>
  </w:footnote>
  <w:footnote w:id="48">
    <w:p w14:paraId="4057E3D9" w14:textId="3D490268" w:rsidR="00CA1FED" w:rsidRPr="00A335A8" w:rsidRDefault="00CA1FED" w:rsidP="00A335A8">
      <w:pPr>
        <w:spacing w:after="0" w:line="240" w:lineRule="auto"/>
        <w:rPr>
          <w:rFonts w:cstheme="minorHAnsi"/>
          <w:sz w:val="20"/>
          <w:szCs w:val="20"/>
        </w:rPr>
      </w:pPr>
      <w:r w:rsidRPr="00A335A8">
        <w:rPr>
          <w:rStyle w:val="FootnoteReference"/>
          <w:rFonts w:cstheme="minorHAnsi"/>
          <w:sz w:val="20"/>
          <w:szCs w:val="20"/>
        </w:rPr>
        <w:footnoteRef/>
      </w:r>
      <w:r w:rsidRPr="00A335A8">
        <w:rPr>
          <w:rFonts w:cstheme="minorHAnsi"/>
          <w:sz w:val="20"/>
          <w:szCs w:val="20"/>
        </w:rPr>
        <w:t xml:space="preserve"> </w:t>
      </w:r>
      <w:r>
        <w:rPr>
          <w:rFonts w:cstheme="minorHAnsi"/>
          <w:sz w:val="20"/>
          <w:szCs w:val="20"/>
        </w:rPr>
        <w:t>D</w:t>
      </w:r>
      <w:r w:rsidR="00F96076">
        <w:rPr>
          <w:rFonts w:cstheme="minorHAnsi"/>
          <w:sz w:val="20"/>
          <w:szCs w:val="20"/>
        </w:rPr>
        <w:t>.</w:t>
      </w:r>
      <w:r>
        <w:rPr>
          <w:rFonts w:cstheme="minorHAnsi"/>
          <w:sz w:val="20"/>
          <w:szCs w:val="20"/>
        </w:rPr>
        <w:t xml:space="preserve"> </w:t>
      </w:r>
      <w:r w:rsidRPr="00A335A8">
        <w:rPr>
          <w:rFonts w:cstheme="minorHAnsi"/>
          <w:sz w:val="20"/>
          <w:szCs w:val="20"/>
        </w:rPr>
        <w:t>Davis, ‘Zero-tolerance policing, stealth real estate development, and the transformation of public s</w:t>
      </w:r>
      <w:r w:rsidR="00F96076">
        <w:rPr>
          <w:rFonts w:cstheme="minorHAnsi"/>
          <w:sz w:val="20"/>
          <w:szCs w:val="20"/>
        </w:rPr>
        <w:t>pace: evidence from Mexico City</w:t>
      </w:r>
      <w:r w:rsidRPr="00A335A8">
        <w:rPr>
          <w:rFonts w:cstheme="minorHAnsi"/>
          <w:sz w:val="20"/>
          <w:szCs w:val="20"/>
        </w:rPr>
        <w:t xml:space="preserve">’ </w:t>
      </w:r>
      <w:r w:rsidR="00F96076" w:rsidRPr="00A335A8">
        <w:rPr>
          <w:rFonts w:cstheme="minorHAnsi"/>
          <w:sz w:val="20"/>
          <w:szCs w:val="20"/>
        </w:rPr>
        <w:t xml:space="preserve">(2013) </w:t>
      </w:r>
      <w:r w:rsidR="00F96076">
        <w:rPr>
          <w:rFonts w:cstheme="minorHAnsi"/>
          <w:sz w:val="20"/>
          <w:szCs w:val="20"/>
        </w:rPr>
        <w:t xml:space="preserve">40 </w:t>
      </w:r>
      <w:r w:rsidR="00F96076">
        <w:rPr>
          <w:rFonts w:cstheme="minorHAnsi"/>
          <w:i/>
          <w:iCs/>
          <w:sz w:val="20"/>
          <w:szCs w:val="20"/>
        </w:rPr>
        <w:t>Latin Am.</w:t>
      </w:r>
      <w:r w:rsidRPr="00A335A8">
        <w:rPr>
          <w:rFonts w:cstheme="minorHAnsi"/>
          <w:i/>
          <w:iCs/>
          <w:sz w:val="20"/>
          <w:szCs w:val="20"/>
        </w:rPr>
        <w:t xml:space="preserve"> Perspectives </w:t>
      </w:r>
      <w:r w:rsidRPr="00A335A8">
        <w:rPr>
          <w:rFonts w:cstheme="minorHAnsi"/>
          <w:sz w:val="20"/>
          <w:szCs w:val="20"/>
        </w:rPr>
        <w:t xml:space="preserve">53; </w:t>
      </w:r>
      <w:r>
        <w:rPr>
          <w:rFonts w:cstheme="minorHAnsi"/>
          <w:sz w:val="20"/>
          <w:szCs w:val="20"/>
        </w:rPr>
        <w:t xml:space="preserve">L </w:t>
      </w:r>
      <w:r w:rsidRPr="00A335A8">
        <w:rPr>
          <w:rFonts w:cstheme="minorHAnsi"/>
          <w:sz w:val="20"/>
          <w:szCs w:val="20"/>
        </w:rPr>
        <w:t xml:space="preserve">Sotomayor, ‘Dealing with dangerous spaces: The construction of urban policy in Medellín’ </w:t>
      </w:r>
      <w:r w:rsidR="00F96076" w:rsidRPr="00A335A8">
        <w:rPr>
          <w:rFonts w:cstheme="minorHAnsi"/>
          <w:sz w:val="20"/>
          <w:szCs w:val="20"/>
        </w:rPr>
        <w:t xml:space="preserve">(2017) </w:t>
      </w:r>
      <w:r w:rsidR="00F96076">
        <w:rPr>
          <w:rFonts w:cstheme="minorHAnsi"/>
          <w:sz w:val="20"/>
          <w:szCs w:val="20"/>
        </w:rPr>
        <w:t xml:space="preserve">44 </w:t>
      </w:r>
      <w:r w:rsidR="00F96076">
        <w:rPr>
          <w:rFonts w:cstheme="minorHAnsi"/>
          <w:i/>
          <w:iCs/>
          <w:sz w:val="20"/>
          <w:szCs w:val="20"/>
        </w:rPr>
        <w:t>Latin Am.</w:t>
      </w:r>
      <w:r w:rsidRPr="00A335A8">
        <w:rPr>
          <w:rFonts w:cstheme="minorHAnsi"/>
          <w:i/>
          <w:iCs/>
          <w:sz w:val="20"/>
          <w:szCs w:val="20"/>
        </w:rPr>
        <w:t xml:space="preserve"> Perspectives </w:t>
      </w:r>
      <w:r w:rsidRPr="00A335A8">
        <w:rPr>
          <w:rFonts w:cstheme="minorHAnsi"/>
          <w:sz w:val="20"/>
          <w:szCs w:val="20"/>
        </w:rPr>
        <w:t xml:space="preserve">71; </w:t>
      </w:r>
      <w:r>
        <w:rPr>
          <w:rFonts w:cstheme="minorHAnsi"/>
          <w:sz w:val="20"/>
          <w:szCs w:val="20"/>
        </w:rPr>
        <w:t xml:space="preserve">K </w:t>
      </w:r>
      <w:r w:rsidRPr="00A335A8">
        <w:rPr>
          <w:rFonts w:cstheme="minorHAnsi"/>
          <w:sz w:val="20"/>
          <w:szCs w:val="20"/>
        </w:rPr>
        <w:t>Swanson,  ‘</w:t>
      </w:r>
      <w:r w:rsidRPr="00A335A8">
        <w:rPr>
          <w:rFonts w:cstheme="minorHAnsi"/>
          <w:sz w:val="20"/>
          <w:szCs w:val="20"/>
          <w:lang w:val="en"/>
        </w:rPr>
        <w:t>Zero Tolerance in Latin America: Punitive Paradox in Urban Policy Mobilities’</w:t>
      </w:r>
      <w:r w:rsidR="00F96076">
        <w:rPr>
          <w:rFonts w:cstheme="minorHAnsi"/>
          <w:sz w:val="20"/>
          <w:szCs w:val="20"/>
          <w:lang w:val="en"/>
        </w:rPr>
        <w:t xml:space="preserve"> </w:t>
      </w:r>
      <w:r w:rsidR="00F96076" w:rsidRPr="00A335A8">
        <w:rPr>
          <w:rFonts w:cstheme="minorHAnsi"/>
          <w:sz w:val="20"/>
          <w:szCs w:val="20"/>
        </w:rPr>
        <w:t xml:space="preserve">(2013) </w:t>
      </w:r>
      <w:r w:rsidR="00F96076">
        <w:rPr>
          <w:rFonts w:cstheme="minorHAnsi"/>
          <w:sz w:val="20"/>
          <w:szCs w:val="20"/>
        </w:rPr>
        <w:t xml:space="preserve">34 </w:t>
      </w:r>
      <w:r w:rsidRPr="00A335A8">
        <w:rPr>
          <w:rFonts w:cstheme="minorHAnsi"/>
          <w:sz w:val="20"/>
          <w:szCs w:val="20"/>
          <w:lang w:val="en"/>
        </w:rPr>
        <w:t xml:space="preserve"> </w:t>
      </w:r>
      <w:r>
        <w:rPr>
          <w:rFonts w:cstheme="minorHAnsi"/>
          <w:i/>
          <w:sz w:val="20"/>
          <w:szCs w:val="20"/>
          <w:lang w:val="en"/>
        </w:rPr>
        <w:t>J</w:t>
      </w:r>
      <w:r w:rsidR="00F96076">
        <w:rPr>
          <w:rFonts w:cstheme="minorHAnsi"/>
          <w:i/>
          <w:sz w:val="20"/>
          <w:szCs w:val="20"/>
          <w:lang w:val="en"/>
        </w:rPr>
        <w:t>.</w:t>
      </w:r>
      <w:r w:rsidRPr="00A335A8">
        <w:rPr>
          <w:rFonts w:cstheme="minorHAnsi"/>
          <w:i/>
          <w:sz w:val="20"/>
          <w:szCs w:val="20"/>
          <w:lang w:val="en"/>
        </w:rPr>
        <w:t xml:space="preserve"> of Urban Geography</w:t>
      </w:r>
      <w:r w:rsidRPr="00A335A8">
        <w:rPr>
          <w:rFonts w:cstheme="minorHAnsi"/>
          <w:sz w:val="20"/>
          <w:szCs w:val="20"/>
          <w:lang w:val="en"/>
        </w:rPr>
        <w:t xml:space="preserve">, 972; </w:t>
      </w:r>
      <w:r>
        <w:rPr>
          <w:rFonts w:cstheme="minorHAnsi"/>
          <w:sz w:val="20"/>
          <w:szCs w:val="20"/>
          <w:lang w:val="en"/>
        </w:rPr>
        <w:t xml:space="preserve">A </w:t>
      </w:r>
      <w:r w:rsidRPr="00A335A8">
        <w:rPr>
          <w:rFonts w:cstheme="minorHAnsi"/>
          <w:sz w:val="20"/>
          <w:szCs w:val="20"/>
          <w:lang w:val="en-US"/>
        </w:rPr>
        <w:t xml:space="preserve">Mountz, and </w:t>
      </w:r>
      <w:r>
        <w:rPr>
          <w:rFonts w:cstheme="minorHAnsi"/>
          <w:sz w:val="20"/>
          <w:szCs w:val="20"/>
          <w:lang w:val="en-US"/>
        </w:rPr>
        <w:t xml:space="preserve">W </w:t>
      </w:r>
      <w:r w:rsidRPr="00A335A8">
        <w:rPr>
          <w:rFonts w:cstheme="minorHAnsi"/>
          <w:sz w:val="20"/>
          <w:szCs w:val="20"/>
          <w:lang w:val="en-US"/>
        </w:rPr>
        <w:t>Curran, ‘</w:t>
      </w:r>
      <w:r w:rsidRPr="00A335A8">
        <w:rPr>
          <w:rFonts w:cstheme="minorHAnsi"/>
          <w:sz w:val="20"/>
          <w:szCs w:val="20"/>
        </w:rPr>
        <w:t>Policing in drag: Giuliani goes globa</w:t>
      </w:r>
      <w:r w:rsidR="00F96076">
        <w:rPr>
          <w:rFonts w:cstheme="minorHAnsi"/>
          <w:sz w:val="20"/>
          <w:szCs w:val="20"/>
        </w:rPr>
        <w:t xml:space="preserve">l with the illusion of control’ </w:t>
      </w:r>
      <w:r w:rsidR="00F96076" w:rsidRPr="00A335A8">
        <w:rPr>
          <w:rFonts w:cstheme="minorHAnsi"/>
          <w:sz w:val="20"/>
          <w:szCs w:val="20"/>
          <w:lang w:val="en-US"/>
        </w:rPr>
        <w:t xml:space="preserve">(2009) </w:t>
      </w:r>
      <w:r w:rsidR="00F96076">
        <w:rPr>
          <w:rFonts w:cstheme="minorHAnsi"/>
          <w:sz w:val="20"/>
          <w:szCs w:val="20"/>
          <w:lang w:val="en-US"/>
        </w:rPr>
        <w:t>40</w:t>
      </w:r>
      <w:r w:rsidRPr="00A335A8">
        <w:rPr>
          <w:rFonts w:cstheme="minorHAnsi"/>
          <w:sz w:val="20"/>
          <w:szCs w:val="20"/>
        </w:rPr>
        <w:t xml:space="preserve"> </w:t>
      </w:r>
      <w:r w:rsidRPr="00A335A8">
        <w:rPr>
          <w:rFonts w:cstheme="minorHAnsi"/>
          <w:i/>
          <w:sz w:val="20"/>
          <w:szCs w:val="20"/>
        </w:rPr>
        <w:t>Geoforum</w:t>
      </w:r>
      <w:r w:rsidRPr="00A335A8">
        <w:rPr>
          <w:rFonts w:cstheme="minorHAnsi"/>
          <w:sz w:val="20"/>
          <w:szCs w:val="20"/>
        </w:rPr>
        <w:t xml:space="preserve"> 1033</w:t>
      </w:r>
      <w:r w:rsidR="00F96076">
        <w:rPr>
          <w:rFonts w:cstheme="minorHAnsi"/>
          <w:sz w:val="20"/>
          <w:szCs w:val="20"/>
        </w:rPr>
        <w:t>.</w:t>
      </w:r>
    </w:p>
  </w:footnote>
  <w:footnote w:id="49">
    <w:p w14:paraId="46536968" w14:textId="34EE378F" w:rsidR="00CA1FED" w:rsidRPr="00A335A8" w:rsidRDefault="00CA1FED" w:rsidP="00A335A8">
      <w:pPr>
        <w:pStyle w:val="FootnoteText"/>
        <w:rPr>
          <w:rFonts w:cstheme="minorHAnsi"/>
        </w:rPr>
      </w:pPr>
      <w:r w:rsidRPr="00A335A8">
        <w:rPr>
          <w:rStyle w:val="FootnoteReference"/>
          <w:rFonts w:cstheme="minorHAnsi"/>
        </w:rPr>
        <w:footnoteRef/>
      </w:r>
      <w:r w:rsidRPr="00A335A8">
        <w:rPr>
          <w:rFonts w:cstheme="minorHAnsi"/>
        </w:rPr>
        <w:t xml:space="preserve"> Montero, </w:t>
      </w:r>
      <w:r>
        <w:rPr>
          <w:rFonts w:cstheme="minorHAnsi"/>
        </w:rPr>
        <w:t>op. cit</w:t>
      </w:r>
      <w:r w:rsidRPr="00A335A8">
        <w:rPr>
          <w:rFonts w:cstheme="minorHAnsi"/>
        </w:rPr>
        <w:t xml:space="preserve">., n. 43, </w:t>
      </w:r>
      <w:r>
        <w:rPr>
          <w:rFonts w:cstheme="minorHAnsi"/>
        </w:rPr>
        <w:t>at</w:t>
      </w:r>
      <w:r w:rsidRPr="00A335A8">
        <w:rPr>
          <w:rFonts w:cstheme="minorHAnsi"/>
        </w:rPr>
        <w:t xml:space="preserve"> 127</w:t>
      </w:r>
      <w:r w:rsidR="00F96076">
        <w:rPr>
          <w:rFonts w:cstheme="minorHAnsi"/>
        </w:rPr>
        <w:t>.</w:t>
      </w:r>
    </w:p>
  </w:footnote>
  <w:footnote w:id="50">
    <w:p w14:paraId="21420C07" w14:textId="3311F350" w:rsidR="00CA1FED" w:rsidRPr="00A335A8" w:rsidRDefault="00CA1FED" w:rsidP="00A335A8">
      <w:pPr>
        <w:spacing w:after="0" w:line="240" w:lineRule="auto"/>
        <w:rPr>
          <w:rFonts w:eastAsia="Times New Roman" w:cstheme="minorHAnsi"/>
          <w:sz w:val="20"/>
          <w:szCs w:val="20"/>
          <w:lang w:eastAsia="en-GB"/>
        </w:rPr>
      </w:pPr>
      <w:r w:rsidRPr="00A335A8">
        <w:rPr>
          <w:rStyle w:val="FootnoteReference"/>
          <w:rFonts w:cstheme="minorHAnsi"/>
          <w:sz w:val="20"/>
          <w:szCs w:val="20"/>
        </w:rPr>
        <w:footnoteRef/>
      </w:r>
      <w:r w:rsidRPr="00A335A8">
        <w:rPr>
          <w:rFonts w:cstheme="minorHAnsi"/>
          <w:sz w:val="20"/>
          <w:szCs w:val="20"/>
        </w:rPr>
        <w:t xml:space="preserve"> </w:t>
      </w:r>
      <w:r>
        <w:rPr>
          <w:rFonts w:cstheme="minorHAnsi"/>
          <w:sz w:val="20"/>
          <w:szCs w:val="20"/>
        </w:rPr>
        <w:t>A</w:t>
      </w:r>
      <w:r w:rsidR="00F96076">
        <w:rPr>
          <w:rFonts w:cstheme="minorHAnsi"/>
          <w:sz w:val="20"/>
          <w:szCs w:val="20"/>
        </w:rPr>
        <w:t>.</w:t>
      </w:r>
      <w:r>
        <w:rPr>
          <w:rFonts w:cstheme="minorHAnsi"/>
          <w:sz w:val="20"/>
          <w:szCs w:val="20"/>
        </w:rPr>
        <w:t xml:space="preserve"> </w:t>
      </w:r>
      <w:r w:rsidRPr="00A335A8">
        <w:rPr>
          <w:rFonts w:cstheme="minorHAnsi"/>
          <w:sz w:val="20"/>
          <w:szCs w:val="20"/>
        </w:rPr>
        <w:t>Edwards</w:t>
      </w:r>
      <w:r>
        <w:rPr>
          <w:rFonts w:cstheme="minorHAnsi"/>
          <w:sz w:val="20"/>
          <w:szCs w:val="20"/>
        </w:rPr>
        <w:t xml:space="preserve"> </w:t>
      </w:r>
      <w:r w:rsidRPr="00A335A8">
        <w:rPr>
          <w:rFonts w:cstheme="minorHAnsi"/>
          <w:sz w:val="20"/>
          <w:szCs w:val="20"/>
        </w:rPr>
        <w:t xml:space="preserve"> and </w:t>
      </w:r>
      <w:r w:rsidR="00F96076">
        <w:rPr>
          <w:rFonts w:cstheme="minorHAnsi"/>
          <w:sz w:val="20"/>
          <w:szCs w:val="20"/>
        </w:rPr>
        <w:t xml:space="preserve">K. </w:t>
      </w:r>
      <w:r w:rsidRPr="00A335A8">
        <w:rPr>
          <w:rFonts w:cstheme="minorHAnsi"/>
          <w:sz w:val="20"/>
          <w:szCs w:val="20"/>
        </w:rPr>
        <w:t xml:space="preserve">Stenson, ‘Policy Transfer in local crime control: Beyond naïve emulation’, in Newburn and Sparks </w:t>
      </w:r>
      <w:r w:rsidR="00F96076">
        <w:rPr>
          <w:rFonts w:cstheme="minorHAnsi"/>
          <w:sz w:val="20"/>
          <w:szCs w:val="20"/>
        </w:rPr>
        <w:t>op. cit. n.1, pp</w:t>
      </w:r>
      <w:r w:rsidRPr="00A335A8">
        <w:rPr>
          <w:rFonts w:cstheme="minorHAnsi"/>
          <w:sz w:val="20"/>
          <w:szCs w:val="20"/>
          <w:lang w:val="en-US"/>
        </w:rPr>
        <w:t xml:space="preserve">. 209-233; </w:t>
      </w:r>
      <w:r>
        <w:rPr>
          <w:rFonts w:cstheme="minorHAnsi"/>
          <w:sz w:val="20"/>
          <w:szCs w:val="20"/>
          <w:lang w:val="en-US"/>
        </w:rPr>
        <w:t>E</w:t>
      </w:r>
      <w:r w:rsidR="00F96076">
        <w:rPr>
          <w:rFonts w:cstheme="minorHAnsi"/>
          <w:sz w:val="20"/>
          <w:szCs w:val="20"/>
          <w:lang w:val="en-US"/>
        </w:rPr>
        <w:t>.</w:t>
      </w:r>
      <w:r>
        <w:rPr>
          <w:rFonts w:cstheme="minorHAnsi"/>
          <w:sz w:val="20"/>
          <w:szCs w:val="20"/>
          <w:lang w:val="en-US"/>
        </w:rPr>
        <w:t xml:space="preserve"> </w:t>
      </w:r>
      <w:r w:rsidRPr="00A335A8">
        <w:rPr>
          <w:rFonts w:cstheme="minorHAnsi"/>
          <w:sz w:val="20"/>
          <w:szCs w:val="20"/>
          <w:lang w:val="en-US"/>
        </w:rPr>
        <w:t xml:space="preserve">Devroe </w:t>
      </w:r>
      <w:r w:rsidR="00F96076">
        <w:rPr>
          <w:rFonts w:cstheme="minorHAnsi"/>
          <w:sz w:val="20"/>
          <w:szCs w:val="20"/>
          <w:lang w:val="en-US"/>
        </w:rPr>
        <w:t>et al.</w:t>
      </w:r>
      <w:r w:rsidRPr="00A335A8">
        <w:rPr>
          <w:rFonts w:cstheme="minorHAnsi"/>
          <w:sz w:val="20"/>
          <w:szCs w:val="20"/>
          <w:lang w:val="en-US"/>
        </w:rPr>
        <w:t xml:space="preserve">, (eds) </w:t>
      </w:r>
      <w:r w:rsidRPr="00A335A8">
        <w:rPr>
          <w:rFonts w:cstheme="minorHAnsi"/>
          <w:i/>
          <w:sz w:val="20"/>
          <w:szCs w:val="20"/>
          <w:lang w:val="en-US"/>
        </w:rPr>
        <w:t>Policing European Metropolises: The politics of security in City-Regions</w:t>
      </w:r>
      <w:r w:rsidRPr="00A335A8">
        <w:rPr>
          <w:rFonts w:cstheme="minorHAnsi"/>
          <w:sz w:val="20"/>
          <w:szCs w:val="20"/>
          <w:lang w:val="en-US"/>
        </w:rPr>
        <w:t xml:space="preserve"> </w:t>
      </w:r>
      <w:r>
        <w:rPr>
          <w:rFonts w:cstheme="minorHAnsi"/>
          <w:sz w:val="20"/>
          <w:szCs w:val="20"/>
          <w:lang w:val="en-US"/>
        </w:rPr>
        <w:t>(2017)</w:t>
      </w:r>
      <w:r w:rsidR="00F96076">
        <w:rPr>
          <w:rFonts w:cstheme="minorHAnsi"/>
          <w:sz w:val="20"/>
          <w:szCs w:val="20"/>
          <w:lang w:val="en-US"/>
        </w:rPr>
        <w:t>;</w:t>
      </w:r>
      <w:r w:rsidRPr="00A335A8">
        <w:rPr>
          <w:rFonts w:cstheme="minorHAnsi"/>
          <w:sz w:val="20"/>
          <w:szCs w:val="20"/>
          <w:lang w:val="en-US"/>
        </w:rPr>
        <w:t xml:space="preserve"> </w:t>
      </w:r>
      <w:r>
        <w:rPr>
          <w:rFonts w:cstheme="minorHAnsi"/>
          <w:sz w:val="20"/>
          <w:szCs w:val="20"/>
          <w:lang w:val="en-US"/>
        </w:rPr>
        <w:t xml:space="preserve">L. </w:t>
      </w:r>
      <w:r w:rsidR="00F96076">
        <w:rPr>
          <w:rFonts w:cstheme="minorHAnsi"/>
          <w:sz w:val="20"/>
          <w:szCs w:val="20"/>
          <w:lang w:val="en-US"/>
        </w:rPr>
        <w:t>Bainbridge, ‘</w:t>
      </w:r>
      <w:r w:rsidRPr="00A335A8">
        <w:rPr>
          <w:rFonts w:eastAsia="Times New Roman" w:cstheme="minorHAnsi"/>
          <w:sz w:val="20"/>
          <w:szCs w:val="20"/>
          <w:lang w:eastAsia="en-GB"/>
        </w:rPr>
        <w:t>Transferring 24/7 sobriety from South Dakota to South London: the case of MOPAC’s Alcohol Abstinence Monitoring Requirement Pilot</w:t>
      </w:r>
      <w:r w:rsidR="00F96076">
        <w:rPr>
          <w:rFonts w:eastAsia="Times New Roman" w:cstheme="minorHAnsi"/>
          <w:sz w:val="20"/>
          <w:szCs w:val="20"/>
          <w:lang w:eastAsia="en-GB"/>
        </w:rPr>
        <w:t xml:space="preserve">’ </w:t>
      </w:r>
      <w:r w:rsidR="00F96076" w:rsidRPr="00A335A8">
        <w:rPr>
          <w:rFonts w:cstheme="minorHAnsi"/>
          <w:sz w:val="20"/>
          <w:szCs w:val="20"/>
          <w:lang w:val="en-US"/>
        </w:rPr>
        <w:t xml:space="preserve">(2019) </w:t>
      </w:r>
      <w:r w:rsidRPr="00A335A8">
        <w:rPr>
          <w:rFonts w:eastAsia="Times New Roman" w:cstheme="minorHAnsi"/>
          <w:i/>
          <w:iCs/>
          <w:sz w:val="20"/>
          <w:szCs w:val="20"/>
          <w:lang w:eastAsia="en-GB"/>
        </w:rPr>
        <w:t xml:space="preserve">Addiction, </w:t>
      </w:r>
      <w:r w:rsidRPr="00A335A8">
        <w:rPr>
          <w:rFonts w:eastAsia="Times New Roman" w:cstheme="minorHAnsi"/>
          <w:sz w:val="20"/>
          <w:szCs w:val="20"/>
          <w:lang w:eastAsia="en-GB"/>
        </w:rPr>
        <w:t>doi:10.1111/add.14609</w:t>
      </w:r>
    </w:p>
  </w:footnote>
  <w:footnote w:id="51">
    <w:p w14:paraId="111544EF" w14:textId="69842995" w:rsidR="00CA1FED" w:rsidRDefault="00CA1FED">
      <w:pPr>
        <w:pStyle w:val="FootnoteText"/>
      </w:pPr>
      <w:r>
        <w:rPr>
          <w:rStyle w:val="FootnoteReference"/>
        </w:rPr>
        <w:footnoteRef/>
      </w:r>
      <w:r>
        <w:t xml:space="preserve"> Jones and Newburn, op. cit. n. 16.</w:t>
      </w:r>
    </w:p>
  </w:footnote>
  <w:footnote w:id="52">
    <w:p w14:paraId="491768BD" w14:textId="6F830EFA" w:rsidR="00CA1FED" w:rsidRDefault="00CA1FED">
      <w:pPr>
        <w:pStyle w:val="FootnoteText"/>
      </w:pPr>
      <w:r>
        <w:rPr>
          <w:rStyle w:val="FootnoteReference"/>
        </w:rPr>
        <w:footnoteRef/>
      </w:r>
      <w:r>
        <w:t xml:space="preserve"> See also T</w:t>
      </w:r>
      <w:r w:rsidR="007D60FE">
        <w:t>.</w:t>
      </w:r>
      <w:r>
        <w:t xml:space="preserve"> Jones </w:t>
      </w:r>
      <w:r w:rsidRPr="00E86158">
        <w:t>and </w:t>
      </w:r>
      <w:r>
        <w:t>T</w:t>
      </w:r>
      <w:r w:rsidR="007D60FE">
        <w:t>.</w:t>
      </w:r>
      <w:r>
        <w:t xml:space="preserve"> </w:t>
      </w:r>
      <w:r w:rsidR="007D60FE">
        <w:t xml:space="preserve">Newburn, </w:t>
      </w:r>
      <w:r>
        <w:t>‘</w:t>
      </w:r>
      <w:r w:rsidRPr="00E12009">
        <w:rPr>
          <w:iCs/>
        </w:rPr>
        <w:t>Policy convergence, politics and comparative penal reform: sex offender notification schemes in the USA and UK’</w:t>
      </w:r>
      <w:r w:rsidR="007D60FE">
        <w:rPr>
          <w:iCs/>
        </w:rPr>
        <w:t xml:space="preserve"> </w:t>
      </w:r>
      <w:r w:rsidR="007D60FE" w:rsidRPr="00E86158">
        <w:t>(2013) </w:t>
      </w:r>
      <w:r w:rsidR="007D60FE">
        <w:t>15</w:t>
      </w:r>
      <w:r w:rsidRPr="00E86158">
        <w:t> </w:t>
      </w:r>
      <w:r w:rsidRPr="00E12009">
        <w:rPr>
          <w:i/>
        </w:rPr>
        <w:t>Punishment and Society</w:t>
      </w:r>
      <w:r>
        <w:t xml:space="preserve"> </w:t>
      </w:r>
      <w:r w:rsidRPr="00E86158">
        <w:t>439</w:t>
      </w:r>
      <w:r w:rsidR="007D60FE">
        <w:t>.</w:t>
      </w:r>
    </w:p>
  </w:footnote>
  <w:footnote w:id="53">
    <w:p w14:paraId="63FCA572" w14:textId="7D01801C" w:rsidR="00CA1FED" w:rsidRDefault="00CA1FED">
      <w:pPr>
        <w:pStyle w:val="FootnoteText"/>
      </w:pPr>
      <w:r>
        <w:rPr>
          <w:rStyle w:val="FootnoteReference"/>
        </w:rPr>
        <w:footnoteRef/>
      </w:r>
      <w:r>
        <w:t xml:space="preserve"> Steinberg, op. cit., n. 41; M</w:t>
      </w:r>
      <w:r w:rsidR="007D60FE">
        <w:t>.</w:t>
      </w:r>
      <w:r>
        <w:t xml:space="preserve"> </w:t>
      </w:r>
      <w:r w:rsidRPr="00931763">
        <w:rPr>
          <w:rFonts w:cstheme="minorHAnsi"/>
        </w:rPr>
        <w:t>Mendez Beck</w:t>
      </w:r>
      <w:r>
        <w:rPr>
          <w:rFonts w:cstheme="minorHAnsi"/>
        </w:rPr>
        <w:t xml:space="preserve"> </w:t>
      </w:r>
      <w:r w:rsidR="007D60FE">
        <w:rPr>
          <w:rFonts w:cstheme="minorHAnsi"/>
        </w:rPr>
        <w:t>a</w:t>
      </w:r>
      <w:r w:rsidRPr="00931763">
        <w:rPr>
          <w:rFonts w:cstheme="minorHAnsi"/>
        </w:rPr>
        <w:t xml:space="preserve">nd </w:t>
      </w:r>
      <w:r>
        <w:rPr>
          <w:rFonts w:cstheme="minorHAnsi"/>
        </w:rPr>
        <w:t>R</w:t>
      </w:r>
      <w:r w:rsidR="007D60FE">
        <w:rPr>
          <w:rFonts w:cstheme="minorHAnsi"/>
        </w:rPr>
        <w:t>.</w:t>
      </w:r>
      <w:r>
        <w:rPr>
          <w:rFonts w:cstheme="minorHAnsi"/>
        </w:rPr>
        <w:t xml:space="preserve"> </w:t>
      </w:r>
      <w:r w:rsidR="007D60FE">
        <w:rPr>
          <w:rFonts w:cstheme="minorHAnsi"/>
        </w:rPr>
        <w:t xml:space="preserve">Jaffe, </w:t>
      </w:r>
      <w:r w:rsidRPr="00931763">
        <w:rPr>
          <w:rFonts w:cstheme="minorHAnsi"/>
        </w:rPr>
        <w:t>‘Community Policing Goes South: Policy Mobilities and the New Geographies of Criminological T</w:t>
      </w:r>
      <w:r w:rsidR="007D60FE">
        <w:rPr>
          <w:rFonts w:cstheme="minorHAnsi"/>
        </w:rPr>
        <w:t xml:space="preserve">heory’ </w:t>
      </w:r>
      <w:r w:rsidR="007D60FE" w:rsidRPr="00931763">
        <w:rPr>
          <w:rFonts w:cstheme="minorHAnsi"/>
        </w:rPr>
        <w:t xml:space="preserve">(2019) </w:t>
      </w:r>
      <w:r w:rsidR="007D60FE">
        <w:rPr>
          <w:rFonts w:cstheme="minorHAnsi"/>
        </w:rPr>
        <w:t>59</w:t>
      </w:r>
      <w:r w:rsidRPr="00931763">
        <w:rPr>
          <w:rFonts w:cstheme="minorHAnsi"/>
        </w:rPr>
        <w:t xml:space="preserve"> </w:t>
      </w:r>
      <w:r w:rsidRPr="00931763">
        <w:rPr>
          <w:rFonts w:cstheme="minorHAnsi"/>
          <w:i/>
        </w:rPr>
        <w:t>Br</w:t>
      </w:r>
      <w:r>
        <w:rPr>
          <w:rFonts w:cstheme="minorHAnsi"/>
          <w:i/>
        </w:rPr>
        <w:t>it.</w:t>
      </w:r>
      <w:r w:rsidRPr="00931763">
        <w:rPr>
          <w:rFonts w:cstheme="minorHAnsi"/>
          <w:i/>
        </w:rPr>
        <w:t xml:space="preserve"> J</w:t>
      </w:r>
      <w:r>
        <w:rPr>
          <w:rFonts w:cstheme="minorHAnsi"/>
          <w:i/>
        </w:rPr>
        <w:t xml:space="preserve">. of </w:t>
      </w:r>
      <w:r w:rsidRPr="00931763">
        <w:rPr>
          <w:rFonts w:cstheme="minorHAnsi"/>
          <w:i/>
        </w:rPr>
        <w:t xml:space="preserve"> Crim</w:t>
      </w:r>
      <w:r>
        <w:rPr>
          <w:rFonts w:cstheme="minorHAnsi"/>
          <w:i/>
        </w:rPr>
        <w:t>inology</w:t>
      </w:r>
      <w:r w:rsidR="007D60FE">
        <w:rPr>
          <w:rFonts w:cstheme="minorHAnsi"/>
          <w:i/>
        </w:rPr>
        <w:t xml:space="preserve"> </w:t>
      </w:r>
      <w:r w:rsidR="007D60FE" w:rsidRPr="007D60FE">
        <w:rPr>
          <w:rFonts w:cstheme="minorHAnsi"/>
        </w:rPr>
        <w:t>823.</w:t>
      </w:r>
    </w:p>
  </w:footnote>
  <w:footnote w:id="54">
    <w:p w14:paraId="1D076601" w14:textId="73CC5B8B" w:rsidR="00CA1FED" w:rsidRDefault="00CA1FED">
      <w:pPr>
        <w:pStyle w:val="FootnoteText"/>
      </w:pPr>
      <w:r>
        <w:rPr>
          <w:rStyle w:val="FootnoteReference"/>
        </w:rPr>
        <w:footnoteRef/>
      </w:r>
      <w:r>
        <w:t xml:space="preserve"> Tonry, op. cit.. n. 5., at 511</w:t>
      </w:r>
    </w:p>
  </w:footnote>
  <w:footnote w:id="55">
    <w:p w14:paraId="00F77ABA" w14:textId="01E0E68D" w:rsidR="00CA1FED" w:rsidRDefault="00CA1FED">
      <w:pPr>
        <w:pStyle w:val="FootnoteText"/>
      </w:pPr>
      <w:r>
        <w:rPr>
          <w:rStyle w:val="FootnoteReference"/>
        </w:rPr>
        <w:footnoteRef/>
      </w:r>
      <w:r>
        <w:t xml:space="preserve"> Jones and Newburn, op. cit., n. 16.</w:t>
      </w:r>
    </w:p>
  </w:footnote>
  <w:footnote w:id="56">
    <w:p w14:paraId="45B8A33D" w14:textId="2BF956DC" w:rsidR="00CA1FED" w:rsidRDefault="00CA1FED">
      <w:pPr>
        <w:pStyle w:val="FootnoteText"/>
      </w:pPr>
      <w:r>
        <w:rPr>
          <w:rStyle w:val="FootnoteReference"/>
        </w:rPr>
        <w:footnoteRef/>
      </w:r>
      <w:r>
        <w:t xml:space="preserve"> Edwards and Stenson, op. cit., n. 46.</w:t>
      </w:r>
    </w:p>
  </w:footnote>
  <w:footnote w:id="57">
    <w:p w14:paraId="29F5552A" w14:textId="773B6CCC" w:rsidR="00CA1FED" w:rsidRDefault="00CA1FED">
      <w:pPr>
        <w:pStyle w:val="FootnoteText"/>
      </w:pPr>
      <w:r>
        <w:rPr>
          <w:rStyle w:val="FootnoteReference"/>
        </w:rPr>
        <w:footnoteRef/>
      </w:r>
      <w:r>
        <w:t xml:space="preserve"> K. </w:t>
      </w:r>
      <w:r w:rsidR="007D60FE">
        <w:rPr>
          <w:rFonts w:cstheme="minorHAnsi"/>
          <w:iCs/>
        </w:rPr>
        <w:t xml:space="preserve">Aas, </w:t>
      </w:r>
      <w:r w:rsidRPr="00931763">
        <w:rPr>
          <w:rFonts w:cstheme="minorHAnsi"/>
          <w:iCs/>
        </w:rPr>
        <w:t xml:space="preserve">‘Visions of global control: Cosmopolitan aspiration in a world of friction’ </w:t>
      </w:r>
      <w:r>
        <w:rPr>
          <w:rFonts w:cstheme="minorHAnsi"/>
          <w:iCs/>
        </w:rPr>
        <w:t xml:space="preserve">in </w:t>
      </w:r>
      <w:r w:rsidRPr="00931763">
        <w:rPr>
          <w:rFonts w:cstheme="minorHAnsi"/>
          <w:i/>
          <w:iCs/>
        </w:rPr>
        <w:t>What Is Criminology?</w:t>
      </w:r>
      <w:r w:rsidRPr="00931763">
        <w:rPr>
          <w:rFonts w:cstheme="minorHAnsi"/>
          <w:iCs/>
        </w:rPr>
        <w:t xml:space="preserve"> </w:t>
      </w:r>
      <w:r w:rsidR="007D60FE">
        <w:rPr>
          <w:rFonts w:cstheme="minorHAnsi"/>
          <w:iCs/>
        </w:rPr>
        <w:t>e</w:t>
      </w:r>
      <w:r>
        <w:rPr>
          <w:rFonts w:cstheme="minorHAnsi"/>
          <w:iCs/>
        </w:rPr>
        <w:t>d</w:t>
      </w:r>
      <w:r w:rsidR="007D60FE">
        <w:rPr>
          <w:rFonts w:cstheme="minorHAnsi"/>
          <w:iCs/>
        </w:rPr>
        <w:t>s.</w:t>
      </w:r>
      <w:r>
        <w:rPr>
          <w:rFonts w:cstheme="minorHAnsi"/>
          <w:iCs/>
        </w:rPr>
        <w:t xml:space="preserve"> </w:t>
      </w:r>
      <w:r w:rsidR="007D60FE">
        <w:rPr>
          <w:rFonts w:cstheme="minorHAnsi"/>
          <w:iCs/>
        </w:rPr>
        <w:t>M.</w:t>
      </w:r>
      <w:r w:rsidRPr="00931763">
        <w:rPr>
          <w:rFonts w:cstheme="minorHAnsi"/>
          <w:iCs/>
        </w:rPr>
        <w:t xml:space="preserve"> Bosworth and </w:t>
      </w:r>
      <w:r w:rsidR="007D60FE">
        <w:rPr>
          <w:rFonts w:cstheme="minorHAnsi"/>
          <w:iCs/>
        </w:rPr>
        <w:t xml:space="preserve">C. </w:t>
      </w:r>
      <w:r w:rsidRPr="00931763">
        <w:rPr>
          <w:rFonts w:cstheme="minorHAnsi"/>
          <w:iCs/>
        </w:rPr>
        <w:t xml:space="preserve">Hoyle </w:t>
      </w:r>
      <w:r w:rsidR="007D60FE" w:rsidRPr="00931763">
        <w:rPr>
          <w:rFonts w:cstheme="minorHAnsi"/>
          <w:iCs/>
        </w:rPr>
        <w:t>(2011)</w:t>
      </w:r>
      <w:r>
        <w:rPr>
          <w:rFonts w:cstheme="minorHAnsi"/>
          <w:iCs/>
        </w:rPr>
        <w:t xml:space="preserve"> at p. 409</w:t>
      </w:r>
      <w:r w:rsidR="007D60FE">
        <w:rPr>
          <w:rFonts w:cstheme="minorHAnsi"/>
          <w:iCs/>
        </w:rPr>
        <w:t>.</w:t>
      </w:r>
    </w:p>
  </w:footnote>
  <w:footnote w:id="58">
    <w:p w14:paraId="52841FBD" w14:textId="776D584F" w:rsidR="00CA1FED" w:rsidRDefault="00CA1FED">
      <w:pPr>
        <w:pStyle w:val="FootnoteText"/>
      </w:pPr>
      <w:r>
        <w:rPr>
          <w:rStyle w:val="FootnoteReference"/>
        </w:rPr>
        <w:footnoteRef/>
      </w:r>
      <w:r>
        <w:t xml:space="preserve"> T. </w:t>
      </w:r>
      <w:r>
        <w:rPr>
          <w:rFonts w:ascii="Calibri" w:hAnsi="Calibri" w:cs="Calibri"/>
          <w:color w:val="000000"/>
          <w:shd w:val="clear" w:color="auto" w:fill="FFFFFF"/>
        </w:rPr>
        <w:t>Baker</w:t>
      </w:r>
      <w:r w:rsidR="007D60FE">
        <w:rPr>
          <w:rFonts w:ascii="Calibri" w:hAnsi="Calibri" w:cs="Calibri"/>
          <w:color w:val="000000"/>
          <w:shd w:val="clear" w:color="auto" w:fill="FFFFFF"/>
        </w:rPr>
        <w:t>,</w:t>
      </w:r>
      <w:r>
        <w:rPr>
          <w:rFonts w:ascii="Calibri" w:hAnsi="Calibri" w:cs="Calibri"/>
          <w:color w:val="000000"/>
          <w:shd w:val="clear" w:color="auto" w:fill="FFFFFF"/>
        </w:rPr>
        <w:t xml:space="preserve"> E</w:t>
      </w:r>
      <w:r w:rsidR="007D60FE">
        <w:rPr>
          <w:rFonts w:ascii="Calibri" w:hAnsi="Calibri" w:cs="Calibri"/>
          <w:color w:val="000000"/>
          <w:shd w:val="clear" w:color="auto" w:fill="FFFFFF"/>
        </w:rPr>
        <w:t>.</w:t>
      </w:r>
      <w:r>
        <w:rPr>
          <w:rFonts w:ascii="Calibri" w:hAnsi="Calibri" w:cs="Calibri"/>
          <w:color w:val="000000"/>
          <w:shd w:val="clear" w:color="auto" w:fill="FFFFFF"/>
        </w:rPr>
        <w:t xml:space="preserve"> McCann and C</w:t>
      </w:r>
      <w:r w:rsidR="007D60FE">
        <w:rPr>
          <w:rFonts w:ascii="Calibri" w:hAnsi="Calibri" w:cs="Calibri"/>
          <w:color w:val="000000"/>
          <w:shd w:val="clear" w:color="auto" w:fill="FFFFFF"/>
        </w:rPr>
        <w:t>.</w:t>
      </w:r>
      <w:r>
        <w:rPr>
          <w:rFonts w:ascii="Calibri" w:hAnsi="Calibri" w:cs="Calibri"/>
          <w:color w:val="000000"/>
          <w:shd w:val="clear" w:color="auto" w:fill="FFFFFF"/>
        </w:rPr>
        <w:t xml:space="preserve"> Tenemos, 'Into the Ordinary: Non-elite actors and the mobility of harm reduction policies',</w:t>
      </w:r>
      <w:r w:rsidR="007D60FE">
        <w:rPr>
          <w:rFonts w:ascii="Calibri" w:hAnsi="Calibri" w:cs="Calibri"/>
          <w:color w:val="000000"/>
          <w:shd w:val="clear" w:color="auto" w:fill="FFFFFF"/>
        </w:rPr>
        <w:t xml:space="preserve"> (2019) </w:t>
      </w:r>
      <w:r w:rsidRPr="00E12009">
        <w:rPr>
          <w:rFonts w:ascii="Calibri" w:hAnsi="Calibri" w:cs="Calibri"/>
          <w:i/>
          <w:color w:val="000000"/>
          <w:shd w:val="clear" w:color="auto" w:fill="FFFFFF"/>
        </w:rPr>
        <w:t>Policy and Society</w:t>
      </w:r>
      <w:r>
        <w:rPr>
          <w:rFonts w:ascii="Calibri" w:hAnsi="Calibri" w:cs="Calibri"/>
          <w:color w:val="000000"/>
          <w:shd w:val="clear" w:color="auto" w:fill="FFFFFF"/>
        </w:rPr>
        <w:t xml:space="preserve"> (online first) DOI: 10.1080/14494035.2019.1626079</w:t>
      </w:r>
      <w:r w:rsidR="007D60FE">
        <w:rPr>
          <w:rFonts w:ascii="Calibri" w:hAnsi="Calibri" w:cs="Calibri"/>
          <w:color w:val="000000"/>
          <w:shd w:val="clear" w:color="auto" w:fill="FFFFFF"/>
        </w:rPr>
        <w:t>.</w:t>
      </w:r>
    </w:p>
  </w:footnote>
  <w:footnote w:id="59">
    <w:p w14:paraId="67A83BB0" w14:textId="2642E31F" w:rsidR="00CA1FED" w:rsidRDefault="00CA1FED">
      <w:pPr>
        <w:pStyle w:val="FootnoteText"/>
      </w:pPr>
      <w:r>
        <w:rPr>
          <w:rStyle w:val="FootnoteReference"/>
        </w:rPr>
        <w:footnoteRef/>
      </w:r>
      <w:r>
        <w:t xml:space="preserve"> Montero, op. cit., n. 43.</w:t>
      </w:r>
    </w:p>
  </w:footnote>
  <w:footnote w:id="60">
    <w:p w14:paraId="1ED3526F" w14:textId="21F02BB3" w:rsidR="00CA1FED" w:rsidRDefault="00CA1FED">
      <w:pPr>
        <w:pStyle w:val="FootnoteText"/>
      </w:pPr>
      <w:r>
        <w:rPr>
          <w:rStyle w:val="FootnoteReference"/>
        </w:rPr>
        <w:footnoteRef/>
      </w:r>
      <w:r>
        <w:t xml:space="preserve"> T</w:t>
      </w:r>
      <w:r w:rsidR="007D60FE">
        <w:t>.</w:t>
      </w:r>
      <w:r>
        <w:t xml:space="preserve"> </w:t>
      </w:r>
      <w:r w:rsidRPr="00931763">
        <w:rPr>
          <w:rFonts w:cstheme="minorHAnsi"/>
          <w:spacing w:val="-3"/>
        </w:rPr>
        <w:t>Jones</w:t>
      </w:r>
      <w:r>
        <w:rPr>
          <w:rFonts w:cstheme="minorHAnsi"/>
          <w:spacing w:val="-3"/>
        </w:rPr>
        <w:t xml:space="preserve"> </w:t>
      </w:r>
      <w:r w:rsidRPr="00931763">
        <w:rPr>
          <w:rFonts w:cstheme="minorHAnsi"/>
          <w:spacing w:val="-3"/>
        </w:rPr>
        <w:t>and</w:t>
      </w:r>
      <w:r>
        <w:rPr>
          <w:rFonts w:cstheme="minorHAnsi"/>
          <w:spacing w:val="-3"/>
        </w:rPr>
        <w:t xml:space="preserve"> T</w:t>
      </w:r>
      <w:r w:rsidR="007D60FE">
        <w:rPr>
          <w:rFonts w:cstheme="minorHAnsi"/>
          <w:spacing w:val="-3"/>
        </w:rPr>
        <w:t>.</w:t>
      </w:r>
      <w:r w:rsidRPr="00931763">
        <w:rPr>
          <w:rFonts w:cstheme="minorHAnsi"/>
          <w:spacing w:val="-3"/>
        </w:rPr>
        <w:t xml:space="preserve"> Newburn, </w:t>
      </w:r>
      <w:r w:rsidR="007D60FE">
        <w:rPr>
          <w:rFonts w:cstheme="minorHAnsi"/>
          <w:spacing w:val="-3"/>
        </w:rPr>
        <w:t>‘</w:t>
      </w:r>
      <w:r w:rsidRPr="00931763">
        <w:rPr>
          <w:rFonts w:cstheme="minorHAnsi"/>
          <w:spacing w:val="-3"/>
        </w:rPr>
        <w:t>Comparative criminal justice policy-making in the US and UK: The case of private prisons</w:t>
      </w:r>
      <w:r w:rsidR="007D60FE">
        <w:rPr>
          <w:rFonts w:cstheme="minorHAnsi"/>
          <w:spacing w:val="-3"/>
        </w:rPr>
        <w:t>’ (</w:t>
      </w:r>
      <w:r w:rsidR="007D60FE" w:rsidRPr="00931763">
        <w:rPr>
          <w:rFonts w:cstheme="minorHAnsi"/>
          <w:spacing w:val="-3"/>
        </w:rPr>
        <w:t>2004</w:t>
      </w:r>
      <w:r w:rsidR="007D60FE">
        <w:rPr>
          <w:rFonts w:cstheme="minorHAnsi"/>
          <w:spacing w:val="-3"/>
        </w:rPr>
        <w:t>) 45</w:t>
      </w:r>
      <w:r w:rsidRPr="00931763">
        <w:rPr>
          <w:rFonts w:cstheme="minorHAnsi"/>
          <w:spacing w:val="-3"/>
        </w:rPr>
        <w:t xml:space="preserve"> </w:t>
      </w:r>
      <w:r w:rsidRPr="00931763">
        <w:rPr>
          <w:rFonts w:cstheme="minorHAnsi"/>
          <w:i/>
          <w:iCs/>
          <w:spacing w:val="-3"/>
        </w:rPr>
        <w:t>Br</w:t>
      </w:r>
      <w:r>
        <w:rPr>
          <w:rFonts w:cstheme="minorHAnsi"/>
          <w:i/>
          <w:iCs/>
          <w:spacing w:val="-3"/>
        </w:rPr>
        <w:t>it.</w:t>
      </w:r>
      <w:r w:rsidRPr="00931763">
        <w:rPr>
          <w:rFonts w:cstheme="minorHAnsi"/>
          <w:i/>
          <w:iCs/>
          <w:spacing w:val="-3"/>
        </w:rPr>
        <w:t xml:space="preserve"> J</w:t>
      </w:r>
      <w:r>
        <w:rPr>
          <w:rFonts w:cstheme="minorHAnsi"/>
          <w:i/>
          <w:iCs/>
          <w:spacing w:val="-3"/>
        </w:rPr>
        <w:t xml:space="preserve">. of </w:t>
      </w:r>
      <w:r w:rsidRPr="00931763">
        <w:rPr>
          <w:rFonts w:cstheme="minorHAnsi"/>
          <w:i/>
          <w:iCs/>
          <w:spacing w:val="-3"/>
        </w:rPr>
        <w:t>Crim</w:t>
      </w:r>
      <w:r>
        <w:rPr>
          <w:rFonts w:cstheme="minorHAnsi"/>
          <w:i/>
          <w:iCs/>
          <w:spacing w:val="-3"/>
        </w:rPr>
        <w:t>inology</w:t>
      </w:r>
      <w:r>
        <w:rPr>
          <w:rFonts w:cstheme="minorHAnsi"/>
          <w:spacing w:val="-3"/>
        </w:rPr>
        <w:t xml:space="preserve"> </w:t>
      </w:r>
      <w:r w:rsidRPr="00931763">
        <w:rPr>
          <w:rFonts w:cstheme="minorHAnsi"/>
          <w:spacing w:val="-3"/>
        </w:rPr>
        <w:t>58</w:t>
      </w:r>
      <w:r w:rsidR="007D60FE">
        <w:rPr>
          <w:rFonts w:cstheme="minorHAnsi"/>
          <w:spacing w:val="-3"/>
        </w:rPr>
        <w:t>.</w:t>
      </w:r>
    </w:p>
  </w:footnote>
  <w:footnote w:id="61">
    <w:p w14:paraId="15C274D4" w14:textId="61DE69F4" w:rsidR="00CA1FED" w:rsidRDefault="00CA1FED">
      <w:pPr>
        <w:pStyle w:val="FootnoteText"/>
      </w:pPr>
      <w:r>
        <w:rPr>
          <w:rStyle w:val="FootnoteReference"/>
        </w:rPr>
        <w:footnoteRef/>
      </w:r>
      <w:r w:rsidR="007D60FE">
        <w:t xml:space="preserve"> See Clarke, op. cit., n. 41, </w:t>
      </w:r>
      <w:r>
        <w:t xml:space="preserve">on </w:t>
      </w:r>
      <w:r w:rsidRPr="00CA1FED">
        <w:rPr>
          <w:rFonts w:ascii="Calibri" w:eastAsia="Helvetica" w:hAnsi="Calibri" w:cs="Calibri"/>
          <w:color w:val="1A1A1A"/>
        </w:rPr>
        <w:t>the ‘imaginative mobility’ which shapes urban policy developments</w:t>
      </w:r>
    </w:p>
  </w:footnote>
  <w:footnote w:id="62">
    <w:p w14:paraId="771FF451" w14:textId="6CBC9E9B" w:rsidR="00CA1FED" w:rsidRDefault="00CA1FED">
      <w:pPr>
        <w:pStyle w:val="FootnoteText"/>
      </w:pPr>
      <w:r>
        <w:rPr>
          <w:rStyle w:val="FootnoteReference"/>
        </w:rPr>
        <w:footnoteRef/>
      </w:r>
      <w:r>
        <w:t xml:space="preserve"> Christie, op. cit., n. 39.</w:t>
      </w:r>
    </w:p>
  </w:footnote>
  <w:footnote w:id="63">
    <w:p w14:paraId="2F12415E" w14:textId="76DB78E7" w:rsidR="00CA1FED" w:rsidRDefault="00CA1FED">
      <w:pPr>
        <w:pStyle w:val="FootnoteText"/>
      </w:pPr>
      <w:r>
        <w:rPr>
          <w:rStyle w:val="FootnoteReference"/>
        </w:rPr>
        <w:footnoteRef/>
      </w:r>
      <w:r>
        <w:t xml:space="preserve"> </w:t>
      </w:r>
      <w:r w:rsidR="007D60FE">
        <w:t xml:space="preserve">J. </w:t>
      </w:r>
      <w:r w:rsidRPr="00931763">
        <w:rPr>
          <w:rFonts w:cstheme="minorHAnsi"/>
          <w:lang w:val="en-US"/>
        </w:rPr>
        <w:t>Pratt</w:t>
      </w:r>
      <w:r w:rsidR="007D60FE">
        <w:rPr>
          <w:rFonts w:cstheme="minorHAnsi"/>
          <w:lang w:val="en-US"/>
        </w:rPr>
        <w:t xml:space="preserve"> et al.,</w:t>
      </w:r>
      <w:r w:rsidRPr="00931763">
        <w:rPr>
          <w:rFonts w:cstheme="minorHAnsi"/>
          <w:lang w:val="en-US"/>
        </w:rPr>
        <w:t xml:space="preserve">  (eds</w:t>
      </w:r>
      <w:r w:rsidR="007D60FE">
        <w:rPr>
          <w:rFonts w:cstheme="minorHAnsi"/>
          <w:lang w:val="en-US"/>
        </w:rPr>
        <w:t>.</w:t>
      </w:r>
      <w:r w:rsidRPr="00931763">
        <w:rPr>
          <w:rFonts w:cstheme="minorHAnsi"/>
          <w:lang w:val="en-US"/>
        </w:rPr>
        <w:t>)</w:t>
      </w:r>
      <w:r w:rsidR="007D60FE">
        <w:rPr>
          <w:rFonts w:cstheme="minorHAnsi"/>
          <w:lang w:val="en-US"/>
        </w:rPr>
        <w:t>,</w:t>
      </w:r>
      <w:r w:rsidRPr="00931763">
        <w:rPr>
          <w:rFonts w:cstheme="minorHAnsi"/>
          <w:lang w:val="en-US"/>
        </w:rPr>
        <w:t xml:space="preserve"> </w:t>
      </w:r>
      <w:r w:rsidRPr="00931763">
        <w:rPr>
          <w:rFonts w:cstheme="minorHAnsi"/>
          <w:i/>
          <w:iCs/>
          <w:lang w:val="en-US"/>
        </w:rPr>
        <w:t xml:space="preserve">The New Punitiveness: Trends, theories, perspectives </w:t>
      </w:r>
      <w:r w:rsidRPr="00931763">
        <w:rPr>
          <w:rFonts w:cstheme="minorHAnsi"/>
          <w:lang w:val="en-US"/>
        </w:rPr>
        <w:t>(2005)</w:t>
      </w:r>
      <w:r w:rsidR="007D60FE">
        <w:rPr>
          <w:rFonts w:cstheme="minorHAnsi"/>
          <w:lang w:val="en-US"/>
        </w:rPr>
        <w:t>.</w:t>
      </w:r>
    </w:p>
  </w:footnote>
  <w:footnote w:id="64">
    <w:p w14:paraId="3C0EE147" w14:textId="1DB2F9E9" w:rsidR="00CA1FED" w:rsidRDefault="00CA1FED">
      <w:pPr>
        <w:pStyle w:val="FootnoteText"/>
      </w:pPr>
      <w:r>
        <w:rPr>
          <w:rStyle w:val="FootnoteReference"/>
        </w:rPr>
        <w:footnoteRef/>
      </w:r>
      <w:r>
        <w:t xml:space="preserve"> Wacquant, op. cit., n. 39; T</w:t>
      </w:r>
      <w:r w:rsidR="007D60FE">
        <w:t>.</w:t>
      </w:r>
      <w:r>
        <w:t xml:space="preserve"> </w:t>
      </w:r>
      <w:r w:rsidRPr="00931763">
        <w:rPr>
          <w:rFonts w:cstheme="minorHAnsi"/>
        </w:rPr>
        <w:t>Jones</w:t>
      </w:r>
      <w:r>
        <w:rPr>
          <w:rFonts w:cstheme="minorHAnsi"/>
        </w:rPr>
        <w:t xml:space="preserve"> </w:t>
      </w:r>
      <w:r w:rsidRPr="00931763">
        <w:rPr>
          <w:rFonts w:cstheme="minorHAnsi"/>
        </w:rPr>
        <w:t xml:space="preserve">and </w:t>
      </w:r>
      <w:r>
        <w:rPr>
          <w:rFonts w:cstheme="minorHAnsi"/>
        </w:rPr>
        <w:t>T</w:t>
      </w:r>
      <w:r w:rsidR="007D60FE">
        <w:rPr>
          <w:rFonts w:cstheme="minorHAnsi"/>
        </w:rPr>
        <w:t>.</w:t>
      </w:r>
      <w:r>
        <w:rPr>
          <w:rFonts w:cstheme="minorHAnsi"/>
        </w:rPr>
        <w:t xml:space="preserve"> </w:t>
      </w:r>
      <w:r w:rsidRPr="00931763">
        <w:rPr>
          <w:rFonts w:cstheme="minorHAnsi"/>
        </w:rPr>
        <w:t>Newburn,</w:t>
      </w:r>
      <w:r w:rsidR="007D60FE">
        <w:rPr>
          <w:rFonts w:cstheme="minorHAnsi"/>
        </w:rPr>
        <w:t xml:space="preserve"> ‘</w:t>
      </w:r>
      <w:r w:rsidRPr="00931763">
        <w:rPr>
          <w:rFonts w:cstheme="minorHAnsi"/>
        </w:rPr>
        <w:t>Three strikes and you’re out: Exploring symbol and substance in American and British crime control policy</w:t>
      </w:r>
      <w:r w:rsidR="007D60FE">
        <w:rPr>
          <w:rFonts w:cstheme="minorHAnsi"/>
        </w:rPr>
        <w:t xml:space="preserve">’ </w:t>
      </w:r>
      <w:r w:rsidR="007D60FE" w:rsidRPr="00931763">
        <w:rPr>
          <w:rFonts w:cstheme="minorHAnsi"/>
        </w:rPr>
        <w:t>(2006)</w:t>
      </w:r>
      <w:r w:rsidR="007D60FE">
        <w:rPr>
          <w:rFonts w:cstheme="minorHAnsi"/>
        </w:rPr>
        <w:t xml:space="preserve"> 46</w:t>
      </w:r>
      <w:r w:rsidRPr="00931763">
        <w:rPr>
          <w:rFonts w:cstheme="minorHAnsi"/>
        </w:rPr>
        <w:t xml:space="preserve"> </w:t>
      </w:r>
      <w:r w:rsidRPr="00931763">
        <w:rPr>
          <w:rFonts w:cstheme="minorHAnsi"/>
          <w:i/>
          <w:iCs/>
        </w:rPr>
        <w:t>Br</w:t>
      </w:r>
      <w:r w:rsidR="007D60FE">
        <w:rPr>
          <w:rFonts w:cstheme="minorHAnsi"/>
          <w:i/>
          <w:iCs/>
        </w:rPr>
        <w:t>it.</w:t>
      </w:r>
      <w:r w:rsidRPr="00931763">
        <w:rPr>
          <w:rFonts w:cstheme="minorHAnsi"/>
          <w:i/>
          <w:iCs/>
        </w:rPr>
        <w:t xml:space="preserve"> J</w:t>
      </w:r>
      <w:r w:rsidR="007D60FE">
        <w:rPr>
          <w:rFonts w:cstheme="minorHAnsi"/>
          <w:i/>
          <w:iCs/>
        </w:rPr>
        <w:t>. of</w:t>
      </w:r>
      <w:r>
        <w:rPr>
          <w:rFonts w:cstheme="minorHAnsi"/>
          <w:i/>
          <w:iCs/>
        </w:rPr>
        <w:t xml:space="preserve"> </w:t>
      </w:r>
      <w:r w:rsidRPr="00931763">
        <w:rPr>
          <w:rFonts w:cstheme="minorHAnsi"/>
          <w:i/>
          <w:iCs/>
        </w:rPr>
        <w:t>Crim</w:t>
      </w:r>
      <w:r w:rsidR="007D60FE">
        <w:rPr>
          <w:rFonts w:cstheme="minorHAnsi"/>
          <w:i/>
          <w:iCs/>
        </w:rPr>
        <w:t>inology</w:t>
      </w:r>
      <w:r>
        <w:rPr>
          <w:rFonts w:cstheme="minorHAnsi"/>
          <w:iCs/>
        </w:rPr>
        <w:t xml:space="preserve"> </w:t>
      </w:r>
      <w:r w:rsidRPr="00931763">
        <w:rPr>
          <w:rFonts w:cstheme="minorHAnsi"/>
          <w:iCs/>
        </w:rPr>
        <w:t>781</w:t>
      </w:r>
      <w:r>
        <w:rPr>
          <w:rFonts w:cstheme="minorHAnsi"/>
          <w:iCs/>
        </w:rPr>
        <w:t xml:space="preserve">; Jones and Newburn, id., n. 56; </w:t>
      </w:r>
      <w:r>
        <w:t>Jones and Newburn, op. cit., n. 16.</w:t>
      </w:r>
    </w:p>
  </w:footnote>
  <w:footnote w:id="65">
    <w:p w14:paraId="23C12DEE" w14:textId="5C2BD0BA" w:rsidR="00CA1FED" w:rsidRDefault="00CA1FED">
      <w:pPr>
        <w:pStyle w:val="FootnoteText"/>
      </w:pPr>
      <w:r>
        <w:rPr>
          <w:rStyle w:val="FootnoteReference"/>
        </w:rPr>
        <w:footnoteRef/>
      </w:r>
      <w:r>
        <w:t xml:space="preserve"> </w:t>
      </w:r>
      <w:r w:rsidR="007D60FE">
        <w:t xml:space="preserve">P. </w:t>
      </w:r>
      <w:r>
        <w:t>Andreas and E</w:t>
      </w:r>
      <w:r w:rsidR="007D60FE">
        <w:t>.</w:t>
      </w:r>
      <w:r>
        <w:t xml:space="preserve"> Nadelmann, </w:t>
      </w:r>
      <w:r w:rsidRPr="00E12009">
        <w:rPr>
          <w:i/>
        </w:rPr>
        <w:t>Policing the Globe: Criminalization and Crime Control in International Relations</w:t>
      </w:r>
      <w:r>
        <w:t xml:space="preserve"> (2006); </w:t>
      </w:r>
      <w:r w:rsidR="007D60FE">
        <w:t xml:space="preserve">R. </w:t>
      </w:r>
      <w:r>
        <w:t>Co</w:t>
      </w:r>
      <w:r w:rsidR="007D60FE">
        <w:t>lson,</w:t>
      </w:r>
      <w:r>
        <w:t xml:space="preserve"> this issue</w:t>
      </w:r>
    </w:p>
  </w:footnote>
  <w:footnote w:id="66">
    <w:p w14:paraId="3D533158" w14:textId="4AD47640" w:rsidR="00CA1FED" w:rsidRDefault="00CA1FED">
      <w:pPr>
        <w:pStyle w:val="FootnoteText"/>
      </w:pPr>
      <w:r>
        <w:rPr>
          <w:rStyle w:val="FootnoteReference"/>
        </w:rPr>
        <w:footnoteRef/>
      </w:r>
      <w:r>
        <w:t xml:space="preserve"> Tauri, op. cit., n. 48., p. 36</w:t>
      </w:r>
    </w:p>
  </w:footnote>
  <w:footnote w:id="67">
    <w:p w14:paraId="32C011FE" w14:textId="3DF1BF58" w:rsidR="00CA1FED" w:rsidRDefault="00CA1FED">
      <w:pPr>
        <w:pStyle w:val="FootnoteText"/>
      </w:pPr>
      <w:r>
        <w:rPr>
          <w:rStyle w:val="FootnoteReference"/>
        </w:rPr>
        <w:footnoteRef/>
      </w:r>
      <w:r>
        <w:t xml:space="preserve"> S</w:t>
      </w:r>
      <w:r w:rsidR="00EB6BB9">
        <w:t>.</w:t>
      </w:r>
      <w:r>
        <w:t xml:space="preserve"> </w:t>
      </w:r>
      <w:r w:rsidRPr="00931763">
        <w:rPr>
          <w:rFonts w:cstheme="minorHAnsi"/>
        </w:rPr>
        <w:t xml:space="preserve">Cohen, </w:t>
      </w:r>
      <w:r>
        <w:rPr>
          <w:rFonts w:cstheme="minorHAnsi"/>
        </w:rPr>
        <w:t>‘</w:t>
      </w:r>
      <w:r w:rsidRPr="00931763">
        <w:rPr>
          <w:rFonts w:cstheme="minorHAnsi"/>
        </w:rPr>
        <w:t>Western crime control models in the third world: Benign or malignant?</w:t>
      </w:r>
      <w:r>
        <w:rPr>
          <w:rFonts w:cstheme="minorHAnsi"/>
        </w:rPr>
        <w:t>’</w:t>
      </w:r>
      <w:r w:rsidRPr="00931763">
        <w:rPr>
          <w:rFonts w:cstheme="minorHAnsi"/>
        </w:rPr>
        <w:t xml:space="preserve"> In </w:t>
      </w:r>
      <w:r w:rsidRPr="00931763">
        <w:rPr>
          <w:rFonts w:cstheme="minorHAnsi"/>
          <w:i/>
        </w:rPr>
        <w:t xml:space="preserve">Against Criminology, </w:t>
      </w:r>
      <w:r>
        <w:rPr>
          <w:rFonts w:cstheme="minorHAnsi"/>
        </w:rPr>
        <w:t>ed</w:t>
      </w:r>
      <w:r w:rsidR="00EB6BB9">
        <w:rPr>
          <w:rFonts w:cstheme="minorHAnsi"/>
        </w:rPr>
        <w:t>.</w:t>
      </w:r>
      <w:r>
        <w:rPr>
          <w:rFonts w:cstheme="minorHAnsi"/>
        </w:rPr>
        <w:t xml:space="preserve"> S</w:t>
      </w:r>
      <w:r w:rsidR="00EB6BB9">
        <w:rPr>
          <w:rFonts w:cstheme="minorHAnsi"/>
        </w:rPr>
        <w:t>.</w:t>
      </w:r>
      <w:r>
        <w:rPr>
          <w:rFonts w:cstheme="minorHAnsi"/>
        </w:rPr>
        <w:t xml:space="preserve"> Cohen</w:t>
      </w:r>
      <w:r w:rsidR="00EB6BB9">
        <w:rPr>
          <w:rFonts w:cstheme="minorHAnsi"/>
        </w:rPr>
        <w:t xml:space="preserve"> </w:t>
      </w:r>
      <w:r w:rsidR="00EB6BB9" w:rsidRPr="00931763">
        <w:rPr>
          <w:rFonts w:cstheme="minorHAnsi"/>
        </w:rPr>
        <w:t>(1988)</w:t>
      </w:r>
      <w:r>
        <w:rPr>
          <w:rFonts w:cstheme="minorHAnsi"/>
        </w:rPr>
        <w:t xml:space="preserve"> at 173</w:t>
      </w:r>
      <w:r w:rsidR="00EB6BB9">
        <w:rPr>
          <w:rFonts w:cstheme="minorHAnsi"/>
        </w:rPr>
        <w:t>.</w:t>
      </w:r>
    </w:p>
  </w:footnote>
  <w:footnote w:id="68">
    <w:p w14:paraId="2A6CD90D" w14:textId="7E465C05" w:rsidR="00CA1FED" w:rsidRPr="00E12009" w:rsidRDefault="00CA1FED">
      <w:pPr>
        <w:pStyle w:val="FootnoteText"/>
        <w:rPr>
          <w:lang w:val="fr-FR"/>
        </w:rPr>
      </w:pPr>
      <w:r>
        <w:rPr>
          <w:rStyle w:val="FootnoteReference"/>
        </w:rPr>
        <w:footnoteRef/>
      </w:r>
      <w:r w:rsidRPr="00E12009">
        <w:rPr>
          <w:lang w:val="fr-FR"/>
        </w:rPr>
        <w:t xml:space="preserve"> Carrington et al</w:t>
      </w:r>
      <w:r w:rsidR="00EB6BB9">
        <w:rPr>
          <w:lang w:val="fr-FR"/>
        </w:rPr>
        <w:t>.</w:t>
      </w:r>
      <w:r w:rsidRPr="00E12009">
        <w:rPr>
          <w:lang w:val="fr-FR"/>
        </w:rPr>
        <w:t xml:space="preserve">, </w:t>
      </w:r>
      <w:r>
        <w:rPr>
          <w:lang w:val="fr-FR"/>
        </w:rPr>
        <w:t>op. cit</w:t>
      </w:r>
      <w:r w:rsidRPr="00E12009">
        <w:rPr>
          <w:lang w:val="fr-FR"/>
        </w:rPr>
        <w:t xml:space="preserve">., n. 40. </w:t>
      </w:r>
    </w:p>
  </w:footnote>
  <w:footnote w:id="69">
    <w:p w14:paraId="25EA997C" w14:textId="3549270B" w:rsidR="00CA1FED" w:rsidRPr="00E12009" w:rsidRDefault="00CA1FED">
      <w:pPr>
        <w:pStyle w:val="FootnoteText"/>
        <w:rPr>
          <w:lang w:val="fr-FR"/>
        </w:rPr>
      </w:pPr>
      <w:r>
        <w:rPr>
          <w:rStyle w:val="FootnoteReference"/>
        </w:rPr>
        <w:footnoteRef/>
      </w:r>
      <w:r w:rsidRPr="00E12009">
        <w:rPr>
          <w:lang w:val="fr-FR"/>
        </w:rPr>
        <w:t xml:space="preserve"> Carrington et al</w:t>
      </w:r>
      <w:r w:rsidR="00EB6BB9">
        <w:rPr>
          <w:lang w:val="fr-FR"/>
        </w:rPr>
        <w:t>.</w:t>
      </w:r>
      <w:r w:rsidRPr="00E12009">
        <w:rPr>
          <w:lang w:val="fr-FR"/>
        </w:rPr>
        <w:t xml:space="preserve">, </w:t>
      </w:r>
      <w:r>
        <w:rPr>
          <w:lang w:val="fr-FR"/>
        </w:rPr>
        <w:t>op. cit</w:t>
      </w:r>
      <w:r w:rsidRPr="00E12009">
        <w:rPr>
          <w:lang w:val="fr-FR"/>
        </w:rPr>
        <w:t xml:space="preserve">., n. 40., </w:t>
      </w:r>
      <w:r>
        <w:rPr>
          <w:lang w:val="fr-FR"/>
        </w:rPr>
        <w:t>at</w:t>
      </w:r>
      <w:r w:rsidRPr="00E12009">
        <w:rPr>
          <w:lang w:val="fr-FR"/>
        </w:rPr>
        <w:t xml:space="preserve"> 6</w:t>
      </w:r>
      <w:r w:rsidR="00EB6BB9">
        <w:rPr>
          <w:lang w:val="fr-FR"/>
        </w:rPr>
        <w:t>.</w:t>
      </w:r>
    </w:p>
  </w:footnote>
  <w:footnote w:id="70">
    <w:p w14:paraId="218C7C22" w14:textId="4A5CD995" w:rsidR="00CA1FED" w:rsidRDefault="00CA1FED">
      <w:pPr>
        <w:pStyle w:val="FootnoteText"/>
      </w:pPr>
      <w:r>
        <w:rPr>
          <w:rStyle w:val="FootnoteReference"/>
        </w:rPr>
        <w:footnoteRef/>
      </w:r>
      <w:r>
        <w:t xml:space="preserve"> Edwards and Stenson, op. cit., n. 46. </w:t>
      </w:r>
    </w:p>
  </w:footnote>
  <w:footnote w:id="71">
    <w:p w14:paraId="47437D15" w14:textId="06CDADB2" w:rsidR="00CA1FED" w:rsidRDefault="00CA1FED">
      <w:pPr>
        <w:pStyle w:val="FootnoteText"/>
      </w:pPr>
      <w:r>
        <w:rPr>
          <w:rStyle w:val="FootnoteReference"/>
        </w:rPr>
        <w:footnoteRef/>
      </w:r>
      <w:r w:rsidR="00EB6BB9">
        <w:t xml:space="preserve"> See</w:t>
      </w:r>
      <w:r>
        <w:t xml:space="preserve"> for example, Blaustein, op. cit., n. 30. </w:t>
      </w:r>
    </w:p>
  </w:footnote>
  <w:footnote w:id="72">
    <w:p w14:paraId="01CA2952" w14:textId="1B8D33E6" w:rsidR="00CA1FED" w:rsidRPr="004D3BD6" w:rsidRDefault="00CA1FED" w:rsidP="00510263">
      <w:pPr>
        <w:pStyle w:val="FootnoteText"/>
        <w:rPr>
          <w:rFonts w:cstheme="minorHAnsi"/>
        </w:rPr>
      </w:pPr>
      <w:r w:rsidRPr="004D3BD6">
        <w:rPr>
          <w:rStyle w:val="FootnoteReference"/>
          <w:rFonts w:cstheme="minorHAnsi"/>
        </w:rPr>
        <w:footnoteRef/>
      </w:r>
      <w:r w:rsidRPr="004D3BD6">
        <w:rPr>
          <w:rFonts w:cstheme="minorHAnsi"/>
        </w:rPr>
        <w:t xml:space="preserve"> </w:t>
      </w:r>
      <w:r>
        <w:rPr>
          <w:rFonts w:cstheme="minorHAnsi"/>
        </w:rPr>
        <w:t>Matthias, op. cit., n. 37; Daems, op. cit., n. 38</w:t>
      </w:r>
      <w:r w:rsidR="00EB6BB9">
        <w:rPr>
          <w:rFonts w:cstheme="minorHAnsi"/>
        </w:rPr>
        <w:t>.</w:t>
      </w:r>
    </w:p>
  </w:footnote>
  <w:footnote w:id="73">
    <w:p w14:paraId="439FDD9F" w14:textId="130CB4CE" w:rsidR="00CA1FED" w:rsidRPr="004D3BD6" w:rsidRDefault="00CA1FED" w:rsidP="00510263">
      <w:pPr>
        <w:pStyle w:val="FootnoteText"/>
        <w:rPr>
          <w:rFonts w:cstheme="minorHAnsi"/>
        </w:rPr>
      </w:pPr>
      <w:r w:rsidRPr="004D3BD6">
        <w:rPr>
          <w:rStyle w:val="FootnoteReference"/>
          <w:rFonts w:cstheme="minorHAnsi"/>
        </w:rPr>
        <w:footnoteRef/>
      </w:r>
      <w:r>
        <w:rPr>
          <w:rFonts w:cstheme="minorHAnsi"/>
        </w:rPr>
        <w:t xml:space="preserve"> Baker et al., op. cit.., n. 61</w:t>
      </w:r>
      <w:r w:rsidR="00EB6BB9">
        <w:rPr>
          <w:rFonts w:cstheme="minorHAnsi"/>
        </w:rPr>
        <w:t>.</w:t>
      </w:r>
    </w:p>
  </w:footnote>
  <w:footnote w:id="74">
    <w:p w14:paraId="6705E465" w14:textId="25128794" w:rsidR="00CA1FED" w:rsidRPr="004D3BD6" w:rsidRDefault="00CA1FED" w:rsidP="00510263">
      <w:pPr>
        <w:spacing w:after="0" w:line="240" w:lineRule="auto"/>
        <w:rPr>
          <w:rFonts w:ascii="Times New Roman" w:eastAsia="Times New Roman" w:hAnsi="Times New Roman" w:cs="Times New Roman"/>
          <w:sz w:val="20"/>
          <w:szCs w:val="20"/>
          <w:lang w:eastAsia="en-GB"/>
        </w:rPr>
      </w:pPr>
      <w:r w:rsidRPr="004D3BD6">
        <w:rPr>
          <w:rStyle w:val="FootnoteReference"/>
          <w:rFonts w:cstheme="minorHAnsi"/>
          <w:sz w:val="20"/>
          <w:szCs w:val="20"/>
        </w:rPr>
        <w:footnoteRef/>
      </w:r>
      <w:r w:rsidR="00EB6BB9">
        <w:rPr>
          <w:rFonts w:cstheme="minorHAnsi"/>
          <w:sz w:val="20"/>
          <w:szCs w:val="20"/>
        </w:rPr>
        <w:t xml:space="preserve"> House of Commons Library, </w:t>
      </w:r>
      <w:r w:rsidRPr="004D3BD6">
        <w:rPr>
          <w:rFonts w:cstheme="minorHAnsi"/>
          <w:i/>
          <w:iCs/>
          <w:sz w:val="20"/>
          <w:szCs w:val="20"/>
        </w:rPr>
        <w:t>Public health model to help reduce youth violence</w:t>
      </w:r>
      <w:r w:rsidR="00EB6BB9">
        <w:rPr>
          <w:rFonts w:cstheme="minorHAnsi"/>
          <w:sz w:val="20"/>
          <w:szCs w:val="20"/>
        </w:rPr>
        <w:t>, Debate Pack (2018)</w:t>
      </w:r>
      <w:r w:rsidRPr="004D3BD6">
        <w:rPr>
          <w:rFonts w:cstheme="minorHAnsi"/>
          <w:sz w:val="20"/>
          <w:szCs w:val="20"/>
        </w:rPr>
        <w:t xml:space="preserve">; ‘Mayor launches new public health approach to tackling serious violence’, </w:t>
      </w:r>
      <w:hyperlink r:id="rId2" w:history="1">
        <w:r w:rsidRPr="004D3BD6">
          <w:rPr>
            <w:rFonts w:eastAsia="Times New Roman" w:cstheme="minorHAnsi"/>
            <w:color w:val="0000FF"/>
            <w:sz w:val="20"/>
            <w:szCs w:val="20"/>
            <w:u w:val="single"/>
            <w:lang w:eastAsia="en-GB"/>
          </w:rPr>
          <w:t>https://www.london.gov.uk/press-releases/mayoral/new-public-health-approach-to-tackling-violence</w:t>
        </w:r>
      </w:hyperlink>
    </w:p>
  </w:footnote>
  <w:footnote w:id="75">
    <w:p w14:paraId="6817DA0B" w14:textId="666E0619" w:rsidR="00CA1FED" w:rsidRPr="004D3BD6" w:rsidRDefault="00CA1FED" w:rsidP="00510263">
      <w:pPr>
        <w:pStyle w:val="FootnoteText"/>
      </w:pPr>
      <w:r w:rsidRPr="004D3BD6">
        <w:rPr>
          <w:rStyle w:val="FootnoteReference"/>
        </w:rPr>
        <w:footnoteRef/>
      </w:r>
      <w:r w:rsidRPr="004D3BD6">
        <w:t xml:space="preserve"> Durnescu and Haines, </w:t>
      </w:r>
      <w:r>
        <w:t>op. cit</w:t>
      </w:r>
      <w:r w:rsidRPr="004D3BD6">
        <w:t>., n. 35</w:t>
      </w:r>
    </w:p>
  </w:footnote>
  <w:footnote w:id="76">
    <w:p w14:paraId="7614D2A7" w14:textId="25ECD9BB" w:rsidR="00CA1FED" w:rsidRPr="004D3BD6" w:rsidRDefault="00CA1FED" w:rsidP="00510263">
      <w:pPr>
        <w:pStyle w:val="FootnoteText"/>
      </w:pPr>
      <w:r w:rsidRPr="004D3BD6">
        <w:rPr>
          <w:rStyle w:val="FootnoteReference"/>
        </w:rPr>
        <w:footnoteRef/>
      </w:r>
      <w:r w:rsidRPr="004D3BD6">
        <w:t xml:space="preserve"> </w:t>
      </w:r>
      <w:r w:rsidRPr="004D3BD6">
        <w:rPr>
          <w:lang w:val="fr-FR"/>
        </w:rPr>
        <w:t xml:space="preserve">Brown et al, </w:t>
      </w:r>
      <w:r>
        <w:rPr>
          <w:lang w:val="fr-FR"/>
        </w:rPr>
        <w:t>op. cit</w:t>
      </w:r>
      <w:r w:rsidRPr="004D3BD6">
        <w:rPr>
          <w:lang w:val="fr-FR"/>
        </w:rPr>
        <w:t xml:space="preserve">., n. 16 </w:t>
      </w:r>
    </w:p>
  </w:footnote>
  <w:footnote w:id="77">
    <w:p w14:paraId="5C825802" w14:textId="3E970655" w:rsidR="00CA1FED" w:rsidRPr="00510263" w:rsidRDefault="00CA1FED" w:rsidP="00510263">
      <w:pPr>
        <w:spacing w:after="0" w:line="240" w:lineRule="auto"/>
        <w:rPr>
          <w:rFonts w:cstheme="minorHAnsi"/>
          <w:sz w:val="20"/>
          <w:szCs w:val="20"/>
        </w:rPr>
      </w:pPr>
      <w:r w:rsidRPr="004D3BD6">
        <w:rPr>
          <w:rStyle w:val="FootnoteReference"/>
          <w:sz w:val="20"/>
          <w:szCs w:val="20"/>
        </w:rPr>
        <w:footnoteRef/>
      </w:r>
      <w:r w:rsidRPr="004D3BD6">
        <w:rPr>
          <w:sz w:val="20"/>
          <w:szCs w:val="20"/>
        </w:rPr>
        <w:t xml:space="preserve"> </w:t>
      </w:r>
      <w:r>
        <w:rPr>
          <w:sz w:val="20"/>
          <w:szCs w:val="20"/>
        </w:rPr>
        <w:t>D</w:t>
      </w:r>
      <w:r w:rsidR="00EB6BB9">
        <w:rPr>
          <w:sz w:val="20"/>
          <w:szCs w:val="20"/>
        </w:rPr>
        <w:t>.</w:t>
      </w:r>
      <w:r>
        <w:rPr>
          <w:sz w:val="20"/>
          <w:szCs w:val="20"/>
        </w:rPr>
        <w:t xml:space="preserve"> </w:t>
      </w:r>
      <w:r w:rsidRPr="004D3BD6">
        <w:rPr>
          <w:rFonts w:cstheme="minorHAnsi"/>
          <w:sz w:val="20"/>
          <w:szCs w:val="20"/>
        </w:rPr>
        <w:t xml:space="preserve">Miers, </w:t>
      </w:r>
      <w:r w:rsidR="00EB6BB9">
        <w:rPr>
          <w:rFonts w:cstheme="minorHAnsi"/>
          <w:sz w:val="20"/>
          <w:szCs w:val="20"/>
        </w:rPr>
        <w:t>‘</w:t>
      </w:r>
      <w:r w:rsidRPr="004D3BD6">
        <w:rPr>
          <w:rFonts w:cstheme="minorHAnsi"/>
          <w:sz w:val="20"/>
          <w:szCs w:val="20"/>
        </w:rPr>
        <w:t>The international development of restorative justice</w:t>
      </w:r>
      <w:r w:rsidR="00EB6BB9">
        <w:rPr>
          <w:rFonts w:cstheme="minorHAnsi"/>
          <w:sz w:val="20"/>
          <w:szCs w:val="20"/>
        </w:rPr>
        <w:t>’</w:t>
      </w:r>
      <w:r w:rsidRPr="004D3BD6">
        <w:rPr>
          <w:rFonts w:cstheme="minorHAnsi"/>
          <w:sz w:val="20"/>
          <w:szCs w:val="20"/>
        </w:rPr>
        <w:t xml:space="preserve">, in </w:t>
      </w:r>
      <w:r w:rsidRPr="004D3BD6">
        <w:rPr>
          <w:rFonts w:cstheme="minorHAnsi"/>
          <w:i/>
          <w:iCs/>
          <w:sz w:val="20"/>
          <w:szCs w:val="20"/>
        </w:rPr>
        <w:t>Handbook of Restorative Justice</w:t>
      </w:r>
      <w:r>
        <w:rPr>
          <w:rFonts w:cstheme="minorHAnsi"/>
          <w:i/>
          <w:iCs/>
          <w:sz w:val="20"/>
          <w:szCs w:val="20"/>
        </w:rPr>
        <w:t xml:space="preserve"> </w:t>
      </w:r>
      <w:r>
        <w:rPr>
          <w:rFonts w:cstheme="minorHAnsi"/>
          <w:sz w:val="20"/>
          <w:szCs w:val="20"/>
        </w:rPr>
        <w:t>ed</w:t>
      </w:r>
      <w:r w:rsidR="00EB6BB9">
        <w:rPr>
          <w:rFonts w:cstheme="minorHAnsi"/>
          <w:sz w:val="20"/>
          <w:szCs w:val="20"/>
        </w:rPr>
        <w:t>s.</w:t>
      </w:r>
      <w:r>
        <w:rPr>
          <w:rFonts w:cstheme="minorHAnsi"/>
          <w:sz w:val="20"/>
          <w:szCs w:val="20"/>
        </w:rPr>
        <w:t xml:space="preserve"> G</w:t>
      </w:r>
      <w:r w:rsidR="00EB6BB9">
        <w:rPr>
          <w:rFonts w:cstheme="minorHAnsi"/>
          <w:sz w:val="20"/>
          <w:szCs w:val="20"/>
        </w:rPr>
        <w:t>.</w:t>
      </w:r>
      <w:r>
        <w:rPr>
          <w:rFonts w:cstheme="minorHAnsi"/>
          <w:sz w:val="20"/>
          <w:szCs w:val="20"/>
        </w:rPr>
        <w:t xml:space="preserve"> </w:t>
      </w:r>
      <w:r w:rsidRPr="004D3BD6">
        <w:rPr>
          <w:rFonts w:cstheme="minorHAnsi"/>
          <w:sz w:val="20"/>
          <w:szCs w:val="20"/>
        </w:rPr>
        <w:t>Johnstone</w:t>
      </w:r>
      <w:r>
        <w:rPr>
          <w:rFonts w:cstheme="minorHAnsi"/>
          <w:sz w:val="20"/>
          <w:szCs w:val="20"/>
        </w:rPr>
        <w:t xml:space="preserve"> </w:t>
      </w:r>
      <w:r w:rsidRPr="004D3BD6">
        <w:rPr>
          <w:rFonts w:cstheme="minorHAnsi"/>
          <w:sz w:val="20"/>
          <w:szCs w:val="20"/>
        </w:rPr>
        <w:t xml:space="preserve">and </w:t>
      </w:r>
      <w:r w:rsidR="00EB6BB9">
        <w:rPr>
          <w:rFonts w:cstheme="minorHAnsi"/>
          <w:sz w:val="20"/>
          <w:szCs w:val="20"/>
        </w:rPr>
        <w:t xml:space="preserve">D. </w:t>
      </w:r>
      <w:r w:rsidRPr="004D3BD6">
        <w:rPr>
          <w:rFonts w:cstheme="minorHAnsi"/>
          <w:sz w:val="20"/>
          <w:szCs w:val="20"/>
        </w:rPr>
        <w:t>Van Ness</w:t>
      </w:r>
      <w:r>
        <w:rPr>
          <w:rFonts w:cstheme="minorHAnsi"/>
          <w:sz w:val="20"/>
          <w:szCs w:val="20"/>
        </w:rPr>
        <w:t xml:space="preserve"> (2006)</w:t>
      </w:r>
      <w:r w:rsidR="00EB6BB9">
        <w:rPr>
          <w:rFonts w:cstheme="minorHAnsi"/>
          <w:sz w:val="20"/>
          <w:szCs w:val="20"/>
        </w:rPr>
        <w:t>.</w:t>
      </w:r>
    </w:p>
  </w:footnote>
  <w:footnote w:id="78">
    <w:p w14:paraId="0F771D98" w14:textId="5943B78A" w:rsidR="00CA1FED" w:rsidRPr="00C222F0" w:rsidRDefault="00CA1FED" w:rsidP="00510263">
      <w:pPr>
        <w:pStyle w:val="FootnoteText"/>
        <w:rPr>
          <w:rFonts w:cstheme="minorHAnsi"/>
        </w:rPr>
      </w:pPr>
      <w:r w:rsidRPr="00BE152D">
        <w:rPr>
          <w:rStyle w:val="FootnoteReference"/>
          <w:rFonts w:cstheme="minorHAnsi"/>
        </w:rPr>
        <w:footnoteRef/>
      </w:r>
      <w:r w:rsidRPr="00BE152D">
        <w:rPr>
          <w:rFonts w:cstheme="minorHAnsi"/>
        </w:rPr>
        <w:t xml:space="preserve"> </w:t>
      </w:r>
      <w:r>
        <w:rPr>
          <w:rFonts w:cstheme="minorHAnsi"/>
        </w:rPr>
        <w:t>J</w:t>
      </w:r>
      <w:r w:rsidR="00EB6BB9">
        <w:rPr>
          <w:rFonts w:cstheme="minorHAnsi"/>
        </w:rPr>
        <w:t>.</w:t>
      </w:r>
      <w:r>
        <w:rPr>
          <w:rFonts w:cstheme="minorHAnsi"/>
        </w:rPr>
        <w:t xml:space="preserve"> </w:t>
      </w:r>
      <w:r w:rsidRPr="00F32BAB">
        <w:rPr>
          <w:rFonts w:cstheme="minorHAnsi"/>
          <w:iCs/>
        </w:rPr>
        <w:t>Braithwaite</w:t>
      </w:r>
      <w:r>
        <w:rPr>
          <w:rFonts w:cstheme="minorHAnsi"/>
          <w:iCs/>
        </w:rPr>
        <w:t xml:space="preserve">, </w:t>
      </w:r>
      <w:r w:rsidR="00EB6BB9">
        <w:rPr>
          <w:rFonts w:cstheme="minorHAnsi"/>
          <w:iCs/>
        </w:rPr>
        <w:t>‘</w:t>
      </w:r>
      <w:r w:rsidRPr="00F32BAB">
        <w:rPr>
          <w:rFonts w:cstheme="minorHAnsi"/>
          <w:iCs/>
        </w:rPr>
        <w:t>Republican theory and crime control</w:t>
      </w:r>
      <w:r w:rsidR="00EB6BB9">
        <w:rPr>
          <w:rFonts w:cstheme="minorHAnsi"/>
          <w:iCs/>
        </w:rPr>
        <w:t>’</w:t>
      </w:r>
      <w:r w:rsidRPr="00F32BAB">
        <w:rPr>
          <w:rFonts w:cstheme="minorHAnsi"/>
          <w:iCs/>
        </w:rPr>
        <w:t xml:space="preserve">, in </w:t>
      </w:r>
      <w:r w:rsidRPr="00F32BAB">
        <w:rPr>
          <w:rFonts w:cstheme="minorHAnsi"/>
          <w:i/>
        </w:rPr>
        <w:t xml:space="preserve">Social Dynamics of Crime and Control </w:t>
      </w:r>
      <w:r w:rsidRPr="00CA1FED">
        <w:rPr>
          <w:rFonts w:cstheme="minorHAnsi"/>
          <w:iCs/>
        </w:rPr>
        <w:t>ed</w:t>
      </w:r>
      <w:r w:rsidR="00EB6BB9">
        <w:rPr>
          <w:rFonts w:cstheme="minorHAnsi"/>
          <w:iCs/>
        </w:rPr>
        <w:t>s.</w:t>
      </w:r>
      <w:r w:rsidRPr="00CA1FED">
        <w:rPr>
          <w:rFonts w:cstheme="minorHAnsi"/>
          <w:iCs/>
        </w:rPr>
        <w:t xml:space="preserve"> </w:t>
      </w:r>
      <w:r w:rsidR="00EB6BB9">
        <w:rPr>
          <w:rFonts w:cstheme="minorHAnsi"/>
          <w:iCs/>
        </w:rPr>
        <w:t xml:space="preserve">S. </w:t>
      </w:r>
      <w:r w:rsidRPr="00F32BAB">
        <w:rPr>
          <w:rFonts w:cstheme="minorHAnsi"/>
          <w:iCs/>
        </w:rPr>
        <w:t>Karstedt</w:t>
      </w:r>
      <w:r>
        <w:rPr>
          <w:rFonts w:cstheme="minorHAnsi"/>
          <w:iCs/>
        </w:rPr>
        <w:t xml:space="preserve"> </w:t>
      </w:r>
      <w:r w:rsidRPr="00F32BAB">
        <w:rPr>
          <w:rFonts w:cstheme="minorHAnsi"/>
          <w:iCs/>
        </w:rPr>
        <w:t xml:space="preserve">and </w:t>
      </w:r>
      <w:r>
        <w:rPr>
          <w:rFonts w:cstheme="minorHAnsi"/>
          <w:iCs/>
        </w:rPr>
        <w:t>K-D</w:t>
      </w:r>
      <w:r w:rsidR="00EB6BB9">
        <w:rPr>
          <w:rFonts w:cstheme="minorHAnsi"/>
          <w:iCs/>
        </w:rPr>
        <w:t>.</w:t>
      </w:r>
      <w:r>
        <w:rPr>
          <w:rFonts w:cstheme="minorHAnsi"/>
          <w:iCs/>
        </w:rPr>
        <w:t xml:space="preserve"> </w:t>
      </w:r>
      <w:r w:rsidRPr="00F32BAB">
        <w:rPr>
          <w:rFonts w:cstheme="minorHAnsi"/>
          <w:iCs/>
        </w:rPr>
        <w:t>Bussman (</w:t>
      </w:r>
      <w:r>
        <w:rPr>
          <w:rFonts w:cstheme="minorHAnsi"/>
          <w:iCs/>
        </w:rPr>
        <w:t>2000</w:t>
      </w:r>
      <w:r w:rsidRPr="00F32BAB">
        <w:rPr>
          <w:rFonts w:cstheme="minorHAnsi"/>
          <w:iCs/>
        </w:rPr>
        <w:t>)</w:t>
      </w:r>
      <w:r w:rsidR="00EB6BB9">
        <w:rPr>
          <w:rFonts w:cstheme="minorHAnsi"/>
          <w:iCs/>
        </w:rPr>
        <w:t>.</w:t>
      </w:r>
    </w:p>
  </w:footnote>
  <w:footnote w:id="79">
    <w:p w14:paraId="67B71407" w14:textId="73B8803D" w:rsidR="00CA1FED" w:rsidRPr="00C222F0" w:rsidRDefault="00CA1FED" w:rsidP="00510263">
      <w:pPr>
        <w:pStyle w:val="FootnoteText"/>
        <w:rPr>
          <w:rFonts w:cstheme="minorHAnsi"/>
        </w:rPr>
      </w:pPr>
      <w:r w:rsidRPr="00C222F0">
        <w:rPr>
          <w:rStyle w:val="FootnoteReference"/>
          <w:rFonts w:cstheme="minorHAnsi"/>
        </w:rPr>
        <w:footnoteRef/>
      </w:r>
      <w:r w:rsidRPr="00C222F0">
        <w:rPr>
          <w:rFonts w:cstheme="minorHAnsi"/>
        </w:rPr>
        <w:t xml:space="preserve"> Braithwaite, </w:t>
      </w:r>
      <w:r>
        <w:rPr>
          <w:rFonts w:cstheme="minorHAnsi"/>
        </w:rPr>
        <w:t xml:space="preserve">id, at </w:t>
      </w:r>
      <w:r w:rsidRPr="00C222F0">
        <w:rPr>
          <w:rFonts w:cstheme="minorHAnsi"/>
        </w:rPr>
        <w:t>87.</w:t>
      </w:r>
    </w:p>
  </w:footnote>
  <w:footnote w:id="80">
    <w:p w14:paraId="75883924" w14:textId="375E10DC" w:rsidR="00CA1FED" w:rsidRPr="00DE2159" w:rsidRDefault="00CA1FED" w:rsidP="0003641A">
      <w:pPr>
        <w:spacing w:after="0" w:line="240" w:lineRule="auto"/>
        <w:rPr>
          <w:rFonts w:cstheme="minorHAnsi"/>
          <w:iCs/>
        </w:rPr>
      </w:pPr>
      <w:r w:rsidRPr="005403A2">
        <w:rPr>
          <w:rStyle w:val="FootnoteReference"/>
          <w:rFonts w:cstheme="minorHAnsi"/>
          <w:sz w:val="20"/>
          <w:szCs w:val="20"/>
        </w:rPr>
        <w:footnoteRef/>
      </w:r>
      <w:r w:rsidRPr="005403A2">
        <w:rPr>
          <w:rFonts w:cstheme="minorHAnsi"/>
          <w:sz w:val="20"/>
          <w:szCs w:val="20"/>
        </w:rPr>
        <w:t xml:space="preserve"> See </w:t>
      </w:r>
      <w:r>
        <w:rPr>
          <w:rFonts w:cstheme="minorHAnsi"/>
          <w:sz w:val="20"/>
          <w:szCs w:val="20"/>
        </w:rPr>
        <w:t>J</w:t>
      </w:r>
      <w:r w:rsidR="00EB6BB9">
        <w:rPr>
          <w:rFonts w:cstheme="minorHAnsi"/>
          <w:sz w:val="20"/>
          <w:szCs w:val="20"/>
        </w:rPr>
        <w:t>.</w:t>
      </w:r>
      <w:r>
        <w:rPr>
          <w:rFonts w:cstheme="minorHAnsi"/>
          <w:sz w:val="20"/>
          <w:szCs w:val="20"/>
        </w:rPr>
        <w:t xml:space="preserve"> </w:t>
      </w:r>
      <w:r w:rsidRPr="00F32BAB">
        <w:rPr>
          <w:rFonts w:cstheme="minorHAnsi"/>
          <w:iCs/>
          <w:sz w:val="20"/>
          <w:szCs w:val="20"/>
        </w:rPr>
        <w:t>Braithwaite</w:t>
      </w:r>
      <w:r>
        <w:rPr>
          <w:rFonts w:cstheme="minorHAnsi"/>
          <w:iCs/>
          <w:sz w:val="20"/>
          <w:szCs w:val="20"/>
        </w:rPr>
        <w:t xml:space="preserve"> </w:t>
      </w:r>
      <w:r w:rsidRPr="00F32BAB">
        <w:rPr>
          <w:rFonts w:cstheme="minorHAnsi"/>
          <w:iCs/>
          <w:sz w:val="20"/>
          <w:szCs w:val="20"/>
        </w:rPr>
        <w:t xml:space="preserve">and </w:t>
      </w:r>
      <w:r>
        <w:rPr>
          <w:rFonts w:cstheme="minorHAnsi"/>
          <w:iCs/>
          <w:sz w:val="20"/>
          <w:szCs w:val="20"/>
        </w:rPr>
        <w:t>P</w:t>
      </w:r>
      <w:r w:rsidR="00EB6BB9">
        <w:rPr>
          <w:rFonts w:cstheme="minorHAnsi"/>
          <w:iCs/>
          <w:sz w:val="20"/>
          <w:szCs w:val="20"/>
        </w:rPr>
        <w:t>.</w:t>
      </w:r>
      <w:r>
        <w:rPr>
          <w:rFonts w:cstheme="minorHAnsi"/>
          <w:iCs/>
          <w:sz w:val="20"/>
          <w:szCs w:val="20"/>
        </w:rPr>
        <w:t xml:space="preserve"> </w:t>
      </w:r>
      <w:r w:rsidRPr="00F32BAB">
        <w:rPr>
          <w:rFonts w:cstheme="minorHAnsi"/>
          <w:iCs/>
          <w:sz w:val="20"/>
          <w:szCs w:val="20"/>
        </w:rPr>
        <w:t>Petit,</w:t>
      </w:r>
      <w:r>
        <w:rPr>
          <w:rFonts w:cstheme="minorHAnsi"/>
          <w:iCs/>
          <w:sz w:val="20"/>
          <w:szCs w:val="20"/>
        </w:rPr>
        <w:t xml:space="preserve"> </w:t>
      </w:r>
      <w:r w:rsidRPr="00F32BAB">
        <w:rPr>
          <w:rFonts w:cstheme="minorHAnsi"/>
          <w:i/>
          <w:sz w:val="20"/>
          <w:szCs w:val="20"/>
        </w:rPr>
        <w:t xml:space="preserve">Not Just Deserts: A Republican Theory of Criminal Justice </w:t>
      </w:r>
      <w:r>
        <w:rPr>
          <w:rFonts w:cstheme="minorHAnsi"/>
          <w:iCs/>
          <w:sz w:val="20"/>
          <w:szCs w:val="20"/>
        </w:rPr>
        <w:t>(2006)</w:t>
      </w:r>
      <w:r w:rsidR="00EB6BB9">
        <w:rPr>
          <w:rFonts w:cstheme="minorHAnsi"/>
          <w:iCs/>
          <w:sz w:val="20"/>
          <w:szCs w:val="20"/>
        </w:rPr>
        <w:t>.</w:t>
      </w:r>
    </w:p>
  </w:footnote>
  <w:footnote w:id="81">
    <w:p w14:paraId="060509CD" w14:textId="172035E3" w:rsidR="00CA1FED" w:rsidRPr="00E721EE" w:rsidRDefault="00CA1FED" w:rsidP="0003641A">
      <w:pPr>
        <w:spacing w:after="0" w:line="240" w:lineRule="auto"/>
        <w:rPr>
          <w:rFonts w:cstheme="minorHAnsi"/>
          <w:sz w:val="20"/>
          <w:szCs w:val="20"/>
        </w:rPr>
      </w:pPr>
      <w:r w:rsidRPr="00CC47B0">
        <w:rPr>
          <w:rStyle w:val="FootnoteReference"/>
          <w:rFonts w:cstheme="minorHAnsi"/>
          <w:sz w:val="20"/>
          <w:szCs w:val="20"/>
        </w:rPr>
        <w:footnoteRef/>
      </w:r>
      <w:r w:rsidRPr="00CC47B0">
        <w:rPr>
          <w:rFonts w:cstheme="minorHAnsi"/>
          <w:sz w:val="20"/>
          <w:szCs w:val="20"/>
        </w:rPr>
        <w:t xml:space="preserve"> </w:t>
      </w:r>
      <w:r>
        <w:rPr>
          <w:rFonts w:cstheme="minorHAnsi"/>
          <w:sz w:val="20"/>
          <w:szCs w:val="20"/>
        </w:rPr>
        <w:t>L</w:t>
      </w:r>
      <w:r w:rsidR="00EB6BB9">
        <w:rPr>
          <w:rFonts w:cstheme="minorHAnsi"/>
          <w:sz w:val="20"/>
          <w:szCs w:val="20"/>
        </w:rPr>
        <w:t>.</w:t>
      </w:r>
      <w:r>
        <w:rPr>
          <w:rFonts w:cstheme="minorHAnsi"/>
          <w:sz w:val="20"/>
          <w:szCs w:val="20"/>
        </w:rPr>
        <w:t xml:space="preserve"> </w:t>
      </w:r>
      <w:r w:rsidRPr="00E721EE">
        <w:rPr>
          <w:rFonts w:cstheme="minorHAnsi"/>
          <w:sz w:val="20"/>
          <w:szCs w:val="20"/>
        </w:rPr>
        <w:t>Zedner</w:t>
      </w:r>
      <w:r>
        <w:rPr>
          <w:rFonts w:cstheme="minorHAnsi"/>
          <w:sz w:val="20"/>
          <w:szCs w:val="20"/>
        </w:rPr>
        <w:t xml:space="preserve">, </w:t>
      </w:r>
      <w:r w:rsidRPr="00E721EE">
        <w:rPr>
          <w:rFonts w:cstheme="minorHAnsi"/>
          <w:i/>
          <w:sz w:val="20"/>
          <w:szCs w:val="20"/>
        </w:rPr>
        <w:t>Security</w:t>
      </w:r>
      <w:r w:rsidRPr="00E721EE">
        <w:rPr>
          <w:rFonts w:cstheme="minorHAnsi"/>
          <w:sz w:val="20"/>
          <w:szCs w:val="20"/>
        </w:rPr>
        <w:t xml:space="preserve"> (2009); see also, </w:t>
      </w:r>
      <w:r>
        <w:rPr>
          <w:rFonts w:cstheme="minorHAnsi"/>
          <w:sz w:val="20"/>
          <w:szCs w:val="20"/>
        </w:rPr>
        <w:t>I</w:t>
      </w:r>
      <w:r w:rsidR="00EB6BB9">
        <w:rPr>
          <w:rFonts w:cstheme="minorHAnsi"/>
          <w:sz w:val="20"/>
          <w:szCs w:val="20"/>
        </w:rPr>
        <w:t>.</w:t>
      </w:r>
      <w:r>
        <w:rPr>
          <w:rFonts w:cstheme="minorHAnsi"/>
          <w:sz w:val="20"/>
          <w:szCs w:val="20"/>
        </w:rPr>
        <w:t xml:space="preserve"> </w:t>
      </w:r>
      <w:r w:rsidRPr="00E721EE">
        <w:rPr>
          <w:rFonts w:cstheme="minorHAnsi"/>
          <w:sz w:val="20"/>
          <w:szCs w:val="20"/>
        </w:rPr>
        <w:t xml:space="preserve">Loader and </w:t>
      </w:r>
      <w:r>
        <w:rPr>
          <w:rFonts w:cstheme="minorHAnsi"/>
          <w:sz w:val="20"/>
          <w:szCs w:val="20"/>
        </w:rPr>
        <w:t>N</w:t>
      </w:r>
      <w:r w:rsidR="00EB6BB9">
        <w:rPr>
          <w:rFonts w:cstheme="minorHAnsi"/>
          <w:sz w:val="20"/>
          <w:szCs w:val="20"/>
        </w:rPr>
        <w:t>.</w:t>
      </w:r>
      <w:r>
        <w:rPr>
          <w:rFonts w:cstheme="minorHAnsi"/>
          <w:sz w:val="20"/>
          <w:szCs w:val="20"/>
        </w:rPr>
        <w:t xml:space="preserve"> </w:t>
      </w:r>
      <w:r w:rsidRPr="00E721EE">
        <w:rPr>
          <w:rFonts w:cstheme="minorHAnsi"/>
          <w:sz w:val="20"/>
          <w:szCs w:val="20"/>
        </w:rPr>
        <w:t xml:space="preserve">Walker </w:t>
      </w:r>
      <w:r w:rsidRPr="00E721EE">
        <w:rPr>
          <w:rFonts w:cstheme="minorHAnsi"/>
          <w:i/>
          <w:iCs/>
          <w:sz w:val="20"/>
          <w:szCs w:val="20"/>
        </w:rPr>
        <w:t>Civilizing Security</w:t>
      </w:r>
      <w:r>
        <w:rPr>
          <w:rFonts w:cstheme="minorHAnsi"/>
          <w:sz w:val="20"/>
          <w:szCs w:val="20"/>
        </w:rPr>
        <w:t xml:space="preserve"> </w:t>
      </w:r>
      <w:r w:rsidRPr="00E721EE">
        <w:rPr>
          <w:rFonts w:cstheme="minorHAnsi"/>
          <w:sz w:val="20"/>
          <w:szCs w:val="20"/>
        </w:rPr>
        <w:t>(2007)</w:t>
      </w:r>
      <w:r w:rsidR="00EB6BB9">
        <w:rPr>
          <w:rFonts w:cstheme="minorHAnsi"/>
          <w:sz w:val="20"/>
          <w:szCs w:val="20"/>
        </w:rPr>
        <w:t>.</w:t>
      </w:r>
    </w:p>
  </w:footnote>
  <w:footnote w:id="82">
    <w:p w14:paraId="0A55AA5C" w14:textId="66369647" w:rsidR="00CA1FED" w:rsidRDefault="00CA1FED" w:rsidP="0003641A">
      <w:pPr>
        <w:pStyle w:val="FootnoteText"/>
      </w:pPr>
      <w:r>
        <w:rPr>
          <w:rStyle w:val="FootnoteReference"/>
        </w:rPr>
        <w:footnoteRef/>
      </w:r>
      <w:r>
        <w:t xml:space="preserve"> See S</w:t>
      </w:r>
      <w:r w:rsidR="00EB6BB9">
        <w:t>.</w:t>
      </w:r>
      <w:r>
        <w:t xml:space="preserve"> Bae, </w:t>
      </w:r>
      <w:r w:rsidRPr="004F2B93">
        <w:rPr>
          <w:i/>
        </w:rPr>
        <w:t>When the State no longer kills: International human rights norms and the abolition of capital punishment</w:t>
      </w:r>
      <w:r>
        <w:t xml:space="preserve"> (2007)</w:t>
      </w:r>
      <w:r w:rsidR="00EB6BB9">
        <w:t>.</w:t>
      </w:r>
    </w:p>
  </w:footnote>
  <w:footnote w:id="83">
    <w:p w14:paraId="4456D719" w14:textId="01419510" w:rsidR="00CA1FED" w:rsidRDefault="00CA1FED" w:rsidP="00E57BBD">
      <w:pPr>
        <w:pStyle w:val="FootnoteText"/>
      </w:pPr>
      <w:r>
        <w:rPr>
          <w:rStyle w:val="FootnoteReference"/>
        </w:rPr>
        <w:footnoteRef/>
      </w:r>
      <w:r>
        <w:t xml:space="preserve"> K Lohne, ‘Penal humanitarianism beyond the nation state: An analysis of i</w:t>
      </w:r>
      <w:r w:rsidR="00EB6BB9">
        <w:t xml:space="preserve">nternational criminal justice’ (2018) </w:t>
      </w:r>
      <w:r w:rsidRPr="004F2B93">
        <w:rPr>
          <w:i/>
        </w:rPr>
        <w:t>Theoretical Criminology</w:t>
      </w:r>
      <w:r>
        <w:t xml:space="preserve"> DOI: 10.1177/1362480618806917</w:t>
      </w:r>
      <w:r w:rsidR="00EB6BB9">
        <w:t>.</w:t>
      </w:r>
    </w:p>
  </w:footnote>
  <w:footnote w:id="84">
    <w:p w14:paraId="1624F681" w14:textId="05872EAF" w:rsidR="00CA1FED" w:rsidRPr="00E721EE" w:rsidRDefault="00CA1FED" w:rsidP="0003641A">
      <w:pPr>
        <w:spacing w:after="0" w:line="240" w:lineRule="auto"/>
        <w:rPr>
          <w:rFonts w:eastAsia="Times New Roman" w:cstheme="minorHAnsi"/>
          <w:sz w:val="20"/>
          <w:szCs w:val="20"/>
          <w:lang w:eastAsia="en-GB"/>
        </w:rPr>
      </w:pPr>
      <w:r w:rsidRPr="00E721EE">
        <w:rPr>
          <w:rStyle w:val="FootnoteReference"/>
          <w:rFonts w:cstheme="minorHAnsi"/>
          <w:sz w:val="20"/>
          <w:szCs w:val="20"/>
        </w:rPr>
        <w:footnoteRef/>
      </w:r>
      <w:r w:rsidRPr="00E721EE">
        <w:rPr>
          <w:rFonts w:cstheme="minorHAnsi"/>
          <w:sz w:val="20"/>
          <w:szCs w:val="20"/>
        </w:rPr>
        <w:t xml:space="preserve"> Blaustein</w:t>
      </w:r>
      <w:r>
        <w:rPr>
          <w:rFonts w:cstheme="minorHAnsi"/>
          <w:sz w:val="20"/>
          <w:szCs w:val="20"/>
        </w:rPr>
        <w:t xml:space="preserve">, op. cit. n. 31, </w:t>
      </w:r>
      <w:r w:rsidRPr="00E721EE">
        <w:rPr>
          <w:rFonts w:cstheme="minorHAnsi"/>
          <w:sz w:val="20"/>
          <w:szCs w:val="20"/>
        </w:rPr>
        <w:t>at</w:t>
      </w:r>
      <w:r>
        <w:rPr>
          <w:rFonts w:cstheme="minorHAnsi"/>
          <w:sz w:val="20"/>
          <w:szCs w:val="20"/>
        </w:rPr>
        <w:t xml:space="preserve"> </w:t>
      </w:r>
      <w:r w:rsidRPr="00E721EE">
        <w:rPr>
          <w:rFonts w:cstheme="minorHAnsi"/>
          <w:sz w:val="20"/>
          <w:szCs w:val="20"/>
        </w:rPr>
        <w:t>180</w:t>
      </w:r>
    </w:p>
  </w:footnote>
  <w:footnote w:id="85">
    <w:p w14:paraId="2311819D" w14:textId="33943140" w:rsidR="00CA1FED" w:rsidRDefault="00CA1FED" w:rsidP="0003641A">
      <w:pPr>
        <w:pStyle w:val="FootnoteText"/>
      </w:pPr>
      <w:r>
        <w:rPr>
          <w:rStyle w:val="FootnoteReference"/>
        </w:rPr>
        <w:footnoteRef/>
      </w:r>
      <w:r>
        <w:t xml:space="preserve"> Blaustein, id. at 181</w:t>
      </w:r>
    </w:p>
  </w:footnote>
  <w:footnote w:id="86">
    <w:p w14:paraId="71A63A33" w14:textId="5732438F" w:rsidR="00CA1FED" w:rsidRDefault="00CA1FED" w:rsidP="0003641A">
      <w:pPr>
        <w:pStyle w:val="FootnoteText"/>
      </w:pPr>
      <w:r>
        <w:rPr>
          <w:rStyle w:val="FootnoteReference"/>
        </w:rPr>
        <w:footnoteRef/>
      </w:r>
      <w:r>
        <w:t xml:space="preserve"> id.</w:t>
      </w:r>
    </w:p>
  </w:footnote>
  <w:footnote w:id="87">
    <w:p w14:paraId="1113B263" w14:textId="310B93C5" w:rsidR="00CA1FED" w:rsidRPr="00050432" w:rsidRDefault="00CA1FED" w:rsidP="0003641A">
      <w:pPr>
        <w:spacing w:after="0" w:line="240" w:lineRule="auto"/>
        <w:rPr>
          <w:rFonts w:cstheme="minorHAnsi"/>
        </w:rPr>
      </w:pPr>
      <w:r w:rsidRPr="00050432">
        <w:rPr>
          <w:rStyle w:val="FootnoteReference"/>
          <w:rFonts w:cstheme="minorHAnsi"/>
          <w:sz w:val="20"/>
          <w:szCs w:val="20"/>
        </w:rPr>
        <w:footnoteRef/>
      </w:r>
      <w:r w:rsidRPr="00050432">
        <w:rPr>
          <w:rFonts w:cstheme="minorHAnsi"/>
          <w:sz w:val="20"/>
          <w:szCs w:val="20"/>
        </w:rPr>
        <w:t xml:space="preserve"> </w:t>
      </w:r>
      <w:r w:rsidRPr="00F32BAB">
        <w:rPr>
          <w:rFonts w:cstheme="minorHAnsi"/>
          <w:sz w:val="20"/>
          <w:szCs w:val="20"/>
        </w:rPr>
        <w:t>Rose,</w:t>
      </w:r>
      <w:r>
        <w:rPr>
          <w:rFonts w:cstheme="minorHAnsi"/>
          <w:sz w:val="20"/>
          <w:szCs w:val="20"/>
        </w:rPr>
        <w:t xml:space="preserve"> op. cit., n. 9.</w:t>
      </w:r>
    </w:p>
  </w:footnote>
  <w:footnote w:id="88">
    <w:p w14:paraId="3BAF3D2F" w14:textId="56394AEB" w:rsidR="00CA1FED" w:rsidRPr="00F32BAB" w:rsidRDefault="00CA1FED" w:rsidP="0003641A">
      <w:pPr>
        <w:spacing w:after="0" w:line="240" w:lineRule="auto"/>
        <w:rPr>
          <w:rFonts w:cstheme="minorHAnsi"/>
          <w:lang w:val="en-US"/>
        </w:rPr>
      </w:pPr>
      <w:r w:rsidRPr="00050432">
        <w:rPr>
          <w:rStyle w:val="FootnoteReference"/>
          <w:rFonts w:cstheme="minorHAnsi"/>
          <w:sz w:val="20"/>
          <w:szCs w:val="20"/>
        </w:rPr>
        <w:footnoteRef/>
      </w:r>
      <w:r w:rsidRPr="00050432">
        <w:rPr>
          <w:rFonts w:cstheme="minorHAnsi"/>
          <w:sz w:val="20"/>
          <w:szCs w:val="20"/>
        </w:rPr>
        <w:t xml:space="preserve"> </w:t>
      </w:r>
      <w:r w:rsidRPr="00F32BAB">
        <w:rPr>
          <w:rFonts w:cstheme="minorHAnsi"/>
          <w:sz w:val="20"/>
          <w:szCs w:val="20"/>
        </w:rPr>
        <w:t xml:space="preserve">See </w:t>
      </w:r>
      <w:r>
        <w:rPr>
          <w:rFonts w:cstheme="minorHAnsi"/>
          <w:sz w:val="20"/>
          <w:szCs w:val="20"/>
        </w:rPr>
        <w:t xml:space="preserve">K. </w:t>
      </w:r>
      <w:r w:rsidRPr="00F32BAB">
        <w:rPr>
          <w:rFonts w:cstheme="minorHAnsi"/>
          <w:sz w:val="20"/>
          <w:szCs w:val="20"/>
          <w:lang w:val="en-US"/>
        </w:rPr>
        <w:t>Mossberger</w:t>
      </w:r>
      <w:r>
        <w:rPr>
          <w:rFonts w:cstheme="minorHAnsi"/>
          <w:sz w:val="20"/>
          <w:szCs w:val="20"/>
          <w:lang w:val="en-US"/>
        </w:rPr>
        <w:t xml:space="preserve"> </w:t>
      </w:r>
      <w:r w:rsidRPr="00F32BAB">
        <w:rPr>
          <w:rFonts w:cstheme="minorHAnsi"/>
          <w:sz w:val="20"/>
          <w:szCs w:val="20"/>
          <w:lang w:val="en-US"/>
        </w:rPr>
        <w:t xml:space="preserve">and </w:t>
      </w:r>
      <w:r>
        <w:rPr>
          <w:rFonts w:cstheme="minorHAnsi"/>
          <w:sz w:val="20"/>
          <w:szCs w:val="20"/>
          <w:lang w:val="en-US"/>
        </w:rPr>
        <w:t>H</w:t>
      </w:r>
      <w:r w:rsidR="00EB6BB9">
        <w:rPr>
          <w:rFonts w:cstheme="minorHAnsi"/>
          <w:sz w:val="20"/>
          <w:szCs w:val="20"/>
          <w:lang w:val="en-US"/>
        </w:rPr>
        <w:t>.</w:t>
      </w:r>
      <w:r>
        <w:rPr>
          <w:rFonts w:cstheme="minorHAnsi"/>
          <w:sz w:val="20"/>
          <w:szCs w:val="20"/>
          <w:lang w:val="en-US"/>
        </w:rPr>
        <w:t xml:space="preserve"> </w:t>
      </w:r>
      <w:r w:rsidRPr="00F32BAB">
        <w:rPr>
          <w:rFonts w:cstheme="minorHAnsi"/>
          <w:sz w:val="20"/>
          <w:szCs w:val="20"/>
          <w:lang w:val="en-US"/>
        </w:rPr>
        <w:t xml:space="preserve">Wolman, </w:t>
      </w:r>
      <w:r w:rsidR="00EB6BB9">
        <w:rPr>
          <w:rFonts w:cstheme="minorHAnsi"/>
          <w:sz w:val="20"/>
          <w:szCs w:val="20"/>
          <w:lang w:val="en-US"/>
        </w:rPr>
        <w:t>‘</w:t>
      </w:r>
      <w:r w:rsidRPr="00F32BAB">
        <w:rPr>
          <w:rFonts w:cstheme="minorHAnsi"/>
          <w:sz w:val="20"/>
          <w:szCs w:val="20"/>
          <w:lang w:val="en-US"/>
        </w:rPr>
        <w:t>Policy transfer as a form of prospective policy evaluation: Challenges and recommendations</w:t>
      </w:r>
      <w:r w:rsidR="00EB6BB9">
        <w:rPr>
          <w:rFonts w:cstheme="minorHAnsi"/>
          <w:sz w:val="20"/>
          <w:szCs w:val="20"/>
          <w:lang w:val="en-US"/>
        </w:rPr>
        <w:t xml:space="preserve">’ </w:t>
      </w:r>
      <w:r w:rsidR="00EB6BB9" w:rsidRPr="00F32BAB">
        <w:rPr>
          <w:rFonts w:cstheme="minorHAnsi"/>
          <w:sz w:val="20"/>
          <w:szCs w:val="20"/>
          <w:lang w:val="en-US"/>
        </w:rPr>
        <w:t>(2003)</w:t>
      </w:r>
      <w:r w:rsidR="00EB6BB9">
        <w:rPr>
          <w:rFonts w:cstheme="minorHAnsi"/>
          <w:sz w:val="20"/>
          <w:szCs w:val="20"/>
          <w:lang w:val="en-US"/>
        </w:rPr>
        <w:t xml:space="preserve"> 63</w:t>
      </w:r>
      <w:r w:rsidRPr="00F32BAB">
        <w:rPr>
          <w:rFonts w:cstheme="minorHAnsi"/>
          <w:sz w:val="20"/>
          <w:szCs w:val="20"/>
          <w:lang w:val="en-US"/>
        </w:rPr>
        <w:t xml:space="preserve"> </w:t>
      </w:r>
      <w:r w:rsidRPr="00F32BAB">
        <w:rPr>
          <w:rFonts w:cstheme="minorHAnsi"/>
          <w:i/>
          <w:sz w:val="20"/>
          <w:szCs w:val="20"/>
          <w:lang w:val="en-US"/>
        </w:rPr>
        <w:t xml:space="preserve">Public Administration Review </w:t>
      </w:r>
      <w:r w:rsidRPr="00F32BAB">
        <w:rPr>
          <w:rFonts w:cstheme="minorHAnsi"/>
          <w:sz w:val="20"/>
          <w:szCs w:val="20"/>
          <w:lang w:val="en-US"/>
        </w:rPr>
        <w:t>428</w:t>
      </w:r>
      <w:r w:rsidR="00EB6BB9">
        <w:rPr>
          <w:rFonts w:cstheme="minorHAnsi"/>
          <w:sz w:val="20"/>
          <w:szCs w:val="20"/>
          <w:lang w:val="en-US"/>
        </w:rPr>
        <w:t>.</w:t>
      </w:r>
    </w:p>
  </w:footnote>
  <w:footnote w:id="89">
    <w:p w14:paraId="4CCAF6E9" w14:textId="0D5C2E0E" w:rsidR="00CA1FED" w:rsidRPr="00C222F0" w:rsidRDefault="00CA1FED" w:rsidP="0003641A">
      <w:pPr>
        <w:pStyle w:val="FootnoteText"/>
        <w:rPr>
          <w:rFonts w:cstheme="minorHAnsi"/>
        </w:rPr>
      </w:pPr>
      <w:r w:rsidRPr="00C222F0">
        <w:rPr>
          <w:rStyle w:val="FootnoteReference"/>
          <w:rFonts w:cstheme="minorHAnsi"/>
        </w:rPr>
        <w:footnoteRef/>
      </w:r>
      <w:r w:rsidRPr="00C222F0">
        <w:rPr>
          <w:rFonts w:cstheme="minorHAnsi"/>
        </w:rPr>
        <w:t xml:space="preserve"> </w:t>
      </w:r>
      <w:r>
        <w:rPr>
          <w:rFonts w:cstheme="minorHAnsi"/>
        </w:rPr>
        <w:t xml:space="preserve">Something advocated by </w:t>
      </w:r>
      <w:r w:rsidRPr="00C222F0">
        <w:rPr>
          <w:rFonts w:cstheme="minorHAnsi"/>
        </w:rPr>
        <w:t xml:space="preserve">Braithwaite, </w:t>
      </w:r>
      <w:r>
        <w:rPr>
          <w:rFonts w:cstheme="minorHAnsi"/>
        </w:rPr>
        <w:t>op. cit</w:t>
      </w:r>
      <w:r w:rsidRPr="00C222F0">
        <w:rPr>
          <w:rFonts w:cstheme="minorHAnsi"/>
        </w:rPr>
        <w:t xml:space="preserve">., </w:t>
      </w:r>
      <w:r>
        <w:rPr>
          <w:rFonts w:cstheme="minorHAnsi"/>
        </w:rPr>
        <w:t>n. 78, at</w:t>
      </w:r>
      <w:r w:rsidRPr="00C222F0">
        <w:rPr>
          <w:rFonts w:cstheme="minorHAnsi"/>
        </w:rPr>
        <w:t xml:space="preserve"> 101.</w:t>
      </w:r>
    </w:p>
  </w:footnote>
  <w:footnote w:id="90">
    <w:p w14:paraId="216F2363" w14:textId="6C9F6663" w:rsidR="00CA1FED" w:rsidRDefault="00CA1FED" w:rsidP="0003641A">
      <w:pPr>
        <w:pStyle w:val="FootnoteText"/>
      </w:pPr>
      <w:r>
        <w:rPr>
          <w:rStyle w:val="FootnoteReference"/>
        </w:rPr>
        <w:footnoteRef/>
      </w:r>
      <w:r>
        <w:t xml:space="preserve"> Se</w:t>
      </w:r>
      <w:r w:rsidR="00EB6BB9">
        <w:t>e Mossberger and Walton, op. cit. n. 88.</w:t>
      </w:r>
    </w:p>
  </w:footnote>
  <w:footnote w:id="91">
    <w:p w14:paraId="3FAD3F2B" w14:textId="2D2C9EFB" w:rsidR="00CA1FED" w:rsidRDefault="00CA1FED" w:rsidP="0003641A">
      <w:pPr>
        <w:pStyle w:val="FootnoteText"/>
      </w:pPr>
      <w:r>
        <w:rPr>
          <w:rStyle w:val="FootnoteReference"/>
        </w:rPr>
        <w:footnoteRef/>
      </w:r>
      <w:r>
        <w:t xml:space="preserve"> See Mossberger and Walton, id., n. 88, at 437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1640"/>
    <w:multiLevelType w:val="hybridMultilevel"/>
    <w:tmpl w:val="310E5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D01DB"/>
    <w:multiLevelType w:val="hybridMultilevel"/>
    <w:tmpl w:val="A01256A6"/>
    <w:lvl w:ilvl="0" w:tplc="DBC00A4E">
      <w:start w:val="1"/>
      <w:numFmt w:val="decimal"/>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C758C"/>
    <w:multiLevelType w:val="hybridMultilevel"/>
    <w:tmpl w:val="F28455D6"/>
    <w:lvl w:ilvl="0" w:tplc="4E00A498">
      <w:start w:val="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A498B"/>
    <w:multiLevelType w:val="hybridMultilevel"/>
    <w:tmpl w:val="C0BC7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30032"/>
    <w:multiLevelType w:val="hybridMultilevel"/>
    <w:tmpl w:val="9B92C778"/>
    <w:lvl w:ilvl="0" w:tplc="43EAE082">
      <w:start w:val="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C10DC"/>
    <w:multiLevelType w:val="hybridMultilevel"/>
    <w:tmpl w:val="8FC2B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A4D67"/>
    <w:multiLevelType w:val="hybridMultilevel"/>
    <w:tmpl w:val="A81E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50897"/>
    <w:multiLevelType w:val="hybridMultilevel"/>
    <w:tmpl w:val="3A6218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52"/>
    <w:rsid w:val="00002BCC"/>
    <w:rsid w:val="00005ECF"/>
    <w:rsid w:val="0000711D"/>
    <w:rsid w:val="00020B73"/>
    <w:rsid w:val="000216CF"/>
    <w:rsid w:val="000325AA"/>
    <w:rsid w:val="00032A55"/>
    <w:rsid w:val="00032AF6"/>
    <w:rsid w:val="000346FD"/>
    <w:rsid w:val="0003641A"/>
    <w:rsid w:val="00036F88"/>
    <w:rsid w:val="00037436"/>
    <w:rsid w:val="00041BA7"/>
    <w:rsid w:val="0004414D"/>
    <w:rsid w:val="00050432"/>
    <w:rsid w:val="00053A20"/>
    <w:rsid w:val="00065DFF"/>
    <w:rsid w:val="00071CF3"/>
    <w:rsid w:val="0008520E"/>
    <w:rsid w:val="000967D1"/>
    <w:rsid w:val="000B233B"/>
    <w:rsid w:val="000B4D5A"/>
    <w:rsid w:val="000C064D"/>
    <w:rsid w:val="000D3429"/>
    <w:rsid w:val="000E2658"/>
    <w:rsid w:val="000F4346"/>
    <w:rsid w:val="001139A8"/>
    <w:rsid w:val="00113A62"/>
    <w:rsid w:val="0012475C"/>
    <w:rsid w:val="00131184"/>
    <w:rsid w:val="001339CE"/>
    <w:rsid w:val="00134409"/>
    <w:rsid w:val="00146CBB"/>
    <w:rsid w:val="00147436"/>
    <w:rsid w:val="00147CE8"/>
    <w:rsid w:val="001514F8"/>
    <w:rsid w:val="001540E9"/>
    <w:rsid w:val="001640D9"/>
    <w:rsid w:val="00165BDA"/>
    <w:rsid w:val="001672B1"/>
    <w:rsid w:val="00172BF0"/>
    <w:rsid w:val="00173E9C"/>
    <w:rsid w:val="001748AF"/>
    <w:rsid w:val="001779E6"/>
    <w:rsid w:val="00177AAC"/>
    <w:rsid w:val="00186839"/>
    <w:rsid w:val="001920D3"/>
    <w:rsid w:val="001A7428"/>
    <w:rsid w:val="001B6E99"/>
    <w:rsid w:val="001C116F"/>
    <w:rsid w:val="001E6F7E"/>
    <w:rsid w:val="001F5797"/>
    <w:rsid w:val="00213ED3"/>
    <w:rsid w:val="0021764C"/>
    <w:rsid w:val="00220232"/>
    <w:rsid w:val="00234069"/>
    <w:rsid w:val="002367D1"/>
    <w:rsid w:val="00243091"/>
    <w:rsid w:val="00243160"/>
    <w:rsid w:val="0024583D"/>
    <w:rsid w:val="002474C3"/>
    <w:rsid w:val="00261EE4"/>
    <w:rsid w:val="00276780"/>
    <w:rsid w:val="0027716B"/>
    <w:rsid w:val="0028082A"/>
    <w:rsid w:val="002A1367"/>
    <w:rsid w:val="002B264C"/>
    <w:rsid w:val="002B4B98"/>
    <w:rsid w:val="002C52B4"/>
    <w:rsid w:val="002C76E3"/>
    <w:rsid w:val="002C7C15"/>
    <w:rsid w:val="002D1872"/>
    <w:rsid w:val="002E524F"/>
    <w:rsid w:val="00302C7A"/>
    <w:rsid w:val="00321257"/>
    <w:rsid w:val="0032326F"/>
    <w:rsid w:val="00340CCF"/>
    <w:rsid w:val="00347E18"/>
    <w:rsid w:val="00355BF9"/>
    <w:rsid w:val="00361514"/>
    <w:rsid w:val="00361C49"/>
    <w:rsid w:val="00375B83"/>
    <w:rsid w:val="00382AD3"/>
    <w:rsid w:val="003836B9"/>
    <w:rsid w:val="00386A7D"/>
    <w:rsid w:val="003877E9"/>
    <w:rsid w:val="00393B53"/>
    <w:rsid w:val="003944E6"/>
    <w:rsid w:val="0039473F"/>
    <w:rsid w:val="003A35D4"/>
    <w:rsid w:val="003B7105"/>
    <w:rsid w:val="003B723C"/>
    <w:rsid w:val="003C1A30"/>
    <w:rsid w:val="003D0C52"/>
    <w:rsid w:val="003D417C"/>
    <w:rsid w:val="003D7B93"/>
    <w:rsid w:val="003E43F5"/>
    <w:rsid w:val="003F035E"/>
    <w:rsid w:val="003F463D"/>
    <w:rsid w:val="00410E66"/>
    <w:rsid w:val="00421C30"/>
    <w:rsid w:val="00425201"/>
    <w:rsid w:val="00431A7A"/>
    <w:rsid w:val="00431F7C"/>
    <w:rsid w:val="00440A1D"/>
    <w:rsid w:val="00447A4B"/>
    <w:rsid w:val="00452816"/>
    <w:rsid w:val="0045398F"/>
    <w:rsid w:val="00453DA1"/>
    <w:rsid w:val="00455FBF"/>
    <w:rsid w:val="00463334"/>
    <w:rsid w:val="00463FBA"/>
    <w:rsid w:val="004704F8"/>
    <w:rsid w:val="004706B8"/>
    <w:rsid w:val="00471B09"/>
    <w:rsid w:val="00472DD4"/>
    <w:rsid w:val="00490A11"/>
    <w:rsid w:val="00491718"/>
    <w:rsid w:val="004A50F9"/>
    <w:rsid w:val="004A6FC7"/>
    <w:rsid w:val="004B0A63"/>
    <w:rsid w:val="004B36D5"/>
    <w:rsid w:val="004B425E"/>
    <w:rsid w:val="004B619B"/>
    <w:rsid w:val="004C00F5"/>
    <w:rsid w:val="004C5A74"/>
    <w:rsid w:val="004D3930"/>
    <w:rsid w:val="004E3D2C"/>
    <w:rsid w:val="004F0D11"/>
    <w:rsid w:val="00500F07"/>
    <w:rsid w:val="00505A4E"/>
    <w:rsid w:val="00506AA7"/>
    <w:rsid w:val="005076AB"/>
    <w:rsid w:val="00510263"/>
    <w:rsid w:val="00526305"/>
    <w:rsid w:val="00530E65"/>
    <w:rsid w:val="00537BDF"/>
    <w:rsid w:val="00540300"/>
    <w:rsid w:val="005403A2"/>
    <w:rsid w:val="00560E40"/>
    <w:rsid w:val="005615C4"/>
    <w:rsid w:val="005752D2"/>
    <w:rsid w:val="00580A38"/>
    <w:rsid w:val="005822A3"/>
    <w:rsid w:val="005A002D"/>
    <w:rsid w:val="005A2571"/>
    <w:rsid w:val="005B4A15"/>
    <w:rsid w:val="005B682C"/>
    <w:rsid w:val="005D6CB7"/>
    <w:rsid w:val="005E170D"/>
    <w:rsid w:val="005E280A"/>
    <w:rsid w:val="005E62FA"/>
    <w:rsid w:val="005F6E34"/>
    <w:rsid w:val="005F6EB3"/>
    <w:rsid w:val="005F7AE5"/>
    <w:rsid w:val="00604B89"/>
    <w:rsid w:val="00630C21"/>
    <w:rsid w:val="00632EAD"/>
    <w:rsid w:val="006370A3"/>
    <w:rsid w:val="00647919"/>
    <w:rsid w:val="006576CD"/>
    <w:rsid w:val="00661BBD"/>
    <w:rsid w:val="00667B66"/>
    <w:rsid w:val="006714E3"/>
    <w:rsid w:val="00672E1E"/>
    <w:rsid w:val="00676C8F"/>
    <w:rsid w:val="006812EF"/>
    <w:rsid w:val="006847FA"/>
    <w:rsid w:val="0068533F"/>
    <w:rsid w:val="00685922"/>
    <w:rsid w:val="00693F20"/>
    <w:rsid w:val="00697752"/>
    <w:rsid w:val="00697E16"/>
    <w:rsid w:val="006A4C76"/>
    <w:rsid w:val="006B5CFB"/>
    <w:rsid w:val="006C6D76"/>
    <w:rsid w:val="006D6D58"/>
    <w:rsid w:val="006E2859"/>
    <w:rsid w:val="006F265E"/>
    <w:rsid w:val="0070036C"/>
    <w:rsid w:val="00717B93"/>
    <w:rsid w:val="00734EF9"/>
    <w:rsid w:val="007529D1"/>
    <w:rsid w:val="0076299C"/>
    <w:rsid w:val="007668A0"/>
    <w:rsid w:val="007878B3"/>
    <w:rsid w:val="007A0BC1"/>
    <w:rsid w:val="007A1A25"/>
    <w:rsid w:val="007B4052"/>
    <w:rsid w:val="007B6830"/>
    <w:rsid w:val="007C20C8"/>
    <w:rsid w:val="007D4129"/>
    <w:rsid w:val="007D60FE"/>
    <w:rsid w:val="007D63EE"/>
    <w:rsid w:val="007F1DA6"/>
    <w:rsid w:val="00800658"/>
    <w:rsid w:val="0081464A"/>
    <w:rsid w:val="00816ED8"/>
    <w:rsid w:val="00820822"/>
    <w:rsid w:val="00835239"/>
    <w:rsid w:val="00860058"/>
    <w:rsid w:val="00874075"/>
    <w:rsid w:val="00882CA7"/>
    <w:rsid w:val="008856C2"/>
    <w:rsid w:val="00895502"/>
    <w:rsid w:val="0089567E"/>
    <w:rsid w:val="00897AEA"/>
    <w:rsid w:val="008A4B93"/>
    <w:rsid w:val="008A684E"/>
    <w:rsid w:val="008A7159"/>
    <w:rsid w:val="008C011C"/>
    <w:rsid w:val="008D307A"/>
    <w:rsid w:val="008E10C5"/>
    <w:rsid w:val="008E4EBC"/>
    <w:rsid w:val="008E5294"/>
    <w:rsid w:val="008F24E0"/>
    <w:rsid w:val="008F62F8"/>
    <w:rsid w:val="00917183"/>
    <w:rsid w:val="0092696C"/>
    <w:rsid w:val="00931805"/>
    <w:rsid w:val="009332C8"/>
    <w:rsid w:val="00940986"/>
    <w:rsid w:val="00943DE6"/>
    <w:rsid w:val="00945356"/>
    <w:rsid w:val="00946EE7"/>
    <w:rsid w:val="00946FEB"/>
    <w:rsid w:val="0094716C"/>
    <w:rsid w:val="009473D2"/>
    <w:rsid w:val="009510D2"/>
    <w:rsid w:val="00960694"/>
    <w:rsid w:val="00980AF1"/>
    <w:rsid w:val="009810B8"/>
    <w:rsid w:val="00982518"/>
    <w:rsid w:val="009A01F2"/>
    <w:rsid w:val="009B1C2D"/>
    <w:rsid w:val="009B41F4"/>
    <w:rsid w:val="009B5580"/>
    <w:rsid w:val="009C0838"/>
    <w:rsid w:val="009C7DEF"/>
    <w:rsid w:val="009D2173"/>
    <w:rsid w:val="009D43A8"/>
    <w:rsid w:val="009D46D5"/>
    <w:rsid w:val="009D47B9"/>
    <w:rsid w:val="009E205A"/>
    <w:rsid w:val="009E3FF4"/>
    <w:rsid w:val="009E6F73"/>
    <w:rsid w:val="009E7722"/>
    <w:rsid w:val="009F0008"/>
    <w:rsid w:val="009F5355"/>
    <w:rsid w:val="009F75B9"/>
    <w:rsid w:val="00A03A1E"/>
    <w:rsid w:val="00A06C43"/>
    <w:rsid w:val="00A07013"/>
    <w:rsid w:val="00A13FB0"/>
    <w:rsid w:val="00A1556F"/>
    <w:rsid w:val="00A30CE7"/>
    <w:rsid w:val="00A335A8"/>
    <w:rsid w:val="00A44533"/>
    <w:rsid w:val="00A456EB"/>
    <w:rsid w:val="00A57FC1"/>
    <w:rsid w:val="00A62846"/>
    <w:rsid w:val="00A74B9A"/>
    <w:rsid w:val="00A855BB"/>
    <w:rsid w:val="00A874CF"/>
    <w:rsid w:val="00AC0586"/>
    <w:rsid w:val="00AC0DDB"/>
    <w:rsid w:val="00AC5C90"/>
    <w:rsid w:val="00AC7543"/>
    <w:rsid w:val="00AD495A"/>
    <w:rsid w:val="00AD735D"/>
    <w:rsid w:val="00AE0AE7"/>
    <w:rsid w:val="00AE3E4E"/>
    <w:rsid w:val="00B00DDA"/>
    <w:rsid w:val="00B06EDD"/>
    <w:rsid w:val="00B10867"/>
    <w:rsid w:val="00B13250"/>
    <w:rsid w:val="00B21243"/>
    <w:rsid w:val="00B3200C"/>
    <w:rsid w:val="00B332B2"/>
    <w:rsid w:val="00B61CBA"/>
    <w:rsid w:val="00B65333"/>
    <w:rsid w:val="00B75894"/>
    <w:rsid w:val="00B80D3C"/>
    <w:rsid w:val="00B8304E"/>
    <w:rsid w:val="00B86372"/>
    <w:rsid w:val="00B9582E"/>
    <w:rsid w:val="00B9722F"/>
    <w:rsid w:val="00BA4C7E"/>
    <w:rsid w:val="00BB3000"/>
    <w:rsid w:val="00BB6FD7"/>
    <w:rsid w:val="00BC0193"/>
    <w:rsid w:val="00BC21AE"/>
    <w:rsid w:val="00BC51AA"/>
    <w:rsid w:val="00BC6342"/>
    <w:rsid w:val="00BD6DB3"/>
    <w:rsid w:val="00BE1248"/>
    <w:rsid w:val="00BE152D"/>
    <w:rsid w:val="00BE1F99"/>
    <w:rsid w:val="00BE2CA7"/>
    <w:rsid w:val="00C05818"/>
    <w:rsid w:val="00C170C8"/>
    <w:rsid w:val="00C222F0"/>
    <w:rsid w:val="00C23A36"/>
    <w:rsid w:val="00C24E75"/>
    <w:rsid w:val="00C25E11"/>
    <w:rsid w:val="00C27035"/>
    <w:rsid w:val="00C27C58"/>
    <w:rsid w:val="00C32AF7"/>
    <w:rsid w:val="00C51B80"/>
    <w:rsid w:val="00C6272D"/>
    <w:rsid w:val="00C660F9"/>
    <w:rsid w:val="00C66B4E"/>
    <w:rsid w:val="00C82970"/>
    <w:rsid w:val="00C8703E"/>
    <w:rsid w:val="00CA1FED"/>
    <w:rsid w:val="00CA4764"/>
    <w:rsid w:val="00CA72FF"/>
    <w:rsid w:val="00CC43CA"/>
    <w:rsid w:val="00CC47B0"/>
    <w:rsid w:val="00CC7C30"/>
    <w:rsid w:val="00CD1EC2"/>
    <w:rsid w:val="00CE1CE7"/>
    <w:rsid w:val="00CE2B3F"/>
    <w:rsid w:val="00CE45AA"/>
    <w:rsid w:val="00CF0FAE"/>
    <w:rsid w:val="00CF37D2"/>
    <w:rsid w:val="00CF44E3"/>
    <w:rsid w:val="00CF4667"/>
    <w:rsid w:val="00CF6FC3"/>
    <w:rsid w:val="00D00692"/>
    <w:rsid w:val="00D106FB"/>
    <w:rsid w:val="00D1687D"/>
    <w:rsid w:val="00D17D02"/>
    <w:rsid w:val="00D23240"/>
    <w:rsid w:val="00D242B0"/>
    <w:rsid w:val="00D256D8"/>
    <w:rsid w:val="00D30E14"/>
    <w:rsid w:val="00D416BF"/>
    <w:rsid w:val="00D4555C"/>
    <w:rsid w:val="00D60088"/>
    <w:rsid w:val="00D64AAF"/>
    <w:rsid w:val="00D70037"/>
    <w:rsid w:val="00D72B8A"/>
    <w:rsid w:val="00D8116F"/>
    <w:rsid w:val="00D81B3B"/>
    <w:rsid w:val="00D84A62"/>
    <w:rsid w:val="00D86519"/>
    <w:rsid w:val="00D87A15"/>
    <w:rsid w:val="00D916BD"/>
    <w:rsid w:val="00DB7830"/>
    <w:rsid w:val="00DC0DBF"/>
    <w:rsid w:val="00DC3936"/>
    <w:rsid w:val="00DC3F65"/>
    <w:rsid w:val="00DC4084"/>
    <w:rsid w:val="00DE2159"/>
    <w:rsid w:val="00DE74B6"/>
    <w:rsid w:val="00DF445B"/>
    <w:rsid w:val="00E01272"/>
    <w:rsid w:val="00E04730"/>
    <w:rsid w:val="00E12009"/>
    <w:rsid w:val="00E159C5"/>
    <w:rsid w:val="00E16654"/>
    <w:rsid w:val="00E167A6"/>
    <w:rsid w:val="00E17C94"/>
    <w:rsid w:val="00E3121D"/>
    <w:rsid w:val="00E43E7B"/>
    <w:rsid w:val="00E45240"/>
    <w:rsid w:val="00E57BBD"/>
    <w:rsid w:val="00E57F7B"/>
    <w:rsid w:val="00E625F5"/>
    <w:rsid w:val="00E6333A"/>
    <w:rsid w:val="00E6766A"/>
    <w:rsid w:val="00E86158"/>
    <w:rsid w:val="00E8659D"/>
    <w:rsid w:val="00E929A4"/>
    <w:rsid w:val="00E93399"/>
    <w:rsid w:val="00E96460"/>
    <w:rsid w:val="00E96B2C"/>
    <w:rsid w:val="00EA5034"/>
    <w:rsid w:val="00EA79E8"/>
    <w:rsid w:val="00EA7D01"/>
    <w:rsid w:val="00EB6BB9"/>
    <w:rsid w:val="00EC0195"/>
    <w:rsid w:val="00EC748E"/>
    <w:rsid w:val="00ED18DC"/>
    <w:rsid w:val="00ED5239"/>
    <w:rsid w:val="00ED6B00"/>
    <w:rsid w:val="00EE273B"/>
    <w:rsid w:val="00EE2F1B"/>
    <w:rsid w:val="00EE5220"/>
    <w:rsid w:val="00EE70C0"/>
    <w:rsid w:val="00EF6A1E"/>
    <w:rsid w:val="00F02C21"/>
    <w:rsid w:val="00F04121"/>
    <w:rsid w:val="00F233B5"/>
    <w:rsid w:val="00F24CB7"/>
    <w:rsid w:val="00F30E5E"/>
    <w:rsid w:val="00F31306"/>
    <w:rsid w:val="00F32BAB"/>
    <w:rsid w:val="00F34BDA"/>
    <w:rsid w:val="00F353BB"/>
    <w:rsid w:val="00F4242A"/>
    <w:rsid w:val="00F42892"/>
    <w:rsid w:val="00F468CB"/>
    <w:rsid w:val="00F634CC"/>
    <w:rsid w:val="00F7070C"/>
    <w:rsid w:val="00F7208B"/>
    <w:rsid w:val="00F7720E"/>
    <w:rsid w:val="00F80329"/>
    <w:rsid w:val="00F86A1B"/>
    <w:rsid w:val="00F9583B"/>
    <w:rsid w:val="00F96076"/>
    <w:rsid w:val="00FA285D"/>
    <w:rsid w:val="00FA751E"/>
    <w:rsid w:val="00FB2F83"/>
    <w:rsid w:val="00FB3ACB"/>
    <w:rsid w:val="00FB6999"/>
    <w:rsid w:val="00FC2A8B"/>
    <w:rsid w:val="00FD26C6"/>
    <w:rsid w:val="00FD62EE"/>
    <w:rsid w:val="00FD72F5"/>
    <w:rsid w:val="00FF6A1B"/>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2F4A"/>
  <w15:chartTrackingRefBased/>
  <w15:docId w15:val="{9B57AF8C-AE30-45CE-A54B-1603D6B1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4052"/>
    <w:rPr>
      <w:rFonts w:eastAsiaTheme="minorEastAsia"/>
      <w:sz w:val="24"/>
      <w:szCs w:val="24"/>
      <w:lang w:eastAsia="zh-CN"/>
    </w:rPr>
  </w:style>
  <w:style w:type="paragraph" w:styleId="Heading1">
    <w:name w:val="heading 1"/>
    <w:basedOn w:val="Normal"/>
    <w:next w:val="Normal"/>
    <w:link w:val="Heading1Char"/>
    <w:uiPriority w:val="9"/>
    <w:qFormat/>
    <w:rsid w:val="00CF4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43C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2B2"/>
    <w:rPr>
      <w:rFonts w:eastAsiaTheme="minorEastAsia"/>
      <w:sz w:val="20"/>
      <w:szCs w:val="20"/>
      <w:lang w:eastAsia="zh-CN"/>
    </w:rPr>
  </w:style>
  <w:style w:type="character" w:styleId="FootnoteReference">
    <w:name w:val="footnote reference"/>
    <w:basedOn w:val="DefaultParagraphFont"/>
    <w:uiPriority w:val="99"/>
    <w:semiHidden/>
    <w:unhideWhenUsed/>
    <w:rsid w:val="00B332B2"/>
    <w:rPr>
      <w:vertAlign w:val="superscript"/>
    </w:rPr>
  </w:style>
  <w:style w:type="paragraph" w:styleId="ListParagraph">
    <w:name w:val="List Paragraph"/>
    <w:basedOn w:val="Normal"/>
    <w:uiPriority w:val="34"/>
    <w:qFormat/>
    <w:rsid w:val="008C011C"/>
    <w:pPr>
      <w:ind w:left="720"/>
      <w:contextualSpacing/>
    </w:pPr>
  </w:style>
  <w:style w:type="paragraph" w:styleId="CommentText">
    <w:name w:val="annotation text"/>
    <w:basedOn w:val="Normal"/>
    <w:link w:val="CommentTextChar"/>
    <w:uiPriority w:val="99"/>
    <w:semiHidden/>
    <w:unhideWhenUsed/>
    <w:rsid w:val="00DF445B"/>
    <w:pPr>
      <w:spacing w:line="240" w:lineRule="auto"/>
    </w:pPr>
    <w:rPr>
      <w:sz w:val="20"/>
      <w:szCs w:val="20"/>
    </w:rPr>
  </w:style>
  <w:style w:type="character" w:customStyle="1" w:styleId="CommentTextChar">
    <w:name w:val="Comment Text Char"/>
    <w:basedOn w:val="DefaultParagraphFont"/>
    <w:link w:val="CommentText"/>
    <w:uiPriority w:val="99"/>
    <w:semiHidden/>
    <w:rsid w:val="00DF445B"/>
    <w:rPr>
      <w:rFonts w:eastAsiaTheme="minorEastAsia"/>
      <w:sz w:val="20"/>
      <w:szCs w:val="20"/>
      <w:lang w:eastAsia="zh-CN"/>
    </w:rPr>
  </w:style>
  <w:style w:type="character" w:styleId="CommentReference">
    <w:name w:val="annotation reference"/>
    <w:basedOn w:val="DefaultParagraphFont"/>
    <w:uiPriority w:val="99"/>
    <w:semiHidden/>
    <w:unhideWhenUsed/>
    <w:rsid w:val="00DF445B"/>
    <w:rPr>
      <w:sz w:val="18"/>
      <w:szCs w:val="18"/>
    </w:rPr>
  </w:style>
  <w:style w:type="paragraph" w:styleId="BalloonText">
    <w:name w:val="Balloon Text"/>
    <w:basedOn w:val="Normal"/>
    <w:link w:val="BalloonTextChar"/>
    <w:uiPriority w:val="99"/>
    <w:semiHidden/>
    <w:unhideWhenUsed/>
    <w:rsid w:val="00DF4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45B"/>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CF4667"/>
    <w:rPr>
      <w:rFonts w:asciiTheme="majorHAnsi" w:eastAsiaTheme="majorEastAsia" w:hAnsiTheme="majorHAnsi" w:cstheme="majorBidi"/>
      <w:color w:val="2F5496" w:themeColor="accent1" w:themeShade="BF"/>
      <w:sz w:val="32"/>
      <w:szCs w:val="32"/>
      <w:lang w:eastAsia="zh-CN"/>
    </w:rPr>
  </w:style>
  <w:style w:type="paragraph" w:styleId="EndnoteText">
    <w:name w:val="endnote text"/>
    <w:basedOn w:val="Normal"/>
    <w:link w:val="EndnoteTextChar"/>
    <w:uiPriority w:val="99"/>
    <w:semiHidden/>
    <w:unhideWhenUsed/>
    <w:rsid w:val="00BA4C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4C7E"/>
    <w:rPr>
      <w:rFonts w:eastAsiaTheme="minorEastAsia"/>
      <w:sz w:val="20"/>
      <w:szCs w:val="20"/>
      <w:lang w:eastAsia="zh-CN"/>
    </w:rPr>
  </w:style>
  <w:style w:type="character" w:styleId="EndnoteReference">
    <w:name w:val="endnote reference"/>
    <w:basedOn w:val="DefaultParagraphFont"/>
    <w:uiPriority w:val="99"/>
    <w:semiHidden/>
    <w:unhideWhenUsed/>
    <w:rsid w:val="00BA4C7E"/>
    <w:rPr>
      <w:vertAlign w:val="superscript"/>
    </w:rPr>
  </w:style>
  <w:style w:type="paragraph" w:customStyle="1" w:styleId="textbox">
    <w:name w:val="textbox"/>
    <w:basedOn w:val="Normal"/>
    <w:rsid w:val="002C7C15"/>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8A7159"/>
    <w:rPr>
      <w:b/>
      <w:bCs/>
    </w:rPr>
  </w:style>
  <w:style w:type="character" w:customStyle="1" w:styleId="CommentSubjectChar">
    <w:name w:val="Comment Subject Char"/>
    <w:basedOn w:val="CommentTextChar"/>
    <w:link w:val="CommentSubject"/>
    <w:uiPriority w:val="99"/>
    <w:semiHidden/>
    <w:rsid w:val="008A7159"/>
    <w:rPr>
      <w:rFonts w:eastAsiaTheme="minorEastAsia"/>
      <w:b/>
      <w:bCs/>
      <w:sz w:val="20"/>
      <w:szCs w:val="20"/>
      <w:lang w:eastAsia="zh-CN"/>
    </w:rPr>
  </w:style>
  <w:style w:type="paragraph" w:customStyle="1" w:styleId="xmsonormal">
    <w:name w:val="x_msonormal"/>
    <w:basedOn w:val="Normal"/>
    <w:rsid w:val="00CC43CA"/>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apple-converted-space">
    <w:name w:val="apple-converted-space"/>
    <w:basedOn w:val="DefaultParagraphFont"/>
    <w:rsid w:val="00CC43CA"/>
  </w:style>
  <w:style w:type="character" w:customStyle="1" w:styleId="Heading3Char">
    <w:name w:val="Heading 3 Char"/>
    <w:basedOn w:val="DefaultParagraphFont"/>
    <w:link w:val="Heading3"/>
    <w:uiPriority w:val="9"/>
    <w:semiHidden/>
    <w:rsid w:val="00CC43CA"/>
    <w:rPr>
      <w:rFonts w:asciiTheme="majorHAnsi" w:eastAsiaTheme="majorEastAsia" w:hAnsiTheme="majorHAnsi" w:cstheme="majorBidi"/>
      <w:color w:val="1F3763" w:themeColor="accent1" w:themeShade="7F"/>
      <w:sz w:val="24"/>
      <w:szCs w:val="24"/>
      <w:lang w:eastAsia="zh-CN"/>
    </w:rPr>
  </w:style>
  <w:style w:type="character" w:styleId="Hyperlink">
    <w:name w:val="Hyperlink"/>
    <w:basedOn w:val="DefaultParagraphFont"/>
    <w:uiPriority w:val="99"/>
    <w:unhideWhenUsed/>
    <w:rsid w:val="00CC43CA"/>
    <w:rPr>
      <w:color w:val="0563C1" w:themeColor="hyperlink"/>
      <w:u w:val="single"/>
    </w:rPr>
  </w:style>
  <w:style w:type="character" w:customStyle="1" w:styleId="UnresolvedMention1">
    <w:name w:val="Unresolved Mention1"/>
    <w:basedOn w:val="DefaultParagraphFont"/>
    <w:uiPriority w:val="99"/>
    <w:semiHidden/>
    <w:unhideWhenUsed/>
    <w:rsid w:val="0004414D"/>
    <w:rPr>
      <w:color w:val="605E5C"/>
      <w:shd w:val="clear" w:color="auto" w:fill="E1DFDD"/>
    </w:rPr>
  </w:style>
  <w:style w:type="paragraph" w:styleId="Revision">
    <w:name w:val="Revision"/>
    <w:hidden/>
    <w:uiPriority w:val="99"/>
    <w:semiHidden/>
    <w:rsid w:val="0012475C"/>
    <w:pPr>
      <w:spacing w:after="0" w:line="240" w:lineRule="auto"/>
    </w:pPr>
    <w:rPr>
      <w:rFonts w:eastAsiaTheme="minorEastAsia"/>
      <w:sz w:val="24"/>
      <w:szCs w:val="24"/>
      <w:lang w:eastAsia="zh-CN"/>
    </w:rPr>
  </w:style>
  <w:style w:type="character" w:customStyle="1" w:styleId="UnresolvedMention2">
    <w:name w:val="Unresolved Mention2"/>
    <w:basedOn w:val="DefaultParagraphFont"/>
    <w:uiPriority w:val="99"/>
    <w:semiHidden/>
    <w:unhideWhenUsed/>
    <w:rsid w:val="00FB6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2636">
      <w:bodyDiv w:val="1"/>
      <w:marLeft w:val="0"/>
      <w:marRight w:val="0"/>
      <w:marTop w:val="0"/>
      <w:marBottom w:val="0"/>
      <w:divBdr>
        <w:top w:val="none" w:sz="0" w:space="0" w:color="auto"/>
        <w:left w:val="none" w:sz="0" w:space="0" w:color="auto"/>
        <w:bottom w:val="none" w:sz="0" w:space="0" w:color="auto"/>
        <w:right w:val="none" w:sz="0" w:space="0" w:color="auto"/>
      </w:divBdr>
    </w:div>
    <w:div w:id="183446290">
      <w:bodyDiv w:val="1"/>
      <w:marLeft w:val="0"/>
      <w:marRight w:val="0"/>
      <w:marTop w:val="0"/>
      <w:marBottom w:val="0"/>
      <w:divBdr>
        <w:top w:val="none" w:sz="0" w:space="0" w:color="auto"/>
        <w:left w:val="none" w:sz="0" w:space="0" w:color="auto"/>
        <w:bottom w:val="none" w:sz="0" w:space="0" w:color="auto"/>
        <w:right w:val="none" w:sz="0" w:space="0" w:color="auto"/>
      </w:divBdr>
      <w:divsChild>
        <w:div w:id="400254267">
          <w:marLeft w:val="0"/>
          <w:marRight w:val="0"/>
          <w:marTop w:val="300"/>
          <w:marBottom w:val="0"/>
          <w:divBdr>
            <w:top w:val="none" w:sz="0" w:space="0" w:color="auto"/>
            <w:left w:val="none" w:sz="0" w:space="0" w:color="auto"/>
            <w:bottom w:val="none" w:sz="0" w:space="0" w:color="auto"/>
            <w:right w:val="none" w:sz="0" w:space="0" w:color="auto"/>
          </w:divBdr>
        </w:div>
        <w:div w:id="1738438697">
          <w:marLeft w:val="0"/>
          <w:marRight w:val="0"/>
          <w:marTop w:val="225"/>
          <w:marBottom w:val="225"/>
          <w:divBdr>
            <w:top w:val="none" w:sz="0" w:space="0" w:color="auto"/>
            <w:left w:val="none" w:sz="0" w:space="0" w:color="auto"/>
            <w:bottom w:val="none" w:sz="0" w:space="0" w:color="auto"/>
            <w:right w:val="none" w:sz="0" w:space="0" w:color="auto"/>
          </w:divBdr>
          <w:divsChild>
            <w:div w:id="9723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0619">
      <w:bodyDiv w:val="1"/>
      <w:marLeft w:val="0"/>
      <w:marRight w:val="0"/>
      <w:marTop w:val="0"/>
      <w:marBottom w:val="0"/>
      <w:divBdr>
        <w:top w:val="none" w:sz="0" w:space="0" w:color="auto"/>
        <w:left w:val="none" w:sz="0" w:space="0" w:color="auto"/>
        <w:bottom w:val="none" w:sz="0" w:space="0" w:color="auto"/>
        <w:right w:val="none" w:sz="0" w:space="0" w:color="auto"/>
      </w:divBdr>
    </w:div>
    <w:div w:id="890113071">
      <w:bodyDiv w:val="1"/>
      <w:marLeft w:val="0"/>
      <w:marRight w:val="0"/>
      <w:marTop w:val="0"/>
      <w:marBottom w:val="0"/>
      <w:divBdr>
        <w:top w:val="none" w:sz="0" w:space="0" w:color="auto"/>
        <w:left w:val="none" w:sz="0" w:space="0" w:color="auto"/>
        <w:bottom w:val="none" w:sz="0" w:space="0" w:color="auto"/>
        <w:right w:val="none" w:sz="0" w:space="0" w:color="auto"/>
      </w:divBdr>
    </w:div>
    <w:div w:id="964386995">
      <w:bodyDiv w:val="1"/>
      <w:marLeft w:val="0"/>
      <w:marRight w:val="0"/>
      <w:marTop w:val="0"/>
      <w:marBottom w:val="0"/>
      <w:divBdr>
        <w:top w:val="none" w:sz="0" w:space="0" w:color="auto"/>
        <w:left w:val="none" w:sz="0" w:space="0" w:color="auto"/>
        <w:bottom w:val="none" w:sz="0" w:space="0" w:color="auto"/>
        <w:right w:val="none" w:sz="0" w:space="0" w:color="auto"/>
      </w:divBdr>
    </w:div>
    <w:div w:id="1016424036">
      <w:bodyDiv w:val="1"/>
      <w:marLeft w:val="0"/>
      <w:marRight w:val="0"/>
      <w:marTop w:val="0"/>
      <w:marBottom w:val="0"/>
      <w:divBdr>
        <w:top w:val="none" w:sz="0" w:space="0" w:color="auto"/>
        <w:left w:val="none" w:sz="0" w:space="0" w:color="auto"/>
        <w:bottom w:val="none" w:sz="0" w:space="0" w:color="auto"/>
        <w:right w:val="none" w:sz="0" w:space="0" w:color="auto"/>
      </w:divBdr>
    </w:div>
    <w:div w:id="1361972667">
      <w:bodyDiv w:val="1"/>
      <w:marLeft w:val="0"/>
      <w:marRight w:val="0"/>
      <w:marTop w:val="0"/>
      <w:marBottom w:val="0"/>
      <w:divBdr>
        <w:top w:val="none" w:sz="0" w:space="0" w:color="auto"/>
        <w:left w:val="none" w:sz="0" w:space="0" w:color="auto"/>
        <w:bottom w:val="none" w:sz="0" w:space="0" w:color="auto"/>
        <w:right w:val="none" w:sz="0" w:space="0" w:color="auto"/>
      </w:divBdr>
    </w:div>
    <w:div w:id="1528760530">
      <w:bodyDiv w:val="1"/>
      <w:marLeft w:val="0"/>
      <w:marRight w:val="0"/>
      <w:marTop w:val="0"/>
      <w:marBottom w:val="0"/>
      <w:divBdr>
        <w:top w:val="none" w:sz="0" w:space="0" w:color="auto"/>
        <w:left w:val="none" w:sz="0" w:space="0" w:color="auto"/>
        <w:bottom w:val="none" w:sz="0" w:space="0" w:color="auto"/>
        <w:right w:val="none" w:sz="0" w:space="0" w:color="auto"/>
      </w:divBdr>
    </w:div>
    <w:div w:id="1606839829">
      <w:bodyDiv w:val="1"/>
      <w:marLeft w:val="0"/>
      <w:marRight w:val="0"/>
      <w:marTop w:val="0"/>
      <w:marBottom w:val="0"/>
      <w:divBdr>
        <w:top w:val="none" w:sz="0" w:space="0" w:color="auto"/>
        <w:left w:val="none" w:sz="0" w:space="0" w:color="auto"/>
        <w:bottom w:val="none" w:sz="0" w:space="0" w:color="auto"/>
        <w:right w:val="none" w:sz="0" w:space="0" w:color="auto"/>
      </w:divBdr>
    </w:div>
    <w:div w:id="1745254610">
      <w:bodyDiv w:val="1"/>
      <w:marLeft w:val="0"/>
      <w:marRight w:val="0"/>
      <w:marTop w:val="0"/>
      <w:marBottom w:val="0"/>
      <w:divBdr>
        <w:top w:val="none" w:sz="0" w:space="0" w:color="auto"/>
        <w:left w:val="none" w:sz="0" w:space="0" w:color="auto"/>
        <w:bottom w:val="none" w:sz="0" w:space="0" w:color="auto"/>
        <w:right w:val="none" w:sz="0" w:space="0" w:color="auto"/>
      </w:divBdr>
    </w:div>
    <w:div w:id="1981684833">
      <w:bodyDiv w:val="1"/>
      <w:marLeft w:val="0"/>
      <w:marRight w:val="0"/>
      <w:marTop w:val="0"/>
      <w:marBottom w:val="0"/>
      <w:divBdr>
        <w:top w:val="none" w:sz="0" w:space="0" w:color="auto"/>
        <w:left w:val="none" w:sz="0" w:space="0" w:color="auto"/>
        <w:bottom w:val="none" w:sz="0" w:space="0" w:color="auto"/>
        <w:right w:val="none" w:sz="0" w:space="0" w:color="auto"/>
      </w:divBdr>
      <w:divsChild>
        <w:div w:id="715201853">
          <w:marLeft w:val="0"/>
          <w:marRight w:val="0"/>
          <w:marTop w:val="300"/>
          <w:marBottom w:val="0"/>
          <w:divBdr>
            <w:top w:val="none" w:sz="0" w:space="0" w:color="auto"/>
            <w:left w:val="none" w:sz="0" w:space="0" w:color="auto"/>
            <w:bottom w:val="none" w:sz="0" w:space="0" w:color="auto"/>
            <w:right w:val="none" w:sz="0" w:space="0" w:color="auto"/>
          </w:divBdr>
        </w:div>
        <w:div w:id="579295466">
          <w:marLeft w:val="0"/>
          <w:marRight w:val="0"/>
          <w:marTop w:val="225"/>
          <w:marBottom w:val="225"/>
          <w:divBdr>
            <w:top w:val="none" w:sz="0" w:space="0" w:color="auto"/>
            <w:left w:val="none" w:sz="0" w:space="0" w:color="auto"/>
            <w:bottom w:val="none" w:sz="0" w:space="0" w:color="auto"/>
            <w:right w:val="none" w:sz="0" w:space="0" w:color="auto"/>
          </w:divBdr>
          <w:divsChild>
            <w:div w:id="1256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ondon.gov.uk/press-releases/mayoral/new-public-health-approach-to-tackling-violence" TargetMode="External"/><Relationship Id="rId1" Type="http://schemas.openxmlformats.org/officeDocument/2006/relationships/hyperlink" Target="mailto:jonesTD2@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2C247-AC06-8D44-9889-94AC11F8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6628</Words>
  <Characters>37785</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Jones</dc:creator>
  <cp:keywords/>
  <dc:description/>
  <cp:lastModifiedBy>Newburn,T</cp:lastModifiedBy>
  <cp:revision>2</cp:revision>
  <dcterms:created xsi:type="dcterms:W3CDTF">2019-09-11T13:43:00Z</dcterms:created>
  <dcterms:modified xsi:type="dcterms:W3CDTF">2019-09-11T13:43:00Z</dcterms:modified>
</cp:coreProperties>
</file>