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BD3C3" w14:textId="0871EDE3" w:rsidR="00FB3D6C" w:rsidRPr="00E724B5" w:rsidRDefault="006E2D2A" w:rsidP="001049CF">
      <w:pPr>
        <w:spacing w:line="360" w:lineRule="auto"/>
        <w:rPr>
          <w:rFonts w:ascii="Garamond" w:hAnsi="Garamond"/>
          <w:b/>
          <w:sz w:val="22"/>
          <w:szCs w:val="22"/>
          <w:u w:val="single"/>
        </w:rPr>
      </w:pPr>
      <w:bookmarkStart w:id="0" w:name="_GoBack"/>
      <w:bookmarkEnd w:id="0"/>
      <w:r>
        <w:rPr>
          <w:rFonts w:ascii="Garamond" w:hAnsi="Garamond"/>
          <w:b/>
          <w:sz w:val="22"/>
          <w:szCs w:val="22"/>
          <w:u w:val="single"/>
        </w:rPr>
        <w:t>The implications of h</w:t>
      </w:r>
      <w:r w:rsidRPr="00E724B5">
        <w:rPr>
          <w:rFonts w:ascii="Garamond" w:hAnsi="Garamond"/>
          <w:b/>
          <w:sz w:val="22"/>
          <w:szCs w:val="22"/>
          <w:u w:val="single"/>
        </w:rPr>
        <w:t xml:space="preserve">igh </w:t>
      </w:r>
      <w:r w:rsidR="000233A6">
        <w:rPr>
          <w:rFonts w:ascii="Garamond" w:hAnsi="Garamond"/>
          <w:b/>
          <w:sz w:val="22"/>
          <w:szCs w:val="22"/>
          <w:u w:val="single"/>
        </w:rPr>
        <w:t>bed occupancy rates on readmission rates in England</w:t>
      </w:r>
      <w:r w:rsidR="00D17674">
        <w:rPr>
          <w:rFonts w:ascii="Garamond" w:hAnsi="Garamond"/>
          <w:b/>
          <w:sz w:val="22"/>
          <w:szCs w:val="22"/>
          <w:u w:val="single"/>
        </w:rPr>
        <w:t>:</w:t>
      </w:r>
      <w:r w:rsidR="000233A6">
        <w:rPr>
          <w:rFonts w:ascii="Garamond" w:hAnsi="Garamond"/>
          <w:b/>
          <w:sz w:val="22"/>
          <w:szCs w:val="22"/>
          <w:u w:val="single"/>
        </w:rPr>
        <w:t xml:space="preserve"> </w:t>
      </w:r>
      <w:r w:rsidR="00D17674">
        <w:rPr>
          <w:rFonts w:ascii="Garamond" w:hAnsi="Garamond"/>
          <w:b/>
          <w:sz w:val="22"/>
          <w:szCs w:val="22"/>
          <w:u w:val="single"/>
        </w:rPr>
        <w:t>A</w:t>
      </w:r>
      <w:r w:rsidR="000233A6">
        <w:rPr>
          <w:rFonts w:ascii="Garamond" w:hAnsi="Garamond"/>
          <w:b/>
          <w:sz w:val="22"/>
          <w:szCs w:val="22"/>
          <w:u w:val="single"/>
        </w:rPr>
        <w:t xml:space="preserve"> long</w:t>
      </w:r>
      <w:r w:rsidR="00D17674">
        <w:rPr>
          <w:rFonts w:ascii="Garamond" w:hAnsi="Garamond"/>
          <w:b/>
          <w:sz w:val="22"/>
          <w:szCs w:val="22"/>
          <w:u w:val="single"/>
        </w:rPr>
        <w:t>i</w:t>
      </w:r>
      <w:r w:rsidR="000233A6">
        <w:rPr>
          <w:rFonts w:ascii="Garamond" w:hAnsi="Garamond"/>
          <w:b/>
          <w:sz w:val="22"/>
          <w:szCs w:val="22"/>
          <w:u w:val="single"/>
        </w:rPr>
        <w:t xml:space="preserve">tudinal study </w:t>
      </w:r>
    </w:p>
    <w:p w14:paraId="35545714" w14:textId="77777777" w:rsidR="00FB3D6C" w:rsidRPr="00E724B5" w:rsidRDefault="00FB3D6C" w:rsidP="00BB0DB8">
      <w:pPr>
        <w:spacing w:line="360" w:lineRule="auto"/>
        <w:rPr>
          <w:rFonts w:ascii="Garamond" w:hAnsi="Garamond"/>
          <w:sz w:val="22"/>
          <w:szCs w:val="22"/>
        </w:rPr>
      </w:pPr>
    </w:p>
    <w:p w14:paraId="5E90C391" w14:textId="7FC36513" w:rsidR="00CC69C7" w:rsidRPr="00E724B5" w:rsidRDefault="00CC69C7" w:rsidP="0036336A">
      <w:pPr>
        <w:outlineLvl w:val="0"/>
        <w:rPr>
          <w:rFonts w:ascii="Garamond" w:hAnsi="Garamond"/>
          <w:b/>
          <w:sz w:val="22"/>
          <w:szCs w:val="22"/>
        </w:rPr>
      </w:pPr>
      <w:r w:rsidRPr="00E724B5">
        <w:rPr>
          <w:rFonts w:ascii="Garamond" w:hAnsi="Garamond"/>
          <w:b/>
          <w:sz w:val="22"/>
          <w:szCs w:val="22"/>
        </w:rPr>
        <w:t>ABSTRACT</w:t>
      </w:r>
      <w:r w:rsidR="00A815A6">
        <w:rPr>
          <w:rFonts w:ascii="Garamond" w:hAnsi="Garamond"/>
          <w:b/>
          <w:sz w:val="22"/>
          <w:szCs w:val="22"/>
        </w:rPr>
        <w:t xml:space="preserve"> </w:t>
      </w:r>
    </w:p>
    <w:p w14:paraId="72AB7CF8" w14:textId="77777777" w:rsidR="00CC69C7" w:rsidRPr="00E724B5" w:rsidRDefault="00CC69C7" w:rsidP="00E42878">
      <w:pPr>
        <w:jc w:val="right"/>
        <w:rPr>
          <w:rFonts w:ascii="Garamond" w:hAnsi="Garamond"/>
          <w:b/>
          <w:sz w:val="22"/>
          <w:szCs w:val="22"/>
        </w:rPr>
      </w:pPr>
    </w:p>
    <w:p w14:paraId="0FB202DE" w14:textId="0ED3DC7A" w:rsidR="00F10AF8" w:rsidRDefault="00F63034" w:rsidP="00752790">
      <w:pPr>
        <w:rPr>
          <w:rFonts w:ascii="Garamond" w:hAnsi="Garamond"/>
          <w:sz w:val="22"/>
          <w:szCs w:val="22"/>
        </w:rPr>
      </w:pPr>
      <w:r>
        <w:rPr>
          <w:rFonts w:ascii="Garamond" w:hAnsi="Garamond"/>
          <w:sz w:val="22"/>
          <w:szCs w:val="22"/>
        </w:rPr>
        <w:t xml:space="preserve">Hospital bed occupancy rates in the English National Health Service have risen to levels considered clinically </w:t>
      </w:r>
      <w:r w:rsidR="00A57013">
        <w:rPr>
          <w:rFonts w:ascii="Garamond" w:hAnsi="Garamond"/>
          <w:sz w:val="22"/>
          <w:szCs w:val="22"/>
        </w:rPr>
        <w:t>un</w:t>
      </w:r>
      <w:r>
        <w:rPr>
          <w:rFonts w:ascii="Garamond" w:hAnsi="Garamond"/>
          <w:sz w:val="22"/>
          <w:szCs w:val="22"/>
        </w:rPr>
        <w:t xml:space="preserve">safe. </w:t>
      </w:r>
      <w:r w:rsidR="004A5560">
        <w:rPr>
          <w:rFonts w:ascii="Garamond" w:hAnsi="Garamond"/>
          <w:sz w:val="22"/>
          <w:szCs w:val="22"/>
        </w:rPr>
        <w:t xml:space="preserve">This </w:t>
      </w:r>
      <w:r w:rsidR="0030757C">
        <w:rPr>
          <w:rFonts w:ascii="Garamond" w:hAnsi="Garamond"/>
          <w:sz w:val="22"/>
          <w:szCs w:val="22"/>
        </w:rPr>
        <w:t xml:space="preserve">study </w:t>
      </w:r>
      <w:r w:rsidR="00A57013">
        <w:rPr>
          <w:rFonts w:ascii="Garamond" w:hAnsi="Garamond"/>
          <w:sz w:val="22"/>
          <w:szCs w:val="22"/>
        </w:rPr>
        <w:t>assesses</w:t>
      </w:r>
      <w:r w:rsidR="004A5560">
        <w:rPr>
          <w:rFonts w:ascii="Garamond" w:hAnsi="Garamond"/>
          <w:sz w:val="22"/>
          <w:szCs w:val="22"/>
        </w:rPr>
        <w:t xml:space="preserve"> </w:t>
      </w:r>
      <w:r w:rsidR="00A57013">
        <w:rPr>
          <w:rFonts w:ascii="Garamond" w:hAnsi="Garamond"/>
          <w:sz w:val="22"/>
          <w:szCs w:val="22"/>
        </w:rPr>
        <w:t>the association of</w:t>
      </w:r>
      <w:r w:rsidR="00F10AF8" w:rsidRPr="00E724B5">
        <w:rPr>
          <w:rFonts w:ascii="Garamond" w:hAnsi="Garamond"/>
          <w:sz w:val="22"/>
          <w:szCs w:val="22"/>
        </w:rPr>
        <w:t xml:space="preserve"> in</w:t>
      </w:r>
      <w:r w:rsidR="00A57013">
        <w:rPr>
          <w:rFonts w:ascii="Garamond" w:hAnsi="Garamond"/>
          <w:sz w:val="22"/>
          <w:szCs w:val="22"/>
        </w:rPr>
        <w:t>creased</w:t>
      </w:r>
      <w:r w:rsidR="00F10AF8" w:rsidRPr="00E724B5">
        <w:rPr>
          <w:rFonts w:ascii="Garamond" w:hAnsi="Garamond"/>
          <w:sz w:val="22"/>
          <w:szCs w:val="22"/>
        </w:rPr>
        <w:t xml:space="preserve"> bed occupancy </w:t>
      </w:r>
      <w:r w:rsidR="00EB2B38">
        <w:rPr>
          <w:rFonts w:ascii="Garamond" w:hAnsi="Garamond"/>
          <w:sz w:val="22"/>
          <w:szCs w:val="22"/>
        </w:rPr>
        <w:t xml:space="preserve">with </w:t>
      </w:r>
      <w:r w:rsidR="00F10AF8">
        <w:rPr>
          <w:rFonts w:ascii="Garamond" w:hAnsi="Garamond"/>
          <w:sz w:val="22"/>
          <w:szCs w:val="22"/>
        </w:rPr>
        <w:t xml:space="preserve">changes </w:t>
      </w:r>
      <w:r>
        <w:rPr>
          <w:rFonts w:ascii="Garamond" w:hAnsi="Garamond"/>
          <w:sz w:val="22"/>
          <w:szCs w:val="22"/>
        </w:rPr>
        <w:t xml:space="preserve">in the </w:t>
      </w:r>
      <w:r w:rsidRPr="009B3828">
        <w:rPr>
          <w:rFonts w:ascii="Garamond" w:hAnsi="Garamond"/>
          <w:sz w:val="22"/>
          <w:szCs w:val="22"/>
        </w:rPr>
        <w:t>percentage of overnight patients discharged from hospital on a given day, and their subsequent 30-day readmission rate</w:t>
      </w:r>
      <w:r>
        <w:rPr>
          <w:rFonts w:ascii="Garamond" w:hAnsi="Garamond"/>
          <w:sz w:val="22"/>
          <w:szCs w:val="22"/>
        </w:rPr>
        <w:t>.</w:t>
      </w:r>
      <w:r w:rsidRPr="009B3828">
        <w:rPr>
          <w:rFonts w:ascii="Garamond" w:hAnsi="Garamond"/>
          <w:sz w:val="22"/>
          <w:szCs w:val="22"/>
        </w:rPr>
        <w:t xml:space="preserve"> </w:t>
      </w:r>
      <w:r w:rsidR="00F10AF8" w:rsidRPr="00E724B5">
        <w:rPr>
          <w:rFonts w:ascii="Garamond" w:hAnsi="Garamond"/>
          <w:sz w:val="22"/>
          <w:szCs w:val="22"/>
        </w:rPr>
        <w:t xml:space="preserve">Longitudinal panel data </w:t>
      </w:r>
      <w:r>
        <w:rPr>
          <w:rFonts w:ascii="Garamond" w:hAnsi="Garamond"/>
          <w:sz w:val="22"/>
          <w:szCs w:val="22"/>
        </w:rPr>
        <w:t>m</w:t>
      </w:r>
      <w:r w:rsidR="00A81135">
        <w:rPr>
          <w:rFonts w:ascii="Garamond" w:hAnsi="Garamond"/>
          <w:sz w:val="22"/>
          <w:szCs w:val="22"/>
        </w:rPr>
        <w:t>ethods</w:t>
      </w:r>
      <w:r>
        <w:rPr>
          <w:rFonts w:ascii="Garamond" w:hAnsi="Garamond"/>
          <w:sz w:val="22"/>
          <w:szCs w:val="22"/>
        </w:rPr>
        <w:t xml:space="preserve"> are used to </w:t>
      </w:r>
      <w:r w:rsidRPr="00E724B5">
        <w:rPr>
          <w:rFonts w:ascii="Garamond" w:hAnsi="Garamond"/>
          <w:sz w:val="22"/>
          <w:szCs w:val="22"/>
        </w:rPr>
        <w:t>analys</w:t>
      </w:r>
      <w:r>
        <w:rPr>
          <w:rFonts w:ascii="Garamond" w:hAnsi="Garamond"/>
          <w:sz w:val="22"/>
          <w:szCs w:val="22"/>
        </w:rPr>
        <w:t>e</w:t>
      </w:r>
      <w:r w:rsidRPr="00E724B5">
        <w:rPr>
          <w:rFonts w:ascii="Garamond" w:hAnsi="Garamond"/>
          <w:sz w:val="22"/>
          <w:szCs w:val="22"/>
        </w:rPr>
        <w:t xml:space="preserve"> </w:t>
      </w:r>
      <w:r w:rsidR="00F10AF8" w:rsidRPr="00E724B5">
        <w:rPr>
          <w:rFonts w:ascii="Garamond" w:hAnsi="Garamond"/>
          <w:sz w:val="22"/>
          <w:szCs w:val="22"/>
        </w:rPr>
        <w:t xml:space="preserve">secondary care records </w:t>
      </w:r>
      <w:r w:rsidR="004A5560">
        <w:rPr>
          <w:rFonts w:ascii="Garamond" w:hAnsi="Garamond"/>
          <w:sz w:val="22"/>
          <w:szCs w:val="22"/>
        </w:rPr>
        <w:t>(n=4,193,590)</w:t>
      </w:r>
      <w:r w:rsidR="004A5560" w:rsidRPr="00F64BC9">
        <w:rPr>
          <w:rFonts w:ascii="Garamond" w:hAnsi="Garamond"/>
          <w:sz w:val="22"/>
          <w:szCs w:val="22"/>
        </w:rPr>
        <w:t xml:space="preserve"> </w:t>
      </w:r>
      <w:r w:rsidR="004A5560">
        <w:rPr>
          <w:rFonts w:ascii="Garamond" w:hAnsi="Garamond"/>
          <w:sz w:val="22"/>
          <w:szCs w:val="22"/>
        </w:rPr>
        <w:t xml:space="preserve">for 136 </w:t>
      </w:r>
      <w:r w:rsidR="004A5560" w:rsidRPr="00E724B5">
        <w:rPr>
          <w:rFonts w:ascii="Garamond" w:hAnsi="Garamond"/>
          <w:sz w:val="22"/>
          <w:szCs w:val="22"/>
        </w:rPr>
        <w:t>non-specialist</w:t>
      </w:r>
      <w:r w:rsidR="004A5560">
        <w:rPr>
          <w:rFonts w:ascii="Garamond" w:hAnsi="Garamond"/>
          <w:sz w:val="22"/>
          <w:szCs w:val="22"/>
        </w:rPr>
        <w:t xml:space="preserve"> </w:t>
      </w:r>
      <w:r>
        <w:rPr>
          <w:rFonts w:ascii="Garamond" w:hAnsi="Garamond"/>
          <w:sz w:val="22"/>
          <w:szCs w:val="22"/>
        </w:rPr>
        <w:t>T</w:t>
      </w:r>
      <w:r w:rsidR="004A5560">
        <w:rPr>
          <w:rFonts w:ascii="Garamond" w:hAnsi="Garamond"/>
          <w:sz w:val="22"/>
          <w:szCs w:val="22"/>
        </w:rPr>
        <w:t xml:space="preserve">rusts </w:t>
      </w:r>
      <w:r w:rsidR="00F10AF8" w:rsidRPr="009B3828">
        <w:rPr>
          <w:rFonts w:ascii="Garamond" w:hAnsi="Garamond"/>
          <w:sz w:val="22"/>
          <w:szCs w:val="22"/>
        </w:rPr>
        <w:t xml:space="preserve">between April 2014 and February 2016. The average bed occupancy rate across </w:t>
      </w:r>
      <w:r>
        <w:rPr>
          <w:rFonts w:ascii="Garamond" w:hAnsi="Garamond"/>
          <w:sz w:val="22"/>
          <w:szCs w:val="22"/>
        </w:rPr>
        <w:t>the study</w:t>
      </w:r>
      <w:r w:rsidR="00F10AF8" w:rsidRPr="009B3828">
        <w:rPr>
          <w:rFonts w:ascii="Garamond" w:hAnsi="Garamond"/>
          <w:sz w:val="22"/>
          <w:szCs w:val="22"/>
        </w:rPr>
        <w:t xml:space="preserve"> period was 90.4%. </w:t>
      </w:r>
      <w:r w:rsidR="00A20E8D">
        <w:rPr>
          <w:rFonts w:ascii="Garamond" w:hAnsi="Garamond"/>
          <w:sz w:val="22"/>
          <w:szCs w:val="22"/>
        </w:rPr>
        <w:t>A</w:t>
      </w:r>
      <w:r>
        <w:rPr>
          <w:rFonts w:ascii="Garamond" w:hAnsi="Garamond"/>
          <w:sz w:val="22"/>
          <w:szCs w:val="22"/>
        </w:rPr>
        <w:t xml:space="preserve"> 1%</w:t>
      </w:r>
      <w:r w:rsidR="00F10AF8" w:rsidRPr="009B3828">
        <w:rPr>
          <w:rFonts w:ascii="Garamond" w:hAnsi="Garamond"/>
          <w:sz w:val="22"/>
          <w:szCs w:val="22"/>
        </w:rPr>
        <w:t xml:space="preserve"> increase in bed occupancy was associated with a 0.4</w:t>
      </w:r>
      <w:r w:rsidR="00F10AF8">
        <w:rPr>
          <w:rFonts w:ascii="Garamond" w:hAnsi="Garamond"/>
          <w:sz w:val="22"/>
          <w:szCs w:val="22"/>
        </w:rPr>
        <w:t>9</w:t>
      </w:r>
      <w:r w:rsidR="00F10AF8" w:rsidRPr="009B3828">
        <w:rPr>
          <w:rFonts w:ascii="Garamond" w:hAnsi="Garamond"/>
          <w:sz w:val="22"/>
          <w:szCs w:val="22"/>
        </w:rPr>
        <w:t>% rise in the discharge rate, and a 0.0</w:t>
      </w:r>
      <w:r w:rsidR="00F10AF8">
        <w:rPr>
          <w:rFonts w:ascii="Garamond" w:hAnsi="Garamond"/>
          <w:sz w:val="22"/>
          <w:szCs w:val="22"/>
        </w:rPr>
        <w:t>11</w:t>
      </w:r>
      <w:r w:rsidR="00F10AF8" w:rsidRPr="009B3828">
        <w:rPr>
          <w:rFonts w:ascii="Garamond" w:hAnsi="Garamond"/>
          <w:sz w:val="22"/>
          <w:szCs w:val="22"/>
        </w:rPr>
        <w:t xml:space="preserve">% increase in the 30-day readmission rate for discharged patients. These associations became more pronounced once bed occupancy </w:t>
      </w:r>
      <w:r w:rsidR="0036336A">
        <w:rPr>
          <w:rFonts w:ascii="Garamond" w:hAnsi="Garamond"/>
          <w:sz w:val="22"/>
          <w:szCs w:val="22"/>
        </w:rPr>
        <w:t>exceeded 95%</w:t>
      </w:r>
      <w:r w:rsidR="00F10AF8">
        <w:rPr>
          <w:rFonts w:ascii="Garamond" w:hAnsi="Garamond"/>
          <w:sz w:val="22"/>
          <w:szCs w:val="22"/>
        </w:rPr>
        <w:t>. Older patients</w:t>
      </w:r>
      <w:r w:rsidR="00B04A54">
        <w:rPr>
          <w:rFonts w:ascii="Garamond" w:hAnsi="Garamond"/>
          <w:sz w:val="22"/>
          <w:szCs w:val="22"/>
        </w:rPr>
        <w:t xml:space="preserve"> </w:t>
      </w:r>
      <w:r w:rsidR="00F10AF8">
        <w:rPr>
          <w:rFonts w:ascii="Garamond" w:hAnsi="Garamond"/>
          <w:sz w:val="22"/>
          <w:szCs w:val="22"/>
        </w:rPr>
        <w:t xml:space="preserve">and </w:t>
      </w:r>
      <w:r w:rsidR="00B04A54">
        <w:rPr>
          <w:rFonts w:ascii="Garamond" w:hAnsi="Garamond"/>
          <w:sz w:val="22"/>
          <w:szCs w:val="22"/>
        </w:rPr>
        <w:t xml:space="preserve">those </w:t>
      </w:r>
      <w:r w:rsidR="00F10AF8">
        <w:rPr>
          <w:rFonts w:ascii="Garamond" w:hAnsi="Garamond"/>
          <w:sz w:val="22"/>
          <w:szCs w:val="22"/>
        </w:rPr>
        <w:t xml:space="preserve">with </w:t>
      </w:r>
      <w:r w:rsidR="00EB2B38">
        <w:rPr>
          <w:rFonts w:ascii="Garamond" w:hAnsi="Garamond"/>
          <w:sz w:val="22"/>
          <w:szCs w:val="22"/>
        </w:rPr>
        <w:t>more</w:t>
      </w:r>
      <w:r w:rsidR="005939C7">
        <w:rPr>
          <w:rFonts w:ascii="Garamond" w:hAnsi="Garamond"/>
          <w:sz w:val="22"/>
          <w:szCs w:val="22"/>
        </w:rPr>
        <w:t xml:space="preserve"> comorbidities </w:t>
      </w:r>
      <w:r w:rsidR="00F10AF8">
        <w:rPr>
          <w:rFonts w:ascii="Garamond" w:hAnsi="Garamond"/>
          <w:sz w:val="22"/>
          <w:szCs w:val="22"/>
        </w:rPr>
        <w:t>had a</w:t>
      </w:r>
      <w:r w:rsidR="0036336A">
        <w:rPr>
          <w:rFonts w:ascii="Garamond" w:hAnsi="Garamond"/>
          <w:sz w:val="22"/>
          <w:szCs w:val="22"/>
        </w:rPr>
        <w:t xml:space="preserve"> slightly</w:t>
      </w:r>
      <w:r w:rsidR="00F10AF8">
        <w:rPr>
          <w:rFonts w:ascii="Garamond" w:hAnsi="Garamond"/>
          <w:sz w:val="22"/>
          <w:szCs w:val="22"/>
        </w:rPr>
        <w:t xml:space="preserve"> increased risk of readmission at times of high bed occupancy.</w:t>
      </w:r>
      <w:r w:rsidR="00B04A54" w:rsidRPr="00B04A54">
        <w:rPr>
          <w:rFonts w:ascii="Garamond" w:hAnsi="Garamond"/>
          <w:sz w:val="22"/>
          <w:szCs w:val="22"/>
        </w:rPr>
        <w:t xml:space="preserve"> </w:t>
      </w:r>
      <w:r w:rsidR="00F10AF8" w:rsidRPr="009B3828">
        <w:rPr>
          <w:rFonts w:ascii="Garamond" w:hAnsi="Garamond"/>
          <w:sz w:val="22"/>
          <w:szCs w:val="22"/>
        </w:rPr>
        <w:t xml:space="preserve">When bed occupancy rates </w:t>
      </w:r>
      <w:r w:rsidR="00A7538D">
        <w:rPr>
          <w:rFonts w:ascii="Garamond" w:hAnsi="Garamond"/>
          <w:sz w:val="22"/>
          <w:szCs w:val="22"/>
        </w:rPr>
        <w:t>were</w:t>
      </w:r>
      <w:r w:rsidR="00F10AF8" w:rsidRPr="009B3828">
        <w:rPr>
          <w:rFonts w:ascii="Garamond" w:hAnsi="Garamond"/>
          <w:sz w:val="22"/>
          <w:szCs w:val="22"/>
        </w:rPr>
        <w:t xml:space="preserve"> high, hospitals discharge</w:t>
      </w:r>
      <w:r w:rsidR="00A7538D">
        <w:rPr>
          <w:rFonts w:ascii="Garamond" w:hAnsi="Garamond"/>
          <w:sz w:val="22"/>
          <w:szCs w:val="22"/>
        </w:rPr>
        <w:t>d</w:t>
      </w:r>
      <w:r w:rsidR="00F10AF8" w:rsidRPr="009B3828">
        <w:rPr>
          <w:rFonts w:ascii="Garamond" w:hAnsi="Garamond"/>
          <w:sz w:val="22"/>
          <w:szCs w:val="22"/>
        </w:rPr>
        <w:t xml:space="preserve"> a greater proportion of their patients</w:t>
      </w:r>
      <w:r w:rsidR="00F10AF8">
        <w:rPr>
          <w:rFonts w:ascii="Garamond" w:hAnsi="Garamond"/>
          <w:sz w:val="22"/>
          <w:szCs w:val="22"/>
        </w:rPr>
        <w:t>.</w:t>
      </w:r>
      <w:r w:rsidR="0061043C">
        <w:rPr>
          <w:rFonts w:ascii="Garamond" w:hAnsi="Garamond"/>
          <w:sz w:val="22"/>
          <w:szCs w:val="22"/>
        </w:rPr>
        <w:t xml:space="preserve"> Those were mostly younger and less clinically complex, </w:t>
      </w:r>
      <w:bookmarkStart w:id="1" w:name="_Hlk525831844"/>
      <w:r w:rsidR="0061043C">
        <w:rPr>
          <w:rFonts w:ascii="Garamond" w:hAnsi="Garamond"/>
          <w:sz w:val="22"/>
          <w:szCs w:val="22"/>
        </w:rPr>
        <w:t>suggesting that hospitals are successfully prioritising early discharge amongst least vulnerable patients</w:t>
      </w:r>
      <w:bookmarkEnd w:id="1"/>
      <w:r w:rsidR="0061043C">
        <w:rPr>
          <w:rFonts w:ascii="Garamond" w:hAnsi="Garamond"/>
          <w:sz w:val="22"/>
          <w:szCs w:val="22"/>
        </w:rPr>
        <w:t>.</w:t>
      </w:r>
      <w:r w:rsidR="00F10AF8">
        <w:rPr>
          <w:rFonts w:ascii="Garamond" w:hAnsi="Garamond"/>
          <w:sz w:val="22"/>
          <w:szCs w:val="22"/>
        </w:rPr>
        <w:t xml:space="preserve"> </w:t>
      </w:r>
      <w:r w:rsidR="0061043C">
        <w:rPr>
          <w:rFonts w:ascii="Garamond" w:hAnsi="Garamond"/>
          <w:sz w:val="22"/>
          <w:szCs w:val="22"/>
        </w:rPr>
        <w:t xml:space="preserve">However, </w:t>
      </w:r>
      <w:r w:rsidR="00796807">
        <w:rPr>
          <w:rFonts w:ascii="Garamond" w:hAnsi="Garamond"/>
          <w:sz w:val="22"/>
          <w:szCs w:val="22"/>
        </w:rPr>
        <w:t xml:space="preserve">while </w:t>
      </w:r>
      <w:r w:rsidR="0061043C">
        <w:rPr>
          <w:rFonts w:ascii="Garamond" w:hAnsi="Garamond"/>
          <w:sz w:val="22"/>
          <w:szCs w:val="22"/>
        </w:rPr>
        <w:t xml:space="preserve">increased bed occupancy was not associated with a substantial increase in overall 30-day readmission rates, </w:t>
      </w:r>
      <w:r w:rsidR="00796807">
        <w:rPr>
          <w:rFonts w:ascii="Garamond" w:hAnsi="Garamond"/>
          <w:sz w:val="22"/>
          <w:szCs w:val="22"/>
        </w:rPr>
        <w:t>the relationship</w:t>
      </w:r>
      <w:r w:rsidR="0061043C">
        <w:rPr>
          <w:rFonts w:ascii="Garamond" w:hAnsi="Garamond"/>
          <w:sz w:val="22"/>
          <w:szCs w:val="22"/>
        </w:rPr>
        <w:t xml:space="preserve"> was more pronounced in older and sicker patients, indicating possible links with short-fallings in </w:t>
      </w:r>
      <w:r w:rsidR="009E197C">
        <w:rPr>
          <w:rFonts w:ascii="Garamond" w:hAnsi="Garamond"/>
          <w:sz w:val="22"/>
          <w:szCs w:val="22"/>
        </w:rPr>
        <w:t xml:space="preserve">discharge </w:t>
      </w:r>
      <w:r w:rsidR="00A7538D">
        <w:rPr>
          <w:rFonts w:ascii="Garamond" w:hAnsi="Garamond"/>
          <w:sz w:val="22"/>
          <w:szCs w:val="22"/>
        </w:rPr>
        <w:t>processes</w:t>
      </w:r>
      <w:r w:rsidR="0061043C">
        <w:rPr>
          <w:rFonts w:ascii="Garamond" w:hAnsi="Garamond"/>
          <w:sz w:val="22"/>
          <w:szCs w:val="22"/>
        </w:rPr>
        <w:t xml:space="preserve">.  </w:t>
      </w:r>
      <w:r w:rsidR="00F10AF8" w:rsidRPr="000D094A">
        <w:rPr>
          <w:rFonts w:ascii="Garamond" w:hAnsi="Garamond"/>
          <w:sz w:val="22"/>
          <w:szCs w:val="22"/>
        </w:rPr>
        <w:t xml:space="preserve"> </w:t>
      </w:r>
    </w:p>
    <w:p w14:paraId="359F8F98" w14:textId="77777777" w:rsidR="00A815A6" w:rsidRPr="009B3828" w:rsidRDefault="00A815A6">
      <w:pPr>
        <w:rPr>
          <w:rFonts w:ascii="Garamond" w:hAnsi="Garamond"/>
          <w:sz w:val="22"/>
          <w:szCs w:val="22"/>
        </w:rPr>
      </w:pPr>
    </w:p>
    <w:p w14:paraId="2B382A71" w14:textId="7FCE5D71" w:rsidR="0004634C" w:rsidRDefault="00E8481E">
      <w:pPr>
        <w:rPr>
          <w:rFonts w:ascii="Garamond" w:hAnsi="Garamond"/>
          <w:sz w:val="22"/>
          <w:szCs w:val="22"/>
        </w:rPr>
      </w:pPr>
      <w:r w:rsidRPr="009B3828">
        <w:rPr>
          <w:rFonts w:ascii="Garamond" w:hAnsi="Garamond"/>
          <w:b/>
          <w:sz w:val="22"/>
          <w:szCs w:val="22"/>
        </w:rPr>
        <w:t>Keywords:</w:t>
      </w:r>
      <w:r w:rsidRPr="009B3828">
        <w:rPr>
          <w:rFonts w:ascii="Garamond" w:hAnsi="Garamond"/>
          <w:sz w:val="22"/>
          <w:szCs w:val="22"/>
        </w:rPr>
        <w:t xml:space="preserve"> </w:t>
      </w:r>
      <w:r w:rsidR="0004634C">
        <w:rPr>
          <w:rFonts w:ascii="Garamond" w:hAnsi="Garamond"/>
          <w:sz w:val="22"/>
          <w:szCs w:val="22"/>
        </w:rPr>
        <w:t>Quality Measurement, Health Services Research, Performance Measures, Standards of Care</w:t>
      </w:r>
    </w:p>
    <w:p w14:paraId="181734B1" w14:textId="77777777" w:rsidR="0004634C" w:rsidRDefault="0004634C">
      <w:pPr>
        <w:rPr>
          <w:rFonts w:ascii="Garamond" w:hAnsi="Garamond"/>
          <w:sz w:val="22"/>
          <w:szCs w:val="22"/>
        </w:rPr>
      </w:pPr>
    </w:p>
    <w:p w14:paraId="3C7B4C1D" w14:textId="77777777" w:rsidR="00E8481E" w:rsidRPr="009B3828" w:rsidRDefault="00E8481E">
      <w:pPr>
        <w:rPr>
          <w:rFonts w:ascii="Garamond" w:hAnsi="Garamond"/>
          <w:sz w:val="22"/>
          <w:szCs w:val="22"/>
        </w:rPr>
      </w:pPr>
    </w:p>
    <w:p w14:paraId="6123DB8F" w14:textId="77777777" w:rsidR="00E8481E" w:rsidRPr="009B3828" w:rsidRDefault="00E8481E">
      <w:pPr>
        <w:rPr>
          <w:rFonts w:ascii="Garamond" w:hAnsi="Garamond"/>
          <w:sz w:val="22"/>
          <w:szCs w:val="22"/>
        </w:rPr>
      </w:pPr>
    </w:p>
    <w:p w14:paraId="37AAF3C9" w14:textId="77777777" w:rsidR="00E8481E" w:rsidRPr="009B3828" w:rsidRDefault="00E8481E">
      <w:pPr>
        <w:rPr>
          <w:rFonts w:ascii="Garamond" w:hAnsi="Garamond"/>
          <w:sz w:val="22"/>
          <w:szCs w:val="22"/>
        </w:rPr>
      </w:pPr>
    </w:p>
    <w:p w14:paraId="34574302" w14:textId="77777777" w:rsidR="00E8481E" w:rsidRPr="009B3828" w:rsidRDefault="00E8481E">
      <w:pPr>
        <w:rPr>
          <w:rFonts w:ascii="Garamond" w:hAnsi="Garamond"/>
          <w:sz w:val="22"/>
          <w:szCs w:val="22"/>
        </w:rPr>
      </w:pPr>
    </w:p>
    <w:p w14:paraId="12B2672A" w14:textId="77777777" w:rsidR="00E8481E" w:rsidRPr="009B3828" w:rsidRDefault="00E8481E">
      <w:pPr>
        <w:rPr>
          <w:rFonts w:ascii="Garamond" w:hAnsi="Garamond"/>
          <w:sz w:val="22"/>
          <w:szCs w:val="22"/>
        </w:rPr>
      </w:pPr>
    </w:p>
    <w:p w14:paraId="560533D4" w14:textId="77777777" w:rsidR="00386B68" w:rsidRPr="009B3828" w:rsidRDefault="00386B68">
      <w:pPr>
        <w:rPr>
          <w:rFonts w:ascii="Garamond" w:hAnsi="Garamond"/>
          <w:sz w:val="22"/>
          <w:szCs w:val="22"/>
        </w:rPr>
      </w:pPr>
    </w:p>
    <w:p w14:paraId="20A22F4C" w14:textId="77777777" w:rsidR="00CC69C7" w:rsidRPr="009B3828" w:rsidRDefault="00CC69C7" w:rsidP="00386B68">
      <w:pPr>
        <w:spacing w:line="480" w:lineRule="auto"/>
        <w:rPr>
          <w:rFonts w:ascii="Garamond" w:hAnsi="Garamond"/>
          <w:sz w:val="22"/>
          <w:szCs w:val="22"/>
        </w:rPr>
      </w:pPr>
    </w:p>
    <w:p w14:paraId="707B582B" w14:textId="77777777" w:rsidR="00E8481E" w:rsidRPr="009B3828" w:rsidRDefault="00E8481E" w:rsidP="00386B68">
      <w:pPr>
        <w:spacing w:line="480" w:lineRule="auto"/>
        <w:rPr>
          <w:rFonts w:ascii="Garamond" w:hAnsi="Garamond"/>
          <w:sz w:val="22"/>
          <w:szCs w:val="22"/>
        </w:rPr>
      </w:pPr>
    </w:p>
    <w:p w14:paraId="5A3C44DD" w14:textId="77777777" w:rsidR="00E8481E" w:rsidRPr="009B3828" w:rsidRDefault="00E8481E" w:rsidP="00386B68">
      <w:pPr>
        <w:spacing w:line="480" w:lineRule="auto"/>
        <w:rPr>
          <w:rFonts w:ascii="Garamond" w:hAnsi="Garamond"/>
          <w:sz w:val="22"/>
          <w:szCs w:val="22"/>
        </w:rPr>
      </w:pPr>
    </w:p>
    <w:p w14:paraId="552AAA06" w14:textId="77777777" w:rsidR="00E8481E" w:rsidRPr="009B3828" w:rsidRDefault="00E8481E" w:rsidP="00386B68">
      <w:pPr>
        <w:spacing w:line="480" w:lineRule="auto"/>
        <w:rPr>
          <w:rFonts w:ascii="Garamond" w:hAnsi="Garamond"/>
          <w:sz w:val="22"/>
          <w:szCs w:val="22"/>
        </w:rPr>
      </w:pPr>
    </w:p>
    <w:p w14:paraId="4D0C2573" w14:textId="77777777" w:rsidR="00F81CAA" w:rsidRDefault="00F81CAA" w:rsidP="00386B68">
      <w:pPr>
        <w:spacing w:line="480" w:lineRule="auto"/>
        <w:rPr>
          <w:rFonts w:ascii="Garamond" w:hAnsi="Garamond"/>
          <w:sz w:val="22"/>
          <w:szCs w:val="22"/>
        </w:rPr>
      </w:pPr>
    </w:p>
    <w:p w14:paraId="2AE3B721" w14:textId="77777777" w:rsidR="0004634C" w:rsidRPr="009B3828" w:rsidRDefault="0004634C" w:rsidP="00386B68">
      <w:pPr>
        <w:spacing w:line="480" w:lineRule="auto"/>
        <w:rPr>
          <w:rFonts w:ascii="Garamond" w:hAnsi="Garamond"/>
          <w:sz w:val="22"/>
          <w:szCs w:val="22"/>
        </w:rPr>
      </w:pPr>
    </w:p>
    <w:p w14:paraId="3E2B3090" w14:textId="77777777" w:rsidR="00AA10F2" w:rsidRDefault="00AA10F2" w:rsidP="00701045">
      <w:pPr>
        <w:spacing w:line="360" w:lineRule="auto"/>
        <w:rPr>
          <w:rFonts w:ascii="Garamond" w:hAnsi="Garamond"/>
          <w:sz w:val="22"/>
          <w:szCs w:val="22"/>
        </w:rPr>
      </w:pPr>
    </w:p>
    <w:p w14:paraId="19F2E50C" w14:textId="1A7BB8A6" w:rsidR="00AA10F2" w:rsidRDefault="00AA10F2" w:rsidP="00701045">
      <w:pPr>
        <w:spacing w:line="360" w:lineRule="auto"/>
        <w:rPr>
          <w:rFonts w:ascii="Garamond" w:hAnsi="Garamond"/>
          <w:sz w:val="22"/>
          <w:szCs w:val="22"/>
        </w:rPr>
      </w:pPr>
    </w:p>
    <w:p w14:paraId="17677839" w14:textId="777BD3DB" w:rsidR="0036336A" w:rsidRDefault="0036336A" w:rsidP="00701045">
      <w:pPr>
        <w:spacing w:line="360" w:lineRule="auto"/>
        <w:rPr>
          <w:rFonts w:ascii="Garamond" w:hAnsi="Garamond"/>
          <w:sz w:val="22"/>
          <w:szCs w:val="22"/>
        </w:rPr>
      </w:pPr>
    </w:p>
    <w:p w14:paraId="647B7EC1" w14:textId="70BA983D" w:rsidR="0036336A" w:rsidRDefault="0036336A" w:rsidP="00701045">
      <w:pPr>
        <w:spacing w:line="360" w:lineRule="auto"/>
        <w:rPr>
          <w:rFonts w:ascii="Garamond" w:hAnsi="Garamond"/>
          <w:sz w:val="22"/>
          <w:szCs w:val="22"/>
        </w:rPr>
      </w:pPr>
    </w:p>
    <w:p w14:paraId="416F4C1A" w14:textId="7B5916BF" w:rsidR="0036336A" w:rsidRDefault="0036336A" w:rsidP="00701045">
      <w:pPr>
        <w:spacing w:line="360" w:lineRule="auto"/>
        <w:rPr>
          <w:rFonts w:ascii="Garamond" w:hAnsi="Garamond"/>
          <w:sz w:val="22"/>
          <w:szCs w:val="22"/>
        </w:rPr>
      </w:pPr>
    </w:p>
    <w:p w14:paraId="23CA980C" w14:textId="77777777" w:rsidR="00EB2B38" w:rsidRDefault="00EB2B38" w:rsidP="00701045">
      <w:pPr>
        <w:spacing w:line="360" w:lineRule="auto"/>
        <w:rPr>
          <w:rFonts w:ascii="Garamond" w:hAnsi="Garamond"/>
          <w:sz w:val="22"/>
          <w:szCs w:val="22"/>
        </w:rPr>
      </w:pPr>
    </w:p>
    <w:p w14:paraId="2E2DB85D" w14:textId="2B068933" w:rsidR="0036336A" w:rsidRDefault="0036336A" w:rsidP="00701045">
      <w:pPr>
        <w:spacing w:line="360" w:lineRule="auto"/>
        <w:rPr>
          <w:rFonts w:ascii="Garamond" w:hAnsi="Garamond"/>
          <w:sz w:val="22"/>
          <w:szCs w:val="22"/>
        </w:rPr>
      </w:pPr>
    </w:p>
    <w:p w14:paraId="34CA32F5" w14:textId="77777777" w:rsidR="0036336A" w:rsidRDefault="0036336A" w:rsidP="00701045">
      <w:pPr>
        <w:spacing w:line="360" w:lineRule="auto"/>
        <w:rPr>
          <w:rFonts w:ascii="Garamond" w:hAnsi="Garamond"/>
          <w:sz w:val="22"/>
          <w:szCs w:val="22"/>
        </w:rPr>
      </w:pPr>
    </w:p>
    <w:p w14:paraId="08FD43F0" w14:textId="77777777" w:rsidR="00386B68" w:rsidRPr="009B3828" w:rsidRDefault="00386B68" w:rsidP="0036336A">
      <w:pPr>
        <w:spacing w:line="360" w:lineRule="auto"/>
        <w:outlineLvl w:val="0"/>
        <w:rPr>
          <w:rFonts w:ascii="Garamond" w:hAnsi="Garamond"/>
          <w:b/>
          <w:sz w:val="22"/>
          <w:szCs w:val="22"/>
        </w:rPr>
      </w:pPr>
      <w:r w:rsidRPr="009B3828">
        <w:rPr>
          <w:rFonts w:ascii="Garamond" w:hAnsi="Garamond"/>
          <w:b/>
          <w:sz w:val="22"/>
          <w:szCs w:val="22"/>
        </w:rPr>
        <w:t>INTRODUCTION</w:t>
      </w:r>
    </w:p>
    <w:p w14:paraId="59CD0240" w14:textId="3180D948" w:rsidR="000720FC" w:rsidRPr="003877EE" w:rsidRDefault="00526219" w:rsidP="00701045">
      <w:pPr>
        <w:spacing w:line="360" w:lineRule="auto"/>
        <w:rPr>
          <w:rFonts w:ascii="Garamond" w:hAnsi="Garamond"/>
          <w:strike/>
          <w:sz w:val="22"/>
          <w:szCs w:val="22"/>
        </w:rPr>
      </w:pPr>
      <w:r>
        <w:rPr>
          <w:rFonts w:ascii="Garamond" w:hAnsi="Garamond"/>
          <w:sz w:val="22"/>
          <w:szCs w:val="22"/>
        </w:rPr>
        <w:t xml:space="preserve">The percentage of hospital beds that are occupied at any one point in time </w:t>
      </w:r>
      <w:r w:rsidR="00A862F1" w:rsidRPr="009B3828">
        <w:rPr>
          <w:rFonts w:ascii="Garamond" w:hAnsi="Garamond"/>
          <w:sz w:val="22"/>
          <w:szCs w:val="22"/>
        </w:rPr>
        <w:t>ha</w:t>
      </w:r>
      <w:r>
        <w:rPr>
          <w:rFonts w:ascii="Garamond" w:hAnsi="Garamond"/>
          <w:sz w:val="22"/>
          <w:szCs w:val="22"/>
        </w:rPr>
        <w:t>s</w:t>
      </w:r>
      <w:r w:rsidR="00A862F1" w:rsidRPr="009B3828">
        <w:rPr>
          <w:rFonts w:ascii="Garamond" w:hAnsi="Garamond"/>
          <w:sz w:val="22"/>
          <w:szCs w:val="22"/>
        </w:rPr>
        <w:t xml:space="preserve"> been increasing </w:t>
      </w:r>
      <w:r w:rsidR="00853BE9">
        <w:rPr>
          <w:rFonts w:ascii="Garamond" w:hAnsi="Garamond"/>
          <w:sz w:val="22"/>
          <w:szCs w:val="22"/>
        </w:rPr>
        <w:t xml:space="preserve">in England </w:t>
      </w:r>
      <w:r w:rsidR="00A862F1" w:rsidRPr="009B3828">
        <w:rPr>
          <w:rFonts w:ascii="Garamond" w:hAnsi="Garamond"/>
          <w:sz w:val="22"/>
          <w:szCs w:val="22"/>
        </w:rPr>
        <w:t>and</w:t>
      </w:r>
      <w:r w:rsidR="00853BE9">
        <w:rPr>
          <w:rFonts w:ascii="Garamond" w:hAnsi="Garamond"/>
          <w:sz w:val="22"/>
          <w:szCs w:val="22"/>
        </w:rPr>
        <w:t xml:space="preserve"> has risen over the past decade from an average of 84.5% in 2006/07</w:t>
      </w:r>
      <w:r w:rsidR="00A064CB" w:rsidRPr="009B3828">
        <w:rPr>
          <w:rFonts w:ascii="Garamond" w:hAnsi="Garamond"/>
          <w:sz w:val="22"/>
          <w:szCs w:val="22"/>
        </w:rPr>
        <w:t xml:space="preserve"> </w:t>
      </w:r>
      <w:r w:rsidR="00853BE9">
        <w:rPr>
          <w:rFonts w:ascii="Garamond" w:hAnsi="Garamond"/>
          <w:sz w:val="22"/>
          <w:szCs w:val="22"/>
        </w:rPr>
        <w:t xml:space="preserve">to </w:t>
      </w:r>
      <w:r w:rsidR="00A064CB" w:rsidRPr="009B3828">
        <w:rPr>
          <w:rFonts w:ascii="Garamond" w:hAnsi="Garamond"/>
          <w:sz w:val="22"/>
          <w:szCs w:val="22"/>
        </w:rPr>
        <w:t xml:space="preserve">91.4% in the </w:t>
      </w:r>
      <w:r w:rsidR="00445E95">
        <w:rPr>
          <w:rFonts w:ascii="Garamond" w:hAnsi="Garamond"/>
          <w:sz w:val="22"/>
          <w:szCs w:val="22"/>
        </w:rPr>
        <w:t xml:space="preserve">period from </w:t>
      </w:r>
      <w:r w:rsidR="001935B8">
        <w:rPr>
          <w:rFonts w:ascii="Garamond" w:hAnsi="Garamond"/>
          <w:sz w:val="22"/>
          <w:szCs w:val="22"/>
        </w:rPr>
        <w:t xml:space="preserve">January </w:t>
      </w:r>
      <w:r w:rsidR="00445E95">
        <w:rPr>
          <w:rFonts w:ascii="Garamond" w:hAnsi="Garamond"/>
          <w:sz w:val="22"/>
          <w:szCs w:val="22"/>
        </w:rPr>
        <w:t>to</w:t>
      </w:r>
      <w:r w:rsidR="001935B8">
        <w:rPr>
          <w:rFonts w:ascii="Garamond" w:hAnsi="Garamond"/>
          <w:sz w:val="22"/>
          <w:szCs w:val="22"/>
        </w:rPr>
        <w:t xml:space="preserve"> March</w:t>
      </w:r>
      <w:r w:rsidR="00A064CB" w:rsidRPr="009B3828">
        <w:rPr>
          <w:rFonts w:ascii="Garamond" w:hAnsi="Garamond"/>
          <w:sz w:val="22"/>
          <w:szCs w:val="22"/>
        </w:rPr>
        <w:t xml:space="preserve"> 2017.</w:t>
      </w:r>
      <w:r w:rsidR="00B64E04" w:rsidRPr="00E724B5">
        <w:rPr>
          <w:rFonts w:ascii="Garamond" w:hAnsi="Garamond"/>
          <w:sz w:val="22"/>
          <w:szCs w:val="22"/>
        </w:rPr>
        <w:fldChar w:fldCharType="begin" w:fldLock="1"/>
      </w:r>
      <w:r w:rsidR="00481CE7">
        <w:rPr>
          <w:rFonts w:ascii="Garamond" w:hAnsi="Garamond"/>
          <w:sz w:val="22"/>
          <w:szCs w:val="22"/>
        </w:rPr>
        <w:instrText>ADDIN CSL_CITATION {"citationItems":[{"id":"ITEM-1","itemData":{"author":[{"dropping-particle":"","family":"NHS England","given":"","non-dropping-particle":"","parse-names":false,"suffix":""}],"id":"ITEM-1","issued":{"date-parts":[["0"]]},"title":"Bed Availability and Occupancy Data – Overnight","type":"webpage"},"uris":["http://www.mendeley.com/documents/?uuid=21c9d321-d954-4770-8cbf-ef1b4175e2c9","http://www.mendeley.com/documents/?uuid=a1be79fa-9284-4c31-a391-3dfed08baf9a"]}],"mendeley":{"formattedCitation":"[1]","plainTextFormattedCitation":"[1]","previouslyFormattedCitation":"[1]"},"properties":{"noteIndex":0},"schema":"https://github.com/citation-style-language/schema/raw/master/csl-citation.json"}</w:instrText>
      </w:r>
      <w:r w:rsidR="00B64E04" w:rsidRPr="00E724B5">
        <w:rPr>
          <w:rFonts w:ascii="Garamond" w:hAnsi="Garamond"/>
          <w:sz w:val="22"/>
          <w:szCs w:val="22"/>
        </w:rPr>
        <w:fldChar w:fldCharType="separate"/>
      </w:r>
      <w:r w:rsidR="004874A8" w:rsidRPr="00E724B5">
        <w:rPr>
          <w:rFonts w:ascii="Garamond" w:hAnsi="Garamond"/>
          <w:noProof/>
          <w:sz w:val="22"/>
          <w:szCs w:val="22"/>
        </w:rPr>
        <w:t>[1]</w:t>
      </w:r>
      <w:r w:rsidR="00B64E04" w:rsidRPr="00E724B5">
        <w:rPr>
          <w:rFonts w:ascii="Garamond" w:hAnsi="Garamond"/>
          <w:sz w:val="22"/>
          <w:szCs w:val="22"/>
        </w:rPr>
        <w:fldChar w:fldCharType="end"/>
      </w:r>
      <w:r w:rsidR="00A064CB" w:rsidRPr="00E724B5">
        <w:rPr>
          <w:rFonts w:ascii="Garamond" w:hAnsi="Garamond"/>
          <w:sz w:val="22"/>
          <w:szCs w:val="22"/>
        </w:rPr>
        <w:t xml:space="preserve"> </w:t>
      </w:r>
      <w:r w:rsidR="007C52F7">
        <w:rPr>
          <w:rFonts w:ascii="Garamond" w:hAnsi="Garamond"/>
          <w:sz w:val="22"/>
          <w:szCs w:val="22"/>
        </w:rPr>
        <w:t>The trend</w:t>
      </w:r>
      <w:r w:rsidR="007C52F7" w:rsidRPr="00E724B5">
        <w:rPr>
          <w:rFonts w:ascii="Garamond" w:hAnsi="Garamond"/>
          <w:sz w:val="22"/>
          <w:szCs w:val="22"/>
        </w:rPr>
        <w:t xml:space="preserve"> </w:t>
      </w:r>
      <w:r w:rsidR="00A862F1" w:rsidRPr="00E724B5">
        <w:rPr>
          <w:rFonts w:ascii="Garamond" w:hAnsi="Garamond"/>
          <w:sz w:val="22"/>
          <w:szCs w:val="22"/>
        </w:rPr>
        <w:t xml:space="preserve">may be due </w:t>
      </w:r>
      <w:r w:rsidR="007C52F7" w:rsidRPr="00E724B5">
        <w:rPr>
          <w:rFonts w:ascii="Garamond" w:hAnsi="Garamond"/>
          <w:sz w:val="22"/>
          <w:szCs w:val="22"/>
        </w:rPr>
        <w:t xml:space="preserve">in part </w:t>
      </w:r>
      <w:r w:rsidR="00A862F1" w:rsidRPr="00E724B5">
        <w:rPr>
          <w:rFonts w:ascii="Garamond" w:hAnsi="Garamond"/>
          <w:sz w:val="22"/>
          <w:szCs w:val="22"/>
        </w:rPr>
        <w:t>to a policy to move care into community settings, which has</w:t>
      </w:r>
      <w:r w:rsidR="0072011A" w:rsidRPr="00E724B5">
        <w:rPr>
          <w:rFonts w:ascii="Garamond" w:hAnsi="Garamond"/>
          <w:sz w:val="22"/>
          <w:szCs w:val="22"/>
        </w:rPr>
        <w:t xml:space="preserve"> encouraged the closure of hospital beds</w:t>
      </w:r>
      <w:r w:rsidR="00A862F1" w:rsidRPr="009B3828">
        <w:rPr>
          <w:rFonts w:ascii="Garamond" w:hAnsi="Garamond"/>
          <w:sz w:val="22"/>
          <w:szCs w:val="22"/>
        </w:rPr>
        <w:t xml:space="preserve"> without </w:t>
      </w:r>
      <w:r w:rsidR="00FB27AE" w:rsidRPr="009B3828">
        <w:rPr>
          <w:rFonts w:ascii="Garamond" w:hAnsi="Garamond"/>
          <w:sz w:val="22"/>
          <w:szCs w:val="22"/>
        </w:rPr>
        <w:t>achieving corresponding reductions in the number of hospital admissions</w:t>
      </w:r>
      <w:r w:rsidR="0072011A" w:rsidRPr="009B3828">
        <w:rPr>
          <w:rFonts w:ascii="Garamond" w:hAnsi="Garamond"/>
          <w:sz w:val="22"/>
          <w:szCs w:val="22"/>
        </w:rPr>
        <w:t>.</w:t>
      </w:r>
      <w:r w:rsidR="00887613">
        <w:rPr>
          <w:rFonts w:ascii="Garamond" w:hAnsi="Garamond"/>
          <w:sz w:val="22"/>
          <w:szCs w:val="22"/>
        </w:rPr>
        <w:fldChar w:fldCharType="begin" w:fldLock="1"/>
      </w:r>
      <w:r w:rsidR="00481CE7">
        <w:rPr>
          <w:rFonts w:ascii="Garamond" w:hAnsi="Garamond"/>
          <w:sz w:val="22"/>
          <w:szCs w:val="22"/>
        </w:rPr>
        <w:instrText>ADDIN CSL_CITATION {"citationItems":[{"id":"ITEM-1","itemData":{"abstract":"Shifting the balance of care About the report This summary accompanies a report that forms part of our work programme on new models of care, and also contributes to our ongoing work on Sustainability and Transformation Plans (STPs). We have a long track record in analysing the evidence base surrounding out-of-hospital care and, with the need to move care from hospital into the community a core part of STP plans across the country, a review of the evidence is both timely and necessary. This research draws on an extensive literature review to assess the realism of the narrative that moving care out of hospital will save money. It sets the context of this through analysis of hospital activity data over ten years. The literature review focuses on initiatives that were expected to impact on hospital care, as this is what STPs predominantly focus on. We explore these by looking at five key areas: elective care, urgent and emergency care, admission avoidance and easier discharge, at risk populations, and self-care. The report aims to inform the development of STPs to ensure that they are drawing on the best available evidence. It also seeks to dispel some widely held myths about the 'magic bullet' of shifting care into the community.","author":[{"dropping-particle":"","family":"Imison","given":"Candace","non-dropping-particle":"","parse-names":false,"suffix":""},{"dropping-particle":"","family":"Curry","given":"Natasha","non-dropping-particle":"","parse-names":false,"suffix":""},{"dropping-particle":"","family":"Holder","given":"Holly","non-dropping-particle":"","parse-names":false,"suffix":""},{"dropping-particle":"","family":"Castel-Clarke","given":"Sophie","non-dropping-particle":"","parse-names":false,"suffix":""},{"dropping-particle":"","family":"Nimmons","given":"Danielle","non-dropping-particle":"","parse-names":false,"suffix":""},{"dropping-particle":"","family":"Appleby","given":"John","non-dropping-particle":"","parse-names":false,"suffix":""},{"dropping-particle":"","family":"Thorly","given":"Ruth","non-dropping-particle":"","parse-names":false,"suffix":""},{"dropping-particle":"","family":"Lombardo","given":"Silvia","non-dropping-particle":"","parse-names":false,"suffix":""}],"id":"ITEM-1","issue":"March","issued":{"date-parts":[["2017"]]},"title":"Shifting the Balance of Care","type":"article-journal"},"uris":["http://www.mendeley.com/documents/?uuid=1fad3fd6-1743-4c59-9af2-2bdd20a87ee4","http://www.mendeley.com/documents/?uuid=d717db32-e9a0-42f0-a9cd-d2c5c2e81395"]}],"mendeley":{"formattedCitation":"[2]","plainTextFormattedCitation":"[2]","previouslyFormattedCitation":"[2]"},"properties":{"noteIndex":0},"schema":"https://github.com/citation-style-language/schema/raw/master/csl-citation.json"}</w:instrText>
      </w:r>
      <w:r w:rsidR="00887613">
        <w:rPr>
          <w:rFonts w:ascii="Garamond" w:hAnsi="Garamond"/>
          <w:sz w:val="22"/>
          <w:szCs w:val="22"/>
        </w:rPr>
        <w:fldChar w:fldCharType="separate"/>
      </w:r>
      <w:r w:rsidR="00887613" w:rsidRPr="00887613">
        <w:rPr>
          <w:rFonts w:ascii="Garamond" w:hAnsi="Garamond"/>
          <w:noProof/>
          <w:sz w:val="22"/>
          <w:szCs w:val="22"/>
        </w:rPr>
        <w:t>[2]</w:t>
      </w:r>
      <w:r w:rsidR="00887613">
        <w:rPr>
          <w:rFonts w:ascii="Garamond" w:hAnsi="Garamond"/>
          <w:sz w:val="22"/>
          <w:szCs w:val="22"/>
        </w:rPr>
        <w:fldChar w:fldCharType="end"/>
      </w:r>
      <w:r w:rsidR="0072011A" w:rsidRPr="009B3828">
        <w:rPr>
          <w:rFonts w:ascii="Garamond" w:hAnsi="Garamond"/>
          <w:sz w:val="22"/>
          <w:szCs w:val="22"/>
        </w:rPr>
        <w:t xml:space="preserve"> </w:t>
      </w:r>
      <w:r w:rsidR="00CF1CF3">
        <w:rPr>
          <w:rFonts w:ascii="Garamond" w:hAnsi="Garamond"/>
          <w:sz w:val="22"/>
          <w:szCs w:val="22"/>
        </w:rPr>
        <w:t>In fact</w:t>
      </w:r>
      <w:r w:rsidR="000720FC">
        <w:rPr>
          <w:rFonts w:ascii="Garamond" w:hAnsi="Garamond"/>
          <w:sz w:val="22"/>
          <w:szCs w:val="22"/>
        </w:rPr>
        <w:t>,</w:t>
      </w:r>
      <w:r w:rsidR="00CF1CF3">
        <w:rPr>
          <w:rFonts w:ascii="Garamond" w:hAnsi="Garamond"/>
          <w:sz w:val="22"/>
          <w:szCs w:val="22"/>
        </w:rPr>
        <w:t xml:space="preserve"> the number of admissions has </w:t>
      </w:r>
      <w:r w:rsidR="000720FC">
        <w:rPr>
          <w:rFonts w:ascii="Garamond" w:hAnsi="Garamond"/>
          <w:sz w:val="22"/>
          <w:szCs w:val="22"/>
        </w:rPr>
        <w:t xml:space="preserve">increased </w:t>
      </w:r>
      <w:r w:rsidR="000720FC" w:rsidRPr="009B3828">
        <w:rPr>
          <w:rFonts w:ascii="Garamond" w:hAnsi="Garamond"/>
          <w:sz w:val="22"/>
          <w:szCs w:val="22"/>
        </w:rPr>
        <w:t>from 12.7 million in 2005/06 to 16.2 million in 2015/16,</w:t>
      </w:r>
      <w:r w:rsidR="000720FC" w:rsidRPr="00E724B5">
        <w:rPr>
          <w:rFonts w:ascii="Garamond" w:hAnsi="Garamond"/>
          <w:sz w:val="22"/>
          <w:szCs w:val="22"/>
        </w:rPr>
        <w:fldChar w:fldCharType="begin" w:fldLock="1"/>
      </w:r>
      <w:r w:rsidR="00481CE7">
        <w:rPr>
          <w:rFonts w:ascii="Garamond" w:hAnsi="Garamond"/>
          <w:sz w:val="22"/>
          <w:szCs w:val="22"/>
        </w:rPr>
        <w:instrText>ADDIN CSL_CITATION {"citationItems":[{"id":"ITEM-1","itemData":{"DOI":"ISBN 978-1-78386-862-9","abstract":"This is a report on hospital inpatient and day case episodes in England. The report includes analysis by admission type, patient demographics and length of stay.","author":[{"dropping-particle":"","family":"Secondary Care Analysis Team (NHS Digital)","given":"","non-dropping-particle":"","parse-names":false,"suffix":""}],"id":"ITEM-1","issue":"November","issued":{"date-parts":[["2016"]]},"title":"Hospital Admitted Patient Care Activity: 2015-16","type":"article-journal"},"uris":["http://www.mendeley.com/documents/?uuid=aea9c6fd-d8a3-4695-a238-bd2c014949cc","http://www.mendeley.com/documents/?uuid=34fde432-454c-42c1-8860-980a2f1c6083"]}],"mendeley":{"formattedCitation":"[3]","plainTextFormattedCitation":"[3]","previouslyFormattedCitation":"[3]"},"properties":{"noteIndex":0},"schema":"https://github.com/citation-style-language/schema/raw/master/csl-citation.json"}</w:instrText>
      </w:r>
      <w:r w:rsidR="000720FC" w:rsidRPr="00E724B5">
        <w:rPr>
          <w:rFonts w:ascii="Garamond" w:hAnsi="Garamond"/>
          <w:sz w:val="22"/>
          <w:szCs w:val="22"/>
        </w:rPr>
        <w:fldChar w:fldCharType="separate"/>
      </w:r>
      <w:r w:rsidR="00F34CD5" w:rsidRPr="00F34CD5">
        <w:rPr>
          <w:rFonts w:ascii="Garamond" w:hAnsi="Garamond"/>
          <w:noProof/>
          <w:sz w:val="22"/>
          <w:szCs w:val="22"/>
        </w:rPr>
        <w:t>[3]</w:t>
      </w:r>
      <w:r w:rsidR="000720FC" w:rsidRPr="00E724B5">
        <w:rPr>
          <w:rFonts w:ascii="Garamond" w:hAnsi="Garamond"/>
          <w:sz w:val="22"/>
          <w:szCs w:val="22"/>
        </w:rPr>
        <w:fldChar w:fldCharType="end"/>
      </w:r>
      <w:r w:rsidR="003E2BFC">
        <w:rPr>
          <w:rFonts w:ascii="Garamond" w:hAnsi="Garamond"/>
          <w:sz w:val="22"/>
          <w:szCs w:val="22"/>
        </w:rPr>
        <w:t xml:space="preserve"> </w:t>
      </w:r>
      <w:r w:rsidR="00CF1CF3">
        <w:rPr>
          <w:rFonts w:ascii="Garamond" w:hAnsi="Garamond"/>
          <w:sz w:val="22"/>
          <w:szCs w:val="22"/>
        </w:rPr>
        <w:t>while the bed stock has decreased</w:t>
      </w:r>
      <w:r w:rsidR="000720FC">
        <w:rPr>
          <w:rFonts w:ascii="Garamond" w:hAnsi="Garamond"/>
          <w:sz w:val="22"/>
          <w:szCs w:val="22"/>
        </w:rPr>
        <w:t xml:space="preserve"> </w:t>
      </w:r>
      <w:r w:rsidR="000720FC" w:rsidRPr="009B3828">
        <w:rPr>
          <w:rFonts w:ascii="Garamond" w:hAnsi="Garamond"/>
          <w:sz w:val="22"/>
          <w:szCs w:val="22"/>
        </w:rPr>
        <w:t>from 300,000 beds in 1987/88 to 1</w:t>
      </w:r>
      <w:r w:rsidR="000720FC">
        <w:rPr>
          <w:rFonts w:ascii="Garamond" w:hAnsi="Garamond"/>
          <w:sz w:val="22"/>
          <w:szCs w:val="22"/>
        </w:rPr>
        <w:t>31</w:t>
      </w:r>
      <w:r w:rsidR="000720FC" w:rsidRPr="009B3828">
        <w:rPr>
          <w:rFonts w:ascii="Garamond" w:hAnsi="Garamond"/>
          <w:sz w:val="22"/>
          <w:szCs w:val="22"/>
        </w:rPr>
        <w:t>,000 in 201</w:t>
      </w:r>
      <w:r w:rsidR="000720FC">
        <w:rPr>
          <w:rFonts w:ascii="Garamond" w:hAnsi="Garamond"/>
          <w:sz w:val="22"/>
          <w:szCs w:val="22"/>
        </w:rPr>
        <w:t>5</w:t>
      </w:r>
      <w:r w:rsidR="000720FC" w:rsidRPr="009B3828">
        <w:rPr>
          <w:rFonts w:ascii="Garamond" w:hAnsi="Garamond"/>
          <w:sz w:val="22"/>
          <w:szCs w:val="22"/>
        </w:rPr>
        <w:t>/1</w:t>
      </w:r>
      <w:r w:rsidR="000720FC">
        <w:rPr>
          <w:rFonts w:ascii="Garamond" w:hAnsi="Garamond"/>
          <w:sz w:val="22"/>
          <w:szCs w:val="22"/>
        </w:rPr>
        <w:t>6.</w:t>
      </w:r>
      <w:r w:rsidR="000720FC" w:rsidRPr="00E724B5">
        <w:rPr>
          <w:rFonts w:ascii="Garamond" w:hAnsi="Garamond"/>
          <w:sz w:val="22"/>
          <w:szCs w:val="22"/>
        </w:rPr>
        <w:fldChar w:fldCharType="begin" w:fldLock="1"/>
      </w:r>
      <w:r w:rsidR="00481CE7">
        <w:rPr>
          <w:rFonts w:ascii="Garamond" w:hAnsi="Garamond"/>
          <w:sz w:val="22"/>
          <w:szCs w:val="22"/>
        </w:rPr>
        <w:instrText>ADDIN CSL_CITATION {"citationItems":[{"id":"ITEM-1","itemData":{"author":[{"dropping-particle":"","family":"Nuffield Trust","given":"","non-dropping-particle":"","parse-names":false,"suffix":""}],"id":"ITEM-1","issued":{"date-parts":[["0"]]},"title":"Average daily number of overnight beds available and occupied in England","type":"webpage"},"uris":["http://www.mendeley.com/documents/?uuid=7569f2ee-b66f-40e9-8900-29749ad00288","http://www.mendeley.com/documents/?uuid=04012acb-b650-40a1-af72-b73578a319de"]},{"id":"ITEM-2","itemData":{"author":[{"dropping-particle":"","family":"NHS England","given":"","non-dropping-particle":"","parse-names":false,"suffix":""}],"id":"ITEM-2","issued":{"date-parts":[["0"]]},"title":"Bed Availability and Occupancy Data – Overnight","type":"webpage"},"uris":["http://www.mendeley.com/documents/?uuid=a1be79fa-9284-4c31-a391-3dfed08baf9a","http://www.mendeley.com/documents/?uuid=21c9d321-d954-4770-8cbf-ef1b4175e2c9"]}],"mendeley":{"formattedCitation":"[1,4]","plainTextFormattedCitation":"[1,4]","previouslyFormattedCitation":"[1,4]"},"properties":{"noteIndex":0},"schema":"https://github.com/citation-style-language/schema/raw/master/csl-citation.json"}</w:instrText>
      </w:r>
      <w:r w:rsidR="000720FC" w:rsidRPr="00E724B5">
        <w:rPr>
          <w:rFonts w:ascii="Garamond" w:hAnsi="Garamond"/>
          <w:sz w:val="22"/>
          <w:szCs w:val="22"/>
        </w:rPr>
        <w:fldChar w:fldCharType="separate"/>
      </w:r>
      <w:r w:rsidR="00F34CD5" w:rsidRPr="00F34CD5">
        <w:rPr>
          <w:rFonts w:ascii="Garamond" w:hAnsi="Garamond"/>
          <w:noProof/>
          <w:sz w:val="22"/>
          <w:szCs w:val="22"/>
        </w:rPr>
        <w:t>[1,4]</w:t>
      </w:r>
      <w:r w:rsidR="000720FC" w:rsidRPr="00E724B5">
        <w:rPr>
          <w:rFonts w:ascii="Garamond" w:hAnsi="Garamond"/>
          <w:sz w:val="22"/>
          <w:szCs w:val="22"/>
        </w:rPr>
        <w:fldChar w:fldCharType="end"/>
      </w:r>
      <w:r w:rsidR="000720FC">
        <w:rPr>
          <w:rFonts w:ascii="Garamond" w:hAnsi="Garamond"/>
          <w:sz w:val="22"/>
          <w:szCs w:val="22"/>
        </w:rPr>
        <w:t xml:space="preserve"> </w:t>
      </w:r>
      <w:r w:rsidR="000720FC" w:rsidRPr="00426AB5">
        <w:rPr>
          <w:rFonts w:ascii="Garamond" w:hAnsi="Garamond"/>
          <w:sz w:val="22"/>
          <w:szCs w:val="22"/>
        </w:rPr>
        <w:t xml:space="preserve">This means that England has now </w:t>
      </w:r>
      <w:r w:rsidR="00D17674">
        <w:rPr>
          <w:rFonts w:ascii="Garamond" w:hAnsi="Garamond"/>
          <w:sz w:val="22"/>
          <w:szCs w:val="22"/>
        </w:rPr>
        <w:t xml:space="preserve">one of </w:t>
      </w:r>
      <w:r w:rsidR="000720FC" w:rsidRPr="00426AB5">
        <w:rPr>
          <w:rFonts w:ascii="Garamond" w:hAnsi="Garamond"/>
          <w:sz w:val="22"/>
          <w:szCs w:val="22"/>
        </w:rPr>
        <w:t xml:space="preserve">the lowest rates of hospital beds per population </w:t>
      </w:r>
      <w:r w:rsidR="008A2929" w:rsidRPr="00426AB5">
        <w:rPr>
          <w:rFonts w:ascii="Garamond" w:hAnsi="Garamond"/>
          <w:sz w:val="22"/>
          <w:szCs w:val="22"/>
        </w:rPr>
        <w:t xml:space="preserve">(i.e. </w:t>
      </w:r>
      <w:r w:rsidR="009A7705">
        <w:rPr>
          <w:rFonts w:ascii="Garamond" w:hAnsi="Garamond"/>
          <w:sz w:val="22"/>
          <w:szCs w:val="22"/>
        </w:rPr>
        <w:t xml:space="preserve">the number of beds per 1,000 population decreased from 6.3 beds in 1987 to </w:t>
      </w:r>
      <w:r w:rsidR="008A2929" w:rsidRPr="00426AB5">
        <w:rPr>
          <w:rFonts w:ascii="Garamond" w:hAnsi="Garamond"/>
          <w:sz w:val="22"/>
          <w:szCs w:val="22"/>
        </w:rPr>
        <w:t xml:space="preserve">2.3 beds </w:t>
      </w:r>
      <w:r w:rsidR="009A7705">
        <w:rPr>
          <w:rFonts w:ascii="Garamond" w:hAnsi="Garamond"/>
          <w:sz w:val="22"/>
          <w:szCs w:val="22"/>
        </w:rPr>
        <w:t>in 2016</w:t>
      </w:r>
      <w:r w:rsidR="008A2929" w:rsidRPr="00426AB5">
        <w:rPr>
          <w:rFonts w:ascii="Garamond" w:hAnsi="Garamond"/>
          <w:sz w:val="22"/>
          <w:szCs w:val="22"/>
        </w:rPr>
        <w:t>)</w:t>
      </w:r>
      <w:r w:rsidR="009A7705">
        <w:rPr>
          <w:rFonts w:ascii="Garamond" w:hAnsi="Garamond"/>
          <w:sz w:val="22"/>
          <w:szCs w:val="22"/>
        </w:rPr>
        <w:t>,</w:t>
      </w:r>
      <w:r w:rsidR="008A2929" w:rsidRPr="00426AB5">
        <w:rPr>
          <w:rFonts w:ascii="Garamond" w:hAnsi="Garamond"/>
          <w:sz w:val="22"/>
          <w:szCs w:val="22"/>
        </w:rPr>
        <w:fldChar w:fldCharType="begin" w:fldLock="1"/>
      </w:r>
      <w:r w:rsidR="00481CE7">
        <w:rPr>
          <w:rFonts w:ascii="Garamond" w:hAnsi="Garamond"/>
          <w:sz w:val="22"/>
          <w:szCs w:val="22"/>
        </w:rPr>
        <w:instrText>ADDIN CSL_CITATION {"citationItems":[{"id":"ITEM-1","itemData":{"author":[{"dropping-particle":"","family":"Office for National Statistics","given":"","non-dropping-particle":"","parse-names":false,"suffix":""}],"id":"ITEM-1","issue":"June 2017","issued":{"date-parts":[["2017"]]},"number-of-pages":"1-23","title":"Population Estimates for UK, England and Wales, Scotland and Northern Ireland, Mid-2001 to Mid-2010 Revised","type":"report"},"uris":["http://www.mendeley.com/documents/?uuid=cce47675-f167-4110-bf08-70548cd3bb7a","http://www.mendeley.com/documents/?uuid=0208c56c-74ab-4bf2-bb5e-1aaaee6ea219"]},{"id":"ITEM-2","itemData":{"author":[{"dropping-particle":"","family":"NHS England","given":"","non-dropping-particle":"","parse-names":false,"suffix":""}],"id":"ITEM-2","issued":{"date-parts":[["0"]]},"title":"Bed Availability and Occupancy Data – Overnight","type":"webpage"},"uris":["http://www.mendeley.com/documents/?uuid=a1be79fa-9284-4c31-a391-3dfed08baf9a","http://www.mendeley.com/documents/?uuid=21c9d321-d954-4770-8cbf-ef1b4175e2c9"]}],"mendeley":{"formattedCitation":"[1,5]","plainTextFormattedCitation":"[1,5]","previouslyFormattedCitation":"[1,5]"},"properties":{"noteIndex":0},"schema":"https://github.com/citation-style-language/schema/raw/master/csl-citation.json"}</w:instrText>
      </w:r>
      <w:r w:rsidR="008A2929" w:rsidRPr="00426AB5">
        <w:rPr>
          <w:rFonts w:ascii="Garamond" w:hAnsi="Garamond"/>
          <w:sz w:val="22"/>
          <w:szCs w:val="22"/>
        </w:rPr>
        <w:fldChar w:fldCharType="separate"/>
      </w:r>
      <w:r w:rsidR="008A2929" w:rsidRPr="00426AB5">
        <w:rPr>
          <w:rFonts w:ascii="Garamond" w:hAnsi="Garamond"/>
          <w:noProof/>
          <w:sz w:val="22"/>
          <w:szCs w:val="22"/>
        </w:rPr>
        <w:t>[1,5]</w:t>
      </w:r>
      <w:r w:rsidR="008A2929" w:rsidRPr="00426AB5">
        <w:rPr>
          <w:rFonts w:ascii="Garamond" w:hAnsi="Garamond"/>
          <w:sz w:val="22"/>
          <w:szCs w:val="22"/>
        </w:rPr>
        <w:fldChar w:fldCharType="end"/>
      </w:r>
      <w:r w:rsidR="008A2929" w:rsidRPr="00426AB5">
        <w:rPr>
          <w:rFonts w:ascii="Garamond" w:hAnsi="Garamond"/>
          <w:sz w:val="22"/>
          <w:szCs w:val="22"/>
        </w:rPr>
        <w:t xml:space="preserve"> and bed occupancy rates are particularly high, though Israel, Ireland and Norway also have rates exceeding 90%.</w:t>
      </w:r>
      <w:r w:rsidR="008A2929" w:rsidRPr="00426AB5">
        <w:rPr>
          <w:rFonts w:ascii="Garamond" w:hAnsi="Garamond"/>
          <w:sz w:val="22"/>
          <w:szCs w:val="22"/>
        </w:rPr>
        <w:fldChar w:fldCharType="begin" w:fldLock="1"/>
      </w:r>
      <w:r w:rsidR="00481CE7">
        <w:rPr>
          <w:rFonts w:ascii="Garamond" w:hAnsi="Garamond"/>
          <w:sz w:val="22"/>
          <w:szCs w:val="22"/>
        </w:rPr>
        <w:instrText>ADDIN CSL_CITATION {"citationItems":[{"id":"ITEM-1","itemData":{"ISBN":"9789264243514","author":[{"dropping-particle":"","family":"OECD","given":"","non-dropping-particle":"","parse-names":false,"suffix":""}],"id":"ITEM-1","issued":{"date-parts":[["2015"]]},"number-of-pages":"220","publisher-place":"Paris","title":"Health at a Glance 2015","type":"report"},"uris":["http://www.mendeley.com/documents/?uuid=9d972ac9-5a42-49e8-a930-2a02cefb54c7","http://www.mendeley.com/documents/?uuid=33f2229b-a1da-455d-94b6-80738776009a"]}],"mendeley":{"formattedCitation":"[6]","plainTextFormattedCitation":"[6]","previouslyFormattedCitation":"[6]"},"properties":{"noteIndex":0},"schema":"https://github.com/citation-style-language/schema/raw/master/csl-citation.json"}</w:instrText>
      </w:r>
      <w:r w:rsidR="008A2929" w:rsidRPr="00426AB5">
        <w:rPr>
          <w:rFonts w:ascii="Garamond" w:hAnsi="Garamond"/>
          <w:sz w:val="22"/>
          <w:szCs w:val="22"/>
        </w:rPr>
        <w:fldChar w:fldCharType="separate"/>
      </w:r>
      <w:r w:rsidR="00F34CD5" w:rsidRPr="00426AB5">
        <w:rPr>
          <w:rFonts w:ascii="Garamond" w:hAnsi="Garamond"/>
          <w:noProof/>
          <w:sz w:val="22"/>
          <w:szCs w:val="22"/>
        </w:rPr>
        <w:t>[6]</w:t>
      </w:r>
      <w:r w:rsidR="008A2929" w:rsidRPr="00426AB5">
        <w:rPr>
          <w:rFonts w:ascii="Garamond" w:hAnsi="Garamond"/>
          <w:sz w:val="22"/>
          <w:szCs w:val="22"/>
        </w:rPr>
        <w:fldChar w:fldCharType="end"/>
      </w:r>
    </w:p>
    <w:p w14:paraId="489D4BC9" w14:textId="77777777" w:rsidR="00A60EEE" w:rsidRDefault="00A60EEE" w:rsidP="008A2929">
      <w:pPr>
        <w:spacing w:line="360" w:lineRule="auto"/>
        <w:rPr>
          <w:rFonts w:ascii="Garamond" w:hAnsi="Garamond"/>
          <w:sz w:val="22"/>
          <w:szCs w:val="22"/>
        </w:rPr>
      </w:pPr>
    </w:p>
    <w:p w14:paraId="083FB406" w14:textId="40C301CC" w:rsidR="00F41AF8" w:rsidRDefault="00855805" w:rsidP="00FC1674">
      <w:pPr>
        <w:spacing w:line="360" w:lineRule="auto"/>
        <w:rPr>
          <w:rFonts w:ascii="Garamond" w:hAnsi="Garamond"/>
          <w:sz w:val="22"/>
          <w:szCs w:val="22"/>
        </w:rPr>
      </w:pPr>
      <w:r>
        <w:rPr>
          <w:rFonts w:ascii="Garamond" w:hAnsi="Garamond"/>
          <w:sz w:val="22"/>
          <w:szCs w:val="22"/>
        </w:rPr>
        <w:t>Clinical leadership</w:t>
      </w:r>
      <w:r w:rsidR="007C2AAB">
        <w:rPr>
          <w:rFonts w:ascii="Garamond" w:hAnsi="Garamond"/>
          <w:sz w:val="22"/>
          <w:szCs w:val="22"/>
        </w:rPr>
        <w:t xml:space="preserve"> </w:t>
      </w:r>
      <w:r>
        <w:rPr>
          <w:rFonts w:ascii="Garamond" w:hAnsi="Garamond"/>
          <w:sz w:val="22"/>
          <w:szCs w:val="22"/>
        </w:rPr>
        <w:t>ha</w:t>
      </w:r>
      <w:r w:rsidR="00390294">
        <w:rPr>
          <w:rFonts w:ascii="Garamond" w:hAnsi="Garamond"/>
          <w:sz w:val="22"/>
          <w:szCs w:val="22"/>
        </w:rPr>
        <w:t>s</w:t>
      </w:r>
      <w:r>
        <w:rPr>
          <w:rFonts w:ascii="Garamond" w:hAnsi="Garamond"/>
          <w:sz w:val="22"/>
          <w:szCs w:val="22"/>
        </w:rPr>
        <w:t xml:space="preserve"> </w:t>
      </w:r>
      <w:r w:rsidR="007C52F7">
        <w:rPr>
          <w:rFonts w:ascii="Garamond" w:hAnsi="Garamond"/>
          <w:sz w:val="22"/>
          <w:szCs w:val="22"/>
        </w:rPr>
        <w:t>expressed</w:t>
      </w:r>
      <w:r w:rsidR="007C52F7" w:rsidRPr="002B3054">
        <w:rPr>
          <w:rFonts w:ascii="Garamond" w:hAnsi="Garamond"/>
          <w:sz w:val="22"/>
          <w:szCs w:val="22"/>
        </w:rPr>
        <w:t xml:space="preserve"> </w:t>
      </w:r>
      <w:r w:rsidR="007C52F7">
        <w:rPr>
          <w:rFonts w:ascii="Garamond" w:hAnsi="Garamond"/>
          <w:sz w:val="22"/>
          <w:szCs w:val="22"/>
        </w:rPr>
        <w:t>concern about</w:t>
      </w:r>
      <w:r w:rsidR="005B260C" w:rsidRPr="002B3054">
        <w:rPr>
          <w:rFonts w:ascii="Garamond" w:hAnsi="Garamond"/>
          <w:sz w:val="22"/>
          <w:szCs w:val="22"/>
        </w:rPr>
        <w:t xml:space="preserve"> rises in bed occupancy rates</w:t>
      </w:r>
      <w:r w:rsidR="007C52F7">
        <w:rPr>
          <w:rFonts w:ascii="Garamond" w:hAnsi="Garamond"/>
          <w:sz w:val="22"/>
          <w:szCs w:val="22"/>
        </w:rPr>
        <w:t xml:space="preserve"> and how</w:t>
      </w:r>
      <w:r w:rsidR="005B260C" w:rsidRPr="002B3054">
        <w:rPr>
          <w:rFonts w:ascii="Garamond" w:hAnsi="Garamond"/>
          <w:sz w:val="22"/>
          <w:szCs w:val="22"/>
        </w:rPr>
        <w:t xml:space="preserve"> they </w:t>
      </w:r>
      <w:r w:rsidR="007C52F7">
        <w:rPr>
          <w:rFonts w:ascii="Garamond" w:hAnsi="Garamond"/>
          <w:sz w:val="22"/>
          <w:szCs w:val="22"/>
        </w:rPr>
        <w:t>might</w:t>
      </w:r>
      <w:r w:rsidR="007C52F7" w:rsidRPr="002B3054">
        <w:rPr>
          <w:rFonts w:ascii="Garamond" w:hAnsi="Garamond"/>
          <w:sz w:val="22"/>
          <w:szCs w:val="22"/>
        </w:rPr>
        <w:t xml:space="preserve"> </w:t>
      </w:r>
      <w:r w:rsidR="005B260C" w:rsidRPr="002B3054">
        <w:rPr>
          <w:rFonts w:ascii="Garamond" w:hAnsi="Garamond"/>
          <w:sz w:val="22"/>
          <w:szCs w:val="22"/>
        </w:rPr>
        <w:t>affect the ability of hospital teams to deliver high quality care</w:t>
      </w:r>
      <w:r w:rsidR="00AF6C75" w:rsidRPr="002B3054">
        <w:rPr>
          <w:rFonts w:ascii="Garamond" w:hAnsi="Garamond"/>
          <w:sz w:val="22"/>
          <w:szCs w:val="22"/>
        </w:rPr>
        <w:t>.</w:t>
      </w:r>
      <w:r w:rsidR="00AF6C75" w:rsidRPr="002B3054">
        <w:rPr>
          <w:rFonts w:ascii="Garamond" w:hAnsi="Garamond"/>
          <w:sz w:val="22"/>
          <w:szCs w:val="22"/>
        </w:rPr>
        <w:fldChar w:fldCharType="begin" w:fldLock="1"/>
      </w:r>
      <w:r w:rsidR="00481CE7">
        <w:rPr>
          <w:rFonts w:ascii="Garamond" w:hAnsi="Garamond"/>
          <w:sz w:val="22"/>
          <w:szCs w:val="22"/>
        </w:rPr>
        <w:instrText>ADDIN CSL_CITATION {"citationItems":[{"id":"ITEM-1","itemData":{"author":[{"dropping-particle":"","family":"British Medical Association","given":"","non-dropping-particle":"","parse-names":false,"suffix":""}],"id":"ITEM-1","issued":{"date-parts":[["2017"]]},"number-of-pages":"1-20","publisher-place":"London, England","title":"State of the health system Beds in the NHS: England","type":"report"},"uris":["http://www.mendeley.com/documents/?uuid=1fd038c4-d514-4e6a-a084-f0789ff4932a","http://www.mendeley.com/documents/?uuid=84413301-152d-4bbe-afed-b3f750a088e1"]}],"mendeley":{"formattedCitation":"[7]","plainTextFormattedCitation":"[7]","previouslyFormattedCitation":"[7]"},"properties":{"noteIndex":0},"schema":"https://github.com/citation-style-language/schema/raw/master/csl-citation.json"}</w:instrText>
      </w:r>
      <w:r w:rsidR="00AF6C75" w:rsidRPr="002B3054">
        <w:rPr>
          <w:rFonts w:ascii="Garamond" w:hAnsi="Garamond"/>
          <w:sz w:val="22"/>
          <w:szCs w:val="22"/>
        </w:rPr>
        <w:fldChar w:fldCharType="separate"/>
      </w:r>
      <w:r w:rsidR="00AF6C75" w:rsidRPr="002B3054">
        <w:rPr>
          <w:rFonts w:ascii="Garamond" w:hAnsi="Garamond"/>
          <w:noProof/>
          <w:sz w:val="22"/>
          <w:szCs w:val="22"/>
        </w:rPr>
        <w:t>[7]</w:t>
      </w:r>
      <w:r w:rsidR="00AF6C75" w:rsidRPr="002B3054">
        <w:rPr>
          <w:rFonts w:ascii="Garamond" w:hAnsi="Garamond"/>
          <w:sz w:val="22"/>
          <w:szCs w:val="22"/>
        </w:rPr>
        <w:fldChar w:fldCharType="end"/>
      </w:r>
      <w:r w:rsidR="00AF6C75" w:rsidRPr="002B3054">
        <w:rPr>
          <w:rFonts w:ascii="Garamond" w:hAnsi="Garamond"/>
          <w:sz w:val="22"/>
          <w:szCs w:val="22"/>
        </w:rPr>
        <w:t xml:space="preserve"> </w:t>
      </w:r>
      <w:r w:rsidR="00F85529">
        <w:rPr>
          <w:rFonts w:ascii="Garamond" w:hAnsi="Garamond"/>
          <w:sz w:val="22"/>
          <w:szCs w:val="22"/>
        </w:rPr>
        <w:t>T</w:t>
      </w:r>
      <w:r w:rsidR="000D094A">
        <w:rPr>
          <w:rFonts w:ascii="Garamond" w:hAnsi="Garamond"/>
          <w:sz w:val="22"/>
          <w:szCs w:val="22"/>
        </w:rPr>
        <w:t>here are particular concerns that h</w:t>
      </w:r>
      <w:r w:rsidR="000D094A" w:rsidRPr="002B3054">
        <w:rPr>
          <w:rFonts w:ascii="Garamond" w:hAnsi="Garamond"/>
          <w:sz w:val="22"/>
          <w:szCs w:val="22"/>
        </w:rPr>
        <w:t xml:space="preserve">igh </w:t>
      </w:r>
      <w:r w:rsidR="00B73F16" w:rsidRPr="002B3054">
        <w:rPr>
          <w:rFonts w:ascii="Garamond" w:hAnsi="Garamond"/>
          <w:sz w:val="22"/>
          <w:szCs w:val="22"/>
        </w:rPr>
        <w:t xml:space="preserve">bed occupancy rates </w:t>
      </w:r>
      <w:r w:rsidR="007C52F7">
        <w:rPr>
          <w:rFonts w:ascii="Garamond" w:hAnsi="Garamond"/>
          <w:sz w:val="22"/>
          <w:szCs w:val="22"/>
        </w:rPr>
        <w:t>might lead</w:t>
      </w:r>
      <w:r w:rsidR="00AF6C75" w:rsidRPr="002B3054">
        <w:rPr>
          <w:rFonts w:ascii="Garamond" w:hAnsi="Garamond"/>
          <w:sz w:val="22"/>
          <w:szCs w:val="22"/>
        </w:rPr>
        <w:t xml:space="preserve"> to </w:t>
      </w:r>
      <w:r w:rsidR="00B25119" w:rsidRPr="002B3054">
        <w:rPr>
          <w:rFonts w:ascii="Garamond" w:hAnsi="Garamond"/>
          <w:sz w:val="22"/>
          <w:szCs w:val="22"/>
        </w:rPr>
        <w:t>an increased likelihood of adverse events,</w:t>
      </w:r>
      <w:r w:rsidR="00B25119" w:rsidRPr="002B3054">
        <w:rPr>
          <w:rFonts w:ascii="Garamond" w:hAnsi="Garamond"/>
          <w:sz w:val="22"/>
          <w:szCs w:val="22"/>
        </w:rPr>
        <w:fldChar w:fldCharType="begin" w:fldLock="1"/>
      </w:r>
      <w:r w:rsidR="00481CE7">
        <w:rPr>
          <w:rFonts w:ascii="Garamond" w:hAnsi="Garamond"/>
          <w:sz w:val="22"/>
          <w:szCs w:val="22"/>
        </w:rPr>
        <w:instrText>ADDIN CSL_CITATION {"citationItems":[{"id":"ITEM-1","itemData":{"DOI":"10.1097/01.mlr.0000257231.86368.09","ISBN":"0025-7079 (Print)","ISSN":"0025-7079","PMID":"17446831","abstract":"CONTEXT: Hospitals are under pressure to increase revenue and lower costs, and at the same time, they face dramatic variation in clinical demand. OBJECTIVE:: We sought to determine the relationship between peak hospital workload and rates of adverse events (AEs). METHODS: A random sample of 24,676 adult patients discharged from the medical/surgical services at 4 US hospitals (2 urban and 2 suburban teaching hospitals) from October 2000 to September 2001 were screened using administrative data, leaving 6841 cases to be reviewed for the presence of AEs. Daily workload for each hospital was characterized by volume, throughput (admissions and discharges), intensity (aggregate DRG weight), and staffing (patient-to-nurse ratios). For volume, we calculated an \"enhanced\" occupancy rate that accounted for same-day bed occupancy by more than 1 patient. We used Poisson regressions to predict the likelihood of an AE, with control for workload and individual patient complexity, and the effects of clustering. RESULTS: One urban teaching hospital had enhanced occupancy rates more than 100% for much of the year. At that hospital, admissions and patients per nurse were significantly related to the likelihood of an AE (P &lt; 0.05); occupancy rate, discharges, and DRG-weighted census were significant at P &lt; 0.10. For example, a 0.1% increase in the patient-to-nurse ratio led to a 28% increase in the AE rate. Results at the other 3 hospitals varied and were mainly non significant. CONCLUSIONS: Hospitals that operate at or over capacity may experience heightened rates of patient safety events and might consider re-engineering the structures of care to respond better during periods of high stress.","author":[{"dropping-particle":"","family":"Weissman","given":"Joel S","non-dropping-particle":"","parse-names":false,"suffix":""},{"dropping-particle":"","family":"Rothschild","given":"Jeffrey M","non-dropping-particle":"","parse-names":false,"suffix":""},{"dropping-particle":"","family":"Bendavid","given":"Eran","non-dropping-particle":"","parse-names":false,"suffix":""},{"dropping-particle":"","family":"Sprivulis","given":"Peter","non-dropping-particle":"","parse-names":false,"suffix":""},{"dropping-particle":"","family":"Cook","given":"E Francis","non-dropping-particle":"","parse-names":false,"suffix":""},{"dropping-particle":"","family":"Evans","given":"R Scott","non-dropping-particle":"","parse-names":false,"suffix":""},{"dropping-particle":"","family":"Kaganova","given":"Yevgenia","non-dropping-particle":"","parse-names":false,"suffix":""},{"dropping-particle":"","family":"Bender","given":"Melissa","non-dropping-particle":"","parse-names":false,"suffix":""},{"dropping-particle":"","family":"David-Kasdan","given":"JoAnn","non-dropping-particle":"","parse-names":false,"suffix":""},{"dropping-particle":"","family":"Haug","given":"Peter","non-dropping-particle":"","parse-names":false,"suffix":""},{"dropping-particle":"","family":"Lloyd","given":"Jim","non-dropping-particle":"","parse-names":false,"suffix":""},{"dropping-particle":"","family":"Selbovitz","given":"Leslie G","non-dropping-particle":"","parse-names":false,"suffix":""},{"dropping-particle":"","family":"Murff","given":"Harvey J","non-dropping-particle":"","parse-names":false,"suffix":""},{"dropping-particle":"","family":"Bates","given":"David W","non-dropping-particle":"","parse-names":false,"suffix":""}],"container-title":"Medical care","id":"ITEM-1","issue":"5","issued":{"date-parts":[["2007"]]},"page":"448-455","title":"Hospital workload and adverse events.","type":"article-journal","volume":"45"},"uris":["http://www.mendeley.com/documents/?uuid=48cf612c-49ec-4e43-8ce0-5af1f312ca30","http://www.mendeley.com/documents/?uuid=3e41a532-bcab-4f2b-9e6d-cf5d794cd4d0"]}],"mendeley":{"formattedCitation":"[8]","plainTextFormattedCitation":"[8]","previouslyFormattedCitation":"[8]"},"properties":{"noteIndex":0},"schema":"https://github.com/citation-style-language/schema/raw/master/csl-citation.json"}</w:instrText>
      </w:r>
      <w:r w:rsidR="00B25119" w:rsidRPr="002B3054">
        <w:rPr>
          <w:rFonts w:ascii="Garamond" w:hAnsi="Garamond"/>
          <w:sz w:val="22"/>
          <w:szCs w:val="22"/>
        </w:rPr>
        <w:fldChar w:fldCharType="separate"/>
      </w:r>
      <w:r w:rsidR="00752790" w:rsidRPr="00752790">
        <w:rPr>
          <w:rFonts w:ascii="Garamond" w:hAnsi="Garamond"/>
          <w:noProof/>
          <w:sz w:val="22"/>
          <w:szCs w:val="22"/>
        </w:rPr>
        <w:t>[8]</w:t>
      </w:r>
      <w:r w:rsidR="00B25119" w:rsidRPr="002B3054">
        <w:rPr>
          <w:rFonts w:ascii="Garamond" w:hAnsi="Garamond"/>
          <w:sz w:val="22"/>
          <w:szCs w:val="22"/>
        </w:rPr>
        <w:fldChar w:fldCharType="end"/>
      </w:r>
      <w:r w:rsidR="00B25119" w:rsidRPr="002B3054">
        <w:rPr>
          <w:rFonts w:ascii="Garamond" w:hAnsi="Garamond"/>
          <w:sz w:val="22"/>
          <w:szCs w:val="22"/>
        </w:rPr>
        <w:t xml:space="preserve"> challenges in securing the resources needed to diagnose and treat patients,</w:t>
      </w:r>
      <w:r w:rsidR="002B3054" w:rsidRPr="002B3054">
        <w:rPr>
          <w:rFonts w:ascii="Garamond" w:hAnsi="Garamond"/>
          <w:sz w:val="22"/>
          <w:szCs w:val="22"/>
        </w:rPr>
        <w:fldChar w:fldCharType="begin" w:fldLock="1"/>
      </w:r>
      <w:r w:rsidR="00481CE7">
        <w:rPr>
          <w:rFonts w:ascii="Garamond" w:hAnsi="Garamond"/>
          <w:sz w:val="22"/>
          <w:szCs w:val="22"/>
        </w:rPr>
        <w:instrText>ADDIN CSL_CITATION {"citationItems":[{"id":"ITEM-1","itemData":{"DOI":"10.1136/bmjqs-2012-001767","ISBN":"2044-5423 (Electronic)\\r2044-5415 (Linking)","ISSN":"2044-5415","PMID":"23898215","abstract":"BACKGROUND There is strong evidence to show that lower nurse staffing levels in hospitals are associated with worse patient outcomes. One hypothesised mechanism is the omission of necessary nursing care caused by time pressure-'missed care'. AIM To examine the nature and prevalence of care left undone by nurses in English National Health Service hospitals and to assess whether the number of missed care episodes is associated with nurse staffing levels and nurse ratings of the quality of nursing care and patient safety environment. METHODS Cross-sectional survey of 2917 registered nurses working in 401 general medical/surgical wards in 46 general acute National Health Service hospitals in England. RESULTS Most nurses (86%) reported that one or more care activity had been left undone due to lack of time on their last shift. Most frequently left undone were: comforting or talking with patients (66%), educating patients (52%) and developing/updating nursing care plans (47%). The number of patients per registered nurse was significantly associated with the incidence of 'missed care' (p&lt;0.001). A mean of 7.8 activities per shift were left undone on wards that are rated as 'failing' on patient safety, compared with 2.4 where patient safety was rated as 'excellent' (p &lt; 0.001). CONCLUSIONS Nurses working in English hospitals report that care is frequently left undone. Care not being delivered may be the reason low nurse staffing levels adversely affects quality and safety. Hospitals could use a nurse-rated assessment of 'missed care' as an early warning measure to identify wards with inadequate nurse staffing.","author":[{"dropping-particle":"","family":"Ball","given":"Jane E","non-dropping-particle":"","parse-names":false,"suffix":""},{"dropping-particle":"","family":"Murrells","given":"Trevor","non-dropping-particle":"","parse-names":false,"suffix":""},{"dropping-particle":"","family":"Rafferty","given":"Anne Marie","non-dropping-particle":"","parse-names":false,"suffix":""},{"dropping-particle":"","family":"Morrow","given":"Elizabeth","non-dropping-particle":"","parse-names":false,"suffix":""},{"dropping-particle":"","family":"Griffiths","given":"Peter","non-dropping-particle":"","parse-names":false,"suffix":""}],"container-title":"BMJ Quality &amp; Safety","id":"ITEM-1","issue":"2","issued":{"date-parts":[["2014"]]},"page":"116-125","title":"‘Care left undone’ during nursing shifts: associations with workload and perceived quality of care","type":"article-journal","volume":"23"},"uris":["http://www.mendeley.com/documents/?uuid=80dfbd22-c6b5-4680-8bf4-aae5410c89a0","http://www.mendeley.com/documents/?uuid=18fadc89-e7fc-45e4-b7ba-881ba60016de"]}],"mendeley":{"formattedCitation":"[9]","plainTextFormattedCitation":"[9]","previouslyFormattedCitation":"[9]"},"properties":{"noteIndex":0},"schema":"https://github.com/citation-style-language/schema/raw/master/csl-citation.json"}</w:instrText>
      </w:r>
      <w:r w:rsidR="002B3054" w:rsidRPr="002B3054">
        <w:rPr>
          <w:rFonts w:ascii="Garamond" w:hAnsi="Garamond"/>
          <w:sz w:val="22"/>
          <w:szCs w:val="22"/>
        </w:rPr>
        <w:fldChar w:fldCharType="separate"/>
      </w:r>
      <w:r w:rsidR="00752790" w:rsidRPr="00752790">
        <w:rPr>
          <w:rFonts w:ascii="Garamond" w:hAnsi="Garamond"/>
          <w:noProof/>
          <w:sz w:val="22"/>
          <w:szCs w:val="22"/>
        </w:rPr>
        <w:t>[9]</w:t>
      </w:r>
      <w:r w:rsidR="002B3054" w:rsidRPr="002B3054">
        <w:rPr>
          <w:rFonts w:ascii="Garamond" w:hAnsi="Garamond"/>
          <w:sz w:val="22"/>
          <w:szCs w:val="22"/>
        </w:rPr>
        <w:fldChar w:fldCharType="end"/>
      </w:r>
      <w:r w:rsidR="00B25119" w:rsidRPr="002B3054">
        <w:rPr>
          <w:rFonts w:ascii="Garamond" w:hAnsi="Garamond"/>
          <w:sz w:val="22"/>
          <w:szCs w:val="22"/>
        </w:rPr>
        <w:t xml:space="preserve"> and problems with planning for the discharge of larger numbers of patients.</w:t>
      </w:r>
      <w:r w:rsidR="002B3054" w:rsidRPr="002B3054">
        <w:rPr>
          <w:rFonts w:ascii="Garamond" w:hAnsi="Garamond"/>
          <w:sz w:val="22"/>
          <w:szCs w:val="22"/>
        </w:rPr>
        <w:fldChar w:fldCharType="begin" w:fldLock="1"/>
      </w:r>
      <w:r w:rsidR="00481CE7">
        <w:rPr>
          <w:rFonts w:ascii="Garamond" w:hAnsi="Garamond"/>
          <w:sz w:val="22"/>
          <w:szCs w:val="22"/>
        </w:rPr>
        <w:instrText>ADDIN CSL_CITATION {"citationItems":[{"id":"ITEM-1","itemData":{"DOI":"10.1186/1472-6963-13-156","ISBN":"1472-6963 (Electronic)\\r1472-6963 (Linking)","ISSN":"1472-6963","PMID":"23631468","abstract":"BACKGROUND: Patient neglect is an issue of increasing public concern in Europe and North America, yet remains poorly understood. This is the first systematic review on the nature, frequency and causes of patient neglect as distinct from patient safety topics such as medical error.\\n\\nMETHOD: The Pubmed, Science Direct, and Medline databases were searched in order to identify research studies investigating patient neglect. Ten articles and four government reports met the inclusion criteria of reporting primary data on the occurrence or causes of patient neglect. Qualitative and quantitative data extraction investigated (1) the definition of patient neglect, (2) the forms of behaviour associated with neglect, (3) the reported frequency of neglect, and (4) the causes of neglect.\\n\\nRESULTS: Patient neglect is found to have two aspects. First, procedure neglect, which refers to failures of healthcare staff to achieve objective standards of care. Second, caring neglect, which refers to behaviours that lead patients and observers to believe that staff have uncaring attitudes. The perceived frequency of neglectful behaviour varies by observer. Patients and their family members are more likely to report neglect than healthcare staff, and nurses are more likely to report on the neglectful behaviours of other nurses than on their own behaviour. The causes of patient neglect frequently relate to organisational factors (e.g. high workloads that constrain the behaviours of healthcare staff, burnout), and the relationship between carers and patients.\\n\\nCONCLUSION: A social psychology-based conceptual model is developed to explain the occurrence and nature of patient neglect. This model will facilitate investigations of i) differences between patients and healthcare staff in how they perceive neglect, ii) the association with patient neglect and health outcomes, iii) the relative importance of system and organisational factors in causing neglect, and iv) the design of interventions and health policy to reduce patient neglect.","author":[{"dropping-particle":"","family":"Reader","given":"Tom W","non-dropping-particle":"","parse-names":false,"suffix":""},{"dropping-particle":"","family":"Gillespie","given":"Alex","non-dropping-particle":"","parse-names":false,"suffix":""}],"container-title":"BMC Health Services Research","id":"ITEM-1","issue":"1","issued":{"date-parts":[["2013"]]},"page":"156","title":"Patient neglect in healthcare institutions: a systematic review and conceptual model","type":"article-journal","volume":"13"},"uris":["http://www.mendeley.com/documents/?uuid=811e35e2-764a-46c1-a0e1-6fe5fa410450","http://www.mendeley.com/documents/?uuid=ba016e9b-98a8-47a7-bcd1-a59d3379d5b6"]}],"mendeley":{"formattedCitation":"[10]","plainTextFormattedCitation":"[10]","previouslyFormattedCitation":"[10]"},"properties":{"noteIndex":0},"schema":"https://github.com/citation-style-language/schema/raw/master/csl-citation.json"}</w:instrText>
      </w:r>
      <w:r w:rsidR="002B3054" w:rsidRPr="002B3054">
        <w:rPr>
          <w:rFonts w:ascii="Garamond" w:hAnsi="Garamond"/>
          <w:sz w:val="22"/>
          <w:szCs w:val="22"/>
        </w:rPr>
        <w:fldChar w:fldCharType="separate"/>
      </w:r>
      <w:r w:rsidR="00752790" w:rsidRPr="00752790">
        <w:rPr>
          <w:rFonts w:ascii="Garamond" w:hAnsi="Garamond"/>
          <w:noProof/>
          <w:sz w:val="22"/>
          <w:szCs w:val="22"/>
        </w:rPr>
        <w:t>[10]</w:t>
      </w:r>
      <w:r w:rsidR="002B3054" w:rsidRPr="002B3054">
        <w:rPr>
          <w:rFonts w:ascii="Garamond" w:hAnsi="Garamond"/>
          <w:sz w:val="22"/>
          <w:szCs w:val="22"/>
        </w:rPr>
        <w:fldChar w:fldCharType="end"/>
      </w:r>
      <w:r w:rsidR="002B3054" w:rsidRPr="002B3054">
        <w:rPr>
          <w:rFonts w:ascii="Garamond" w:hAnsi="Garamond"/>
          <w:sz w:val="22"/>
          <w:szCs w:val="22"/>
        </w:rPr>
        <w:t xml:space="preserve"> </w:t>
      </w:r>
      <w:r w:rsidR="00A7538D">
        <w:rPr>
          <w:rFonts w:ascii="Garamond" w:hAnsi="Garamond"/>
          <w:sz w:val="22"/>
          <w:szCs w:val="22"/>
        </w:rPr>
        <w:t>Particularly</w:t>
      </w:r>
      <w:r w:rsidR="00F85529">
        <w:rPr>
          <w:rFonts w:ascii="Garamond" w:hAnsi="Garamond"/>
          <w:sz w:val="22"/>
          <w:szCs w:val="22"/>
        </w:rPr>
        <w:t>, i</w:t>
      </w:r>
      <w:r w:rsidR="00B25119" w:rsidRPr="002B3054">
        <w:rPr>
          <w:rFonts w:ascii="Garamond" w:hAnsi="Garamond"/>
          <w:sz w:val="22"/>
          <w:szCs w:val="22"/>
        </w:rPr>
        <w:t xml:space="preserve">ndividual patients </w:t>
      </w:r>
      <w:r w:rsidR="00F85529">
        <w:rPr>
          <w:rFonts w:ascii="Garamond" w:hAnsi="Garamond"/>
          <w:sz w:val="22"/>
          <w:szCs w:val="22"/>
        </w:rPr>
        <w:t>might be</w:t>
      </w:r>
      <w:r w:rsidR="00F85529" w:rsidRPr="002B3054">
        <w:rPr>
          <w:rFonts w:ascii="Garamond" w:hAnsi="Garamond"/>
          <w:sz w:val="22"/>
          <w:szCs w:val="22"/>
        </w:rPr>
        <w:t xml:space="preserve"> </w:t>
      </w:r>
      <w:r w:rsidR="00F85529">
        <w:rPr>
          <w:rFonts w:ascii="Garamond" w:hAnsi="Garamond"/>
          <w:sz w:val="22"/>
          <w:szCs w:val="22"/>
        </w:rPr>
        <w:t>discharged sooner when</w:t>
      </w:r>
      <w:r w:rsidR="00B25119" w:rsidRPr="002B3054">
        <w:rPr>
          <w:rFonts w:ascii="Garamond" w:hAnsi="Garamond"/>
          <w:sz w:val="22"/>
          <w:szCs w:val="22"/>
        </w:rPr>
        <w:t xml:space="preserve"> bed occupancy rates are high,</w:t>
      </w:r>
      <w:r w:rsidR="00B25119" w:rsidRPr="002B3054">
        <w:rPr>
          <w:rFonts w:ascii="Garamond" w:hAnsi="Garamond"/>
          <w:sz w:val="22"/>
          <w:szCs w:val="22"/>
        </w:rPr>
        <w:fldChar w:fldCharType="begin" w:fldLock="1"/>
      </w:r>
      <w:r w:rsidR="00481CE7">
        <w:rPr>
          <w:rFonts w:ascii="Garamond" w:hAnsi="Garamond"/>
          <w:sz w:val="22"/>
          <w:szCs w:val="22"/>
        </w:rPr>
        <w:instrText>ADDIN CSL_CITATION {"citationItems":[{"id":"ITEM-1","itemData":{"DOI":"https://doi.org/10.1071/AH12012","author":[{"dropping-particle":"","family":"Harrison","given":"Gary","non-dropping-particle":"","parse-names":false,"suffix":""},{"dropping-particle":"","family":"Zeitz","given":"Kathryn","non-dropping-particle":"","parse-names":false,"suffix":""},{"dropping-particle":"","family":"Adams","given":"Robert","non-dropping-particle":"","parse-names":false,"suffix":""},{"dropping-particle":"","family":"Mackay","given":"Mark","non-dropping-particle":"","parse-names":false,"suffix":""}],"container-title":"Australian Health Review","id":"ITEM-1","issue":"4","issued":{"date-parts":[["2013"]]},"page":"458-466","title":"Does hospital occupancy impact discharge rates?","type":"article-journal","volume":"37"},"uris":["http://www.mendeley.com/documents/?uuid=f8a1be09-bd72-4608-bcb4-cedf57e9246d","http://www.mendeley.com/documents/?uuid=5a9ea295-57d3-4fc3-aac7-e287982ed3b8"]}],"mendeley":{"formattedCitation":"[11]","plainTextFormattedCitation":"[11]","previouslyFormattedCitation":"[11]"},"properties":{"noteIndex":0},"schema":"https://github.com/citation-style-language/schema/raw/master/csl-citation.json"}</w:instrText>
      </w:r>
      <w:r w:rsidR="00B25119" w:rsidRPr="002B3054">
        <w:rPr>
          <w:rFonts w:ascii="Garamond" w:hAnsi="Garamond"/>
          <w:sz w:val="22"/>
          <w:szCs w:val="22"/>
        </w:rPr>
        <w:fldChar w:fldCharType="separate"/>
      </w:r>
      <w:r w:rsidR="00752790" w:rsidRPr="00752790">
        <w:rPr>
          <w:rFonts w:ascii="Garamond" w:hAnsi="Garamond"/>
          <w:noProof/>
          <w:sz w:val="22"/>
          <w:szCs w:val="22"/>
        </w:rPr>
        <w:t>[11]</w:t>
      </w:r>
      <w:r w:rsidR="00B25119" w:rsidRPr="002B3054">
        <w:rPr>
          <w:rFonts w:ascii="Garamond" w:hAnsi="Garamond"/>
          <w:sz w:val="22"/>
          <w:szCs w:val="22"/>
        </w:rPr>
        <w:fldChar w:fldCharType="end"/>
      </w:r>
      <w:r w:rsidR="00B25119" w:rsidRPr="008A2929">
        <w:rPr>
          <w:rFonts w:ascii="Garamond" w:hAnsi="Garamond"/>
          <w:sz w:val="22"/>
          <w:szCs w:val="22"/>
        </w:rPr>
        <w:t xml:space="preserve"> perhaps because care teams face additional pressures at these times to </w:t>
      </w:r>
      <w:r w:rsidR="007C52F7">
        <w:rPr>
          <w:rFonts w:ascii="Garamond" w:hAnsi="Garamond"/>
          <w:sz w:val="22"/>
          <w:szCs w:val="22"/>
        </w:rPr>
        <w:t>reduce bed occupancy to more manageable levels</w:t>
      </w:r>
      <w:r w:rsidR="00B25119" w:rsidRPr="008A2929">
        <w:rPr>
          <w:rFonts w:ascii="Garamond" w:hAnsi="Garamond"/>
          <w:sz w:val="22"/>
          <w:szCs w:val="22"/>
        </w:rPr>
        <w:t>.</w:t>
      </w:r>
      <w:r w:rsidR="00B25119">
        <w:rPr>
          <w:rFonts w:ascii="Garamond" w:hAnsi="Garamond"/>
          <w:sz w:val="22"/>
          <w:szCs w:val="22"/>
        </w:rPr>
        <w:t xml:space="preserve"> </w:t>
      </w:r>
      <w:r w:rsidR="00B25119" w:rsidRPr="008A2929">
        <w:rPr>
          <w:rFonts w:ascii="Garamond" w:hAnsi="Garamond"/>
          <w:sz w:val="22"/>
          <w:szCs w:val="22"/>
        </w:rPr>
        <w:t>It is unknown</w:t>
      </w:r>
      <w:r w:rsidR="00A7538D">
        <w:rPr>
          <w:rFonts w:ascii="Garamond" w:hAnsi="Garamond"/>
          <w:sz w:val="22"/>
          <w:szCs w:val="22"/>
        </w:rPr>
        <w:t>,</w:t>
      </w:r>
      <w:r w:rsidR="00B25119" w:rsidRPr="008A2929">
        <w:rPr>
          <w:rFonts w:ascii="Garamond" w:hAnsi="Garamond"/>
          <w:sz w:val="22"/>
          <w:szCs w:val="22"/>
        </w:rPr>
        <w:t xml:space="preserve"> yet plausible that </w:t>
      </w:r>
      <w:r w:rsidR="007C52F7">
        <w:rPr>
          <w:rFonts w:ascii="Garamond" w:hAnsi="Garamond"/>
          <w:sz w:val="22"/>
          <w:szCs w:val="22"/>
        </w:rPr>
        <w:t>in</w:t>
      </w:r>
      <w:r w:rsidR="00B25119" w:rsidRPr="008A2929">
        <w:rPr>
          <w:rFonts w:ascii="Garamond" w:hAnsi="Garamond"/>
          <w:sz w:val="22"/>
          <w:szCs w:val="22"/>
        </w:rPr>
        <w:t xml:space="preserve"> some </w:t>
      </w:r>
      <w:r w:rsidR="007C52F7">
        <w:rPr>
          <w:rFonts w:ascii="Garamond" w:hAnsi="Garamond"/>
          <w:sz w:val="22"/>
          <w:szCs w:val="22"/>
        </w:rPr>
        <w:t xml:space="preserve">cases </w:t>
      </w:r>
      <w:r w:rsidR="00B25119" w:rsidRPr="008A2929">
        <w:rPr>
          <w:rFonts w:ascii="Garamond" w:hAnsi="Garamond"/>
          <w:sz w:val="22"/>
          <w:szCs w:val="22"/>
        </w:rPr>
        <w:t xml:space="preserve">patients are </w:t>
      </w:r>
      <w:r w:rsidR="007C52F7">
        <w:rPr>
          <w:rFonts w:ascii="Garamond" w:hAnsi="Garamond"/>
          <w:sz w:val="22"/>
          <w:szCs w:val="22"/>
        </w:rPr>
        <w:t xml:space="preserve">being </w:t>
      </w:r>
      <w:r w:rsidR="00B25119" w:rsidRPr="008A2929">
        <w:rPr>
          <w:rFonts w:ascii="Garamond" w:hAnsi="Garamond"/>
          <w:sz w:val="22"/>
          <w:szCs w:val="22"/>
        </w:rPr>
        <w:t xml:space="preserve">discharged </w:t>
      </w:r>
      <w:r w:rsidR="00B25119">
        <w:rPr>
          <w:rFonts w:ascii="Garamond" w:hAnsi="Garamond"/>
          <w:sz w:val="22"/>
          <w:szCs w:val="22"/>
        </w:rPr>
        <w:t xml:space="preserve">before adequate </w:t>
      </w:r>
      <w:r w:rsidR="00B25119" w:rsidRPr="008A2929">
        <w:rPr>
          <w:rFonts w:ascii="Garamond" w:hAnsi="Garamond"/>
          <w:sz w:val="22"/>
          <w:szCs w:val="22"/>
        </w:rPr>
        <w:t xml:space="preserve">transitional </w:t>
      </w:r>
      <w:r w:rsidR="00B25119" w:rsidRPr="008A2929">
        <w:rPr>
          <w:rFonts w:ascii="Garamond" w:hAnsi="Garamond"/>
          <w:sz w:val="22"/>
          <w:szCs w:val="22"/>
        </w:rPr>
        <w:lastRenderedPageBreak/>
        <w:t xml:space="preserve">or post-discharge care </w:t>
      </w:r>
      <w:r w:rsidR="00B25119">
        <w:rPr>
          <w:rFonts w:ascii="Garamond" w:hAnsi="Garamond"/>
          <w:sz w:val="22"/>
          <w:szCs w:val="22"/>
        </w:rPr>
        <w:t xml:space="preserve">support </w:t>
      </w:r>
      <w:r w:rsidR="00E057B6">
        <w:rPr>
          <w:rFonts w:ascii="Garamond" w:hAnsi="Garamond"/>
          <w:sz w:val="22"/>
          <w:szCs w:val="22"/>
        </w:rPr>
        <w:t xml:space="preserve">is </w:t>
      </w:r>
      <w:r w:rsidR="00B25119" w:rsidRPr="008A2929">
        <w:rPr>
          <w:rFonts w:ascii="Garamond" w:hAnsi="Garamond"/>
          <w:sz w:val="22"/>
          <w:szCs w:val="22"/>
        </w:rPr>
        <w:t>put in</w:t>
      </w:r>
      <w:r w:rsidR="00B25119">
        <w:rPr>
          <w:rFonts w:ascii="Garamond" w:hAnsi="Garamond"/>
          <w:sz w:val="22"/>
          <w:szCs w:val="22"/>
        </w:rPr>
        <w:t>to</w:t>
      </w:r>
      <w:r w:rsidR="00B25119" w:rsidRPr="008A2929">
        <w:rPr>
          <w:rFonts w:ascii="Garamond" w:hAnsi="Garamond"/>
          <w:sz w:val="22"/>
          <w:szCs w:val="22"/>
        </w:rPr>
        <w:t xml:space="preserve"> place</w:t>
      </w:r>
      <w:r w:rsidR="00BD5B25">
        <w:rPr>
          <w:rFonts w:ascii="Garamond" w:hAnsi="Garamond"/>
          <w:sz w:val="22"/>
          <w:szCs w:val="22"/>
        </w:rPr>
        <w:t>,</w:t>
      </w:r>
      <w:r w:rsidR="00F85529">
        <w:rPr>
          <w:rFonts w:ascii="Garamond" w:hAnsi="Garamond"/>
          <w:sz w:val="22"/>
          <w:szCs w:val="22"/>
        </w:rPr>
        <w:t xml:space="preserve"> and this might carry a risk to patient care</w:t>
      </w:r>
      <w:r w:rsidR="00A81135">
        <w:rPr>
          <w:rFonts w:ascii="Garamond" w:hAnsi="Garamond"/>
          <w:sz w:val="22"/>
          <w:szCs w:val="22"/>
        </w:rPr>
        <w:t xml:space="preserve"> and could materialise in a hospital readmission</w:t>
      </w:r>
      <w:r w:rsidR="00B25119" w:rsidRPr="008A2929">
        <w:rPr>
          <w:rFonts w:ascii="Garamond" w:hAnsi="Garamond"/>
          <w:sz w:val="22"/>
          <w:szCs w:val="22"/>
        </w:rPr>
        <w:t>.</w:t>
      </w:r>
      <w:r w:rsidR="00BD5B25">
        <w:rPr>
          <w:rFonts w:ascii="Garamond" w:hAnsi="Garamond"/>
          <w:sz w:val="22"/>
          <w:szCs w:val="22"/>
        </w:rPr>
        <w:fldChar w:fldCharType="begin" w:fldLock="1"/>
      </w:r>
      <w:r w:rsidR="00481CE7">
        <w:rPr>
          <w:rFonts w:ascii="Garamond" w:hAnsi="Garamond"/>
          <w:sz w:val="22"/>
          <w:szCs w:val="22"/>
        </w:rPr>
        <w:instrText>ADDIN CSL_CITATION {"citationItems":[{"id":"ITEM-1","itemData":{"author":[{"dropping-particle":"","family":"Parliamentary and Health Service Ombudsman","given":"","non-dropping-particle":"","parse-names":false,"suffix":""}],"id":"ITEM-1","issued":{"date-parts":[["2016"]]},"number-of-pages":"1-26","publisher-place":"London, England","title":"A report of investigations into unsafe discharge from hospital","type":"report"},"uris":["http://www.mendeley.com/documents/?uuid=2bd9de3a-0175-4b4f-94c0-ba9a77d9f04a","http://www.mendeley.com/documents/?uuid=0a581b6b-b24d-4b4c-91bd-d561a60d6f17"]}],"mendeley":{"formattedCitation":"[12]","plainTextFormattedCitation":"[12]","previouslyFormattedCitation":"[12]"},"properties":{"noteIndex":0},"schema":"https://github.com/citation-style-language/schema/raw/master/csl-citation.json"}</w:instrText>
      </w:r>
      <w:r w:rsidR="00BD5B25">
        <w:rPr>
          <w:rFonts w:ascii="Garamond" w:hAnsi="Garamond"/>
          <w:sz w:val="22"/>
          <w:szCs w:val="22"/>
        </w:rPr>
        <w:fldChar w:fldCharType="separate"/>
      </w:r>
      <w:r w:rsidR="00752790" w:rsidRPr="00752790">
        <w:rPr>
          <w:rFonts w:ascii="Garamond" w:hAnsi="Garamond"/>
          <w:noProof/>
          <w:sz w:val="22"/>
          <w:szCs w:val="22"/>
        </w:rPr>
        <w:t>[12]</w:t>
      </w:r>
      <w:r w:rsidR="00BD5B25">
        <w:rPr>
          <w:rFonts w:ascii="Garamond" w:hAnsi="Garamond"/>
          <w:sz w:val="22"/>
          <w:szCs w:val="22"/>
        </w:rPr>
        <w:fldChar w:fldCharType="end"/>
      </w:r>
      <w:r w:rsidR="00B25119">
        <w:rPr>
          <w:rFonts w:ascii="Garamond" w:hAnsi="Garamond"/>
          <w:sz w:val="22"/>
          <w:szCs w:val="22"/>
        </w:rPr>
        <w:t xml:space="preserve"> </w:t>
      </w:r>
      <w:r w:rsidR="000D094A">
        <w:rPr>
          <w:rFonts w:ascii="Garamond" w:hAnsi="Garamond"/>
          <w:sz w:val="22"/>
          <w:szCs w:val="22"/>
        </w:rPr>
        <w:t>H</w:t>
      </w:r>
      <w:r w:rsidR="00B25119" w:rsidRPr="008A2929">
        <w:rPr>
          <w:rFonts w:ascii="Garamond" w:hAnsi="Garamond"/>
          <w:sz w:val="22"/>
          <w:szCs w:val="22"/>
        </w:rPr>
        <w:t xml:space="preserve">igh bed occupancy rates might </w:t>
      </w:r>
      <w:r w:rsidR="00F34CD5">
        <w:rPr>
          <w:rFonts w:ascii="Garamond" w:hAnsi="Garamond"/>
          <w:sz w:val="22"/>
          <w:szCs w:val="22"/>
        </w:rPr>
        <w:t xml:space="preserve">also </w:t>
      </w:r>
      <w:r w:rsidR="00F85529">
        <w:rPr>
          <w:rFonts w:ascii="Garamond" w:hAnsi="Garamond"/>
          <w:sz w:val="22"/>
          <w:szCs w:val="22"/>
        </w:rPr>
        <w:t>have implications fo</w:t>
      </w:r>
      <w:r w:rsidR="00B25119">
        <w:rPr>
          <w:rFonts w:ascii="Garamond" w:hAnsi="Garamond"/>
          <w:sz w:val="22"/>
          <w:szCs w:val="22"/>
        </w:rPr>
        <w:t>r patient safety, a</w:t>
      </w:r>
      <w:r w:rsidR="00F34CD5">
        <w:rPr>
          <w:rFonts w:ascii="Garamond" w:hAnsi="Garamond"/>
          <w:sz w:val="22"/>
          <w:szCs w:val="22"/>
        </w:rPr>
        <w:t>s</w:t>
      </w:r>
      <w:r w:rsidR="00B25119">
        <w:rPr>
          <w:rFonts w:ascii="Garamond" w:hAnsi="Garamond"/>
          <w:sz w:val="22"/>
          <w:szCs w:val="22"/>
        </w:rPr>
        <w:t xml:space="preserve"> they </w:t>
      </w:r>
      <w:r w:rsidR="003F5EF8">
        <w:rPr>
          <w:rFonts w:ascii="Garamond" w:hAnsi="Garamond"/>
          <w:sz w:val="22"/>
          <w:szCs w:val="22"/>
        </w:rPr>
        <w:t>have been linked</w:t>
      </w:r>
      <w:r w:rsidR="00B25119" w:rsidRPr="008A2929">
        <w:rPr>
          <w:rFonts w:ascii="Garamond" w:hAnsi="Garamond"/>
          <w:sz w:val="22"/>
          <w:szCs w:val="22"/>
        </w:rPr>
        <w:t xml:space="preserve"> </w:t>
      </w:r>
      <w:r w:rsidR="003F5EF8">
        <w:rPr>
          <w:rFonts w:ascii="Garamond" w:hAnsi="Garamond"/>
          <w:sz w:val="22"/>
          <w:szCs w:val="22"/>
        </w:rPr>
        <w:t>to</w:t>
      </w:r>
      <w:r w:rsidR="00B25119">
        <w:rPr>
          <w:rFonts w:ascii="Garamond" w:hAnsi="Garamond"/>
          <w:sz w:val="22"/>
          <w:szCs w:val="22"/>
        </w:rPr>
        <w:t xml:space="preserve"> </w:t>
      </w:r>
      <w:r w:rsidR="00B25119" w:rsidRPr="008A2929">
        <w:rPr>
          <w:rFonts w:ascii="Garamond" w:hAnsi="Garamond"/>
          <w:sz w:val="22"/>
          <w:szCs w:val="22"/>
        </w:rPr>
        <w:t>an increased likelihood of hospital-associated infections such as methicillin-resistant staphylococcus and clostridium difficile.</w:t>
      </w:r>
      <w:r w:rsidR="00B25119" w:rsidRPr="008A2929">
        <w:rPr>
          <w:rFonts w:ascii="Garamond" w:hAnsi="Garamond"/>
          <w:sz w:val="22"/>
          <w:szCs w:val="22"/>
        </w:rPr>
        <w:fldChar w:fldCharType="begin" w:fldLock="1"/>
      </w:r>
      <w:r w:rsidR="00481CE7">
        <w:rPr>
          <w:rFonts w:ascii="Garamond" w:hAnsi="Garamond"/>
          <w:sz w:val="22"/>
          <w:szCs w:val="22"/>
        </w:rPr>
        <w:instrText>ADDIN CSL_CITATION {"citationItems":[{"id":"ITEM-1","itemData":{"DOI":"10.12968/bjon.2006.15.12.21398","ISBN":"0966-0461","ISSN":"0966-0461","PMID":"16835541","abstract":"This article (a follow on from an article concentrating on Northern Ireland) examines the relationship between percentage bed occupancy (PO), turnover interval (TI) and methicillin-resistant Staphylococcus aureus (MRSA) rates in the acute beds of specialist English hospital trusts and describes the TI and levels of bed occupancy. The data were collected from publicly available data: MRSA rates of blood-borne infection per 1000 bed days from the Department of Health; average length of stay from Hospital Episode Statistics; and percentage occupancy from the Department of Health Hospital Activity statistics were used. Pearson's Correlation coefficients were used as basis for inferential analysis. The mean TI for all trusts was as 0.94 days, median 0.95 days. Twenty percent of trusts had TIs, on average, of less than 0.58 days (13.9 hours) and 10% had a TI less than 0.32 days (7.6 hours). The mean PO was 84.98% and the median was 84.76%. Seventy percent of the trusts exceeded the recommended 82% bed occupancy. The inference from this study is that there is a relationship between TI and PO and rate of MRSA infection in specialist English hospitals and that PO rates are at a level which may interfere with good infection control procedures.","author":[{"dropping-particle":"","family":"Cunningham","given":"Joseph B","non-dropping-particle":"","parse-names":false,"suffix":""},{"dropping-particle":"","family":"Kernohan","given":"W George","non-dropping-particle":"","parse-names":false,"suffix":""},{"dropping-particle":"","family":"Rush","given":"Thomas","non-dropping-particle":"","parse-names":false,"suffix":""}],"container-title":"British journal of nursing (Mark Allen Publishing)","id":"ITEM-1","issue":"12","issued":{"date-parts":[["2006"]]},"page":"656-60","title":"Bed occupancy, turnover intervals and MRSA rates in English hospitals.","type":"article-journal","volume":"15"},"uris":["http://www.mendeley.com/documents/?uuid=3041b2a4-1cbe-4b2b-81e9-259d37eedd16","http://www.mendeley.com/documents/?uuid=36f2d6b0-73a6-4dac-acc7-b71770f8d697"]},{"id":"ITEM-2","itemData":{"DOI":"10.1111/j.1469-0691.2012.03956.x","ISBN":"1198-743X\\r1469-0691","ISSN":"1198743X","PMID":"22757765","abstract":"There is growing evidence that bed occupancy (BO) rates, overcrowding and understaffing influence the spread of hospital-acquired infections (HAIs). In this article, a systematic review of the literature is presented, summarizing the evidence on the adverse effects of high BO rates and overcrowding in hospitals on the incidence of HAIs. A Pubmed database search identified 179 references, of which 44 were considered to be potentially relevant for full-text review. The majority (62.9%) focused on methicillin-resistant Staphylococcus aureus-associated infection or colonization. Only 12 studies were found that provided a statistical analysis of the impact of BO on HAI rates. The median BO rate of the analysed studies was 81.2%. The majority of studies (75%) indicated that BO rates and understaffing directly influence the incidence of HAIs. Only three studies showed no significant association between BO rates and the incidence of HAIs. Interestingly, only one of the included studies detected a seasonal trend in the BO rate. The present review shows an association between BO rates and the spread of HAIs in various settings. Because the evidence on this topic is limited, we conclude that further research is needed in order to analyse the rationale of a threshold BO rate, because keeping beds empty is comparatively costly.","author":[{"dropping-particle":"","family":"Kaier","given":"K.","non-dropping-particle":"","parse-names":false,"suffix":""},{"dropping-particle":"","family":"Mutters","given":"N. T.","non-dropping-particle":"","parse-names":false,"suffix":""},{"dropping-particle":"","family":"Frank","given":"U.","non-dropping-particle":"","parse-names":false,"suffix":""}],"container-title":"Clinical Microbiology and Infection","id":"ITEM-2","issue":"10","issued":{"date-parts":[["2012"]]},"page":"941-945","publisher":"European Society of Clinical Infectious Diseases","title":"Bed occupancy rates and hospital-acquired infections-should beds be kept empty?","type":"article-journal","volume":"18"},"uris":["http://www.mendeley.com/documents/?uuid=fb3bf534-7439-4246-85e9-5f19e8573992","http://www.mendeley.com/documents/?uuid=426a1ed3-0317-4166-917d-4fb44628e6df"]},{"id":"ITEM-3","itemData":{"DOI":"10.1136/bmjqs-2016-005250","author":[{"dropping-particle":"","family":"Vella","given":"V","non-dropping-particle":"","parse-names":false,"suffix":""},{"dropping-particle":"","family":"Aylin","given":"Paul","non-dropping-particle":"","parse-names":false,"suffix":""},{"dropping-particle":"","family":"Moore","given":"Luke","non-dropping-particle":"","parse-names":false,"suffix":""},{"dropping-particle":"","family":"King","given":"Alice","non-dropping-particle":"","parse-names":false,"suffix":""},{"dropping-particle":"","family":"Naylor","given":"Nichola R","non-dropping-particle":"","parse-names":false,"suffix":""},{"dropping-particle":"","family":"Birgand","given":"Gabriel J C","non-dropping-particle":"","parse-names":false,"suffix":""},{"dropping-particle":"","family":"Lishman","given":"Hannah","non-dropping-particle":"","parse-names":false,"suffix":""},{"dropping-particle":"","family":"Holmes","given":"Alison","non-dropping-particle":"","parse-names":false,"suffix":""}],"container-title":"BMJ quality &amp; safety","id":"ITEM-3","issue":"6","issued":{"date-parts":[["2017"]]},"page":"460-465","title":"Bed utilisation and increased risk of Clostridium difficile infections in acute hospitals in England in 2013/2014","type":"article-journal","volume":"26"},"uris":["http://www.mendeley.com/documents/?uuid=526d41d3-66e2-405a-89c5-a724ff82bad3","http://www.mendeley.com/documents/?uuid=a8643bb3-f832-4c46-9348-fe84eb8b928c"]}],"mendeley":{"formattedCitation":"[13–15]","plainTextFormattedCitation":"[13–15]","previouslyFormattedCitation":"[13–15]"},"properties":{"noteIndex":0},"schema":"https://github.com/citation-style-language/schema/raw/master/csl-citation.json"}</w:instrText>
      </w:r>
      <w:r w:rsidR="00B25119" w:rsidRPr="008A2929">
        <w:rPr>
          <w:rFonts w:ascii="Garamond" w:hAnsi="Garamond"/>
          <w:sz w:val="22"/>
          <w:szCs w:val="22"/>
        </w:rPr>
        <w:fldChar w:fldCharType="separate"/>
      </w:r>
      <w:r w:rsidR="002B3054" w:rsidRPr="002B3054">
        <w:rPr>
          <w:rFonts w:ascii="Garamond" w:hAnsi="Garamond"/>
          <w:noProof/>
          <w:sz w:val="22"/>
          <w:szCs w:val="22"/>
        </w:rPr>
        <w:t>[13–15]</w:t>
      </w:r>
      <w:r w:rsidR="00B25119" w:rsidRPr="008A2929">
        <w:rPr>
          <w:rFonts w:ascii="Garamond" w:hAnsi="Garamond"/>
          <w:sz w:val="22"/>
          <w:szCs w:val="22"/>
        </w:rPr>
        <w:fldChar w:fldCharType="end"/>
      </w:r>
      <w:r w:rsidR="00F41AF8">
        <w:rPr>
          <w:rFonts w:ascii="Garamond" w:hAnsi="Garamond"/>
          <w:sz w:val="22"/>
          <w:szCs w:val="22"/>
        </w:rPr>
        <w:t xml:space="preserve"> </w:t>
      </w:r>
      <w:r w:rsidR="00F76899" w:rsidRPr="003235AC">
        <w:rPr>
          <w:rFonts w:ascii="Garamond" w:hAnsi="Garamond"/>
          <w:sz w:val="22"/>
          <w:szCs w:val="22"/>
        </w:rPr>
        <w:t xml:space="preserve">Despite the salience of the issue to resource-stretched hospitals, very little research has examined the implications of high bed occupancy rates for </w:t>
      </w:r>
      <w:r w:rsidR="00A81135">
        <w:rPr>
          <w:rFonts w:ascii="Garamond" w:hAnsi="Garamond"/>
          <w:sz w:val="22"/>
          <w:szCs w:val="22"/>
        </w:rPr>
        <w:t xml:space="preserve">hospital processes and </w:t>
      </w:r>
      <w:r w:rsidR="00F76899" w:rsidRPr="003235AC">
        <w:rPr>
          <w:rFonts w:ascii="Garamond" w:hAnsi="Garamond"/>
          <w:sz w:val="22"/>
          <w:szCs w:val="22"/>
        </w:rPr>
        <w:t>quality of care</w:t>
      </w:r>
      <w:r w:rsidR="003235AC">
        <w:rPr>
          <w:rFonts w:ascii="Garamond" w:hAnsi="Garamond"/>
          <w:sz w:val="22"/>
          <w:szCs w:val="22"/>
        </w:rPr>
        <w:t xml:space="preserve">. </w:t>
      </w:r>
      <w:r w:rsidR="00F85529">
        <w:rPr>
          <w:rFonts w:ascii="Garamond" w:hAnsi="Garamond"/>
          <w:sz w:val="22"/>
          <w:szCs w:val="22"/>
        </w:rPr>
        <w:t>O</w:t>
      </w:r>
      <w:r w:rsidR="00F76899" w:rsidRPr="003235AC">
        <w:rPr>
          <w:rFonts w:ascii="Garamond" w:hAnsi="Garamond"/>
          <w:sz w:val="22"/>
          <w:szCs w:val="22"/>
        </w:rPr>
        <w:t>ne notable study examined</w:t>
      </w:r>
      <w:r w:rsidR="008A0D18" w:rsidRPr="003235AC">
        <w:rPr>
          <w:rFonts w:ascii="Garamond" w:hAnsi="Garamond"/>
          <w:sz w:val="22"/>
          <w:szCs w:val="22"/>
        </w:rPr>
        <w:t xml:space="preserve"> data from a 420-bed emergency hospital </w:t>
      </w:r>
      <w:r w:rsidR="00F76899" w:rsidRPr="003235AC">
        <w:rPr>
          <w:rFonts w:ascii="Garamond" w:hAnsi="Garamond"/>
          <w:sz w:val="22"/>
          <w:szCs w:val="22"/>
        </w:rPr>
        <w:t>in Sweden,</w:t>
      </w:r>
      <w:r w:rsidR="00F76899" w:rsidRPr="003235AC">
        <w:rPr>
          <w:rFonts w:ascii="Garamond" w:hAnsi="Garamond"/>
          <w:sz w:val="22"/>
          <w:szCs w:val="22"/>
        </w:rPr>
        <w:fldChar w:fldCharType="begin" w:fldLock="1"/>
      </w:r>
      <w:r w:rsidR="00481CE7">
        <w:rPr>
          <w:rFonts w:ascii="Garamond" w:hAnsi="Garamond"/>
          <w:sz w:val="22"/>
          <w:szCs w:val="22"/>
        </w:rPr>
        <w:instrText>ADDIN CSL_CITATION {"citationItems":[{"id":"ITEM-1","itemData":{"DOI":"10.1186/s12873-015-0067-9","ISBN":"1471-227X","ISSN":"1471-227X","PMID":"26666221","abstract":"BACKGROUND: Previous work has suggested that given a hospital's need to admit more patients from the emergency department (ED), high inpatient bed occupancy may encourage premature hospital discharges that favor the hospital's need for beds over patients' medical interests. We argue that the effects of such action would be measurable as a greater proportion of unplanned hospital readmissions among patients discharged when the hospital was full than when not. In response, the present study tested this hypothesis by investigating the association between inpatient bed occupancy at the time of hospital discharge and the 30-day readmission rate.\\n\\nMETHODS: The sample included all inpatient admissions from the ED at a 420-bed emergency hospital in southern Sweden during 2011-2012 that resulted in discharge before 1 December 2012. The share of unplanned readmissions within 30 days was computed for levels of inpatient bed occupancy of &lt;95%, 95-100%, 100-105% and &gt;105% at the hour of discharge. A binary logistic regression model was constructed to adjust for age, time of discharge, and other factors that could affect the outcome.\\n\\nRESULTS: In all, 32,811 visits were included in the study, 9.9% of which resulted in an unplanned readmission within 30 days of discharge. The proportion of readmissions was 9.0% for occupancy levels of &lt;95% at the patient's discharge, 10.2% for 95-100% occupancy, 10.8% for 100-105% occupancy, and 10.5% for &gt;105% occupancy (p</w:instrText>
      </w:r>
      <w:r w:rsidR="00481CE7">
        <w:rPr>
          <w:rFonts w:ascii="Times New Roman" w:hAnsi="Times New Roman" w:cs="Times New Roman"/>
          <w:sz w:val="22"/>
          <w:szCs w:val="22"/>
        </w:rPr>
        <w:instrText> </w:instrText>
      </w:r>
      <w:r w:rsidR="00481CE7">
        <w:rPr>
          <w:rFonts w:ascii="Garamond" w:hAnsi="Garamond"/>
          <w:sz w:val="22"/>
          <w:szCs w:val="22"/>
        </w:rPr>
        <w:instrText>=</w:instrText>
      </w:r>
      <w:r w:rsidR="00481CE7">
        <w:rPr>
          <w:rFonts w:ascii="Times New Roman" w:hAnsi="Times New Roman" w:cs="Times New Roman"/>
          <w:sz w:val="22"/>
          <w:szCs w:val="22"/>
        </w:rPr>
        <w:instrText> </w:instrText>
      </w:r>
      <w:r w:rsidR="00481CE7">
        <w:rPr>
          <w:rFonts w:ascii="Garamond" w:hAnsi="Garamond"/>
          <w:sz w:val="22"/>
          <w:szCs w:val="22"/>
        </w:rPr>
        <w:instrText>0.0001). Results from the multivariate models show that the OR (95% CI) of readmission was 1.11 (1.01-1.22) for patients discharged at 95-100% occupancy, 1.17 (1.06-1.29) at 100-105% occupancy, and 1.15 (0.99-1.34) at &gt;105% occupancy.\\n\\nCONCLUSIONS: Results indicate that patients discharged from inpatient wards at times of high inpatient bed occupancy experience an increased risk of unplanned readmission within 30 days of discharge.","author":[{"dropping-particle":"","family":"Blom","given":"Mathias C.","non-dropping-particle":"","parse-names":false,"suffix":""},{"dropping-particle":"","family":"Erwander","given":"Karin","non-dropping-particle":"","parse-names":false,"suffix":""},{"dropping-particle":"","family":"Gustafsson","given":"Lars","non-dropping-particle":"","parse-names":false,"suffix":""},{"dropping-particle":"","family":"Landin-Olsson","given":"Mona","non-dropping-particle":"","parse-names":false,"suffix":""},{"dropping-particle":"","family":"Jonsson","given":"Fredrik","non-dropping-particle":"","parse-names":false,"suffix":""},{"dropping-particle":"","family":"Ivarsson","given":"Kjell","non-dropping-particle":"","parse-names":false,"suffix":""}],"container-title":"BMC Emergency Medicine","id":"ITEM-1","issue":"1","issued":{"date-parts":[["2015"]]},"page":"37","publisher":"BMC Emergency Medicine","title":"The probability of readmission within 30 days of hospital discharge is positively associated with inpatient bed occupancy at discharge – a retrospective cohort study","type":"article-journal","volume":"15"},"uris":["http://www.mendeley.com/documents/?uuid=d8e6bfa3-7879-4218-9011-f9b5d55f2e53","http://www.mendeley.com/documents/?uuid=47088912-8053-4568-85cd-dd06dd4b977c"]}],"mendeley":{"formattedCitation":"[16]","plainTextFormattedCitation":"[16]","previouslyFormattedCitation":"[16]"},"properties":{"noteIndex":0},"schema":"https://github.com/citation-style-language/schema/raw/master/csl-citation.json"}</w:instrText>
      </w:r>
      <w:r w:rsidR="00F76899" w:rsidRPr="003235AC">
        <w:rPr>
          <w:rFonts w:ascii="Garamond" w:hAnsi="Garamond"/>
          <w:sz w:val="22"/>
          <w:szCs w:val="22"/>
        </w:rPr>
        <w:fldChar w:fldCharType="separate"/>
      </w:r>
      <w:r w:rsidR="002B3054" w:rsidRPr="002B3054">
        <w:rPr>
          <w:rFonts w:ascii="Garamond" w:hAnsi="Garamond"/>
          <w:noProof/>
          <w:sz w:val="22"/>
          <w:szCs w:val="22"/>
        </w:rPr>
        <w:t>[16]</w:t>
      </w:r>
      <w:r w:rsidR="00F76899" w:rsidRPr="003235AC">
        <w:rPr>
          <w:rFonts w:ascii="Garamond" w:hAnsi="Garamond"/>
          <w:sz w:val="22"/>
          <w:szCs w:val="22"/>
        </w:rPr>
        <w:fldChar w:fldCharType="end"/>
      </w:r>
      <w:r w:rsidR="00F76899" w:rsidRPr="003235AC">
        <w:rPr>
          <w:rFonts w:ascii="Garamond" w:hAnsi="Garamond"/>
          <w:sz w:val="22"/>
          <w:szCs w:val="22"/>
        </w:rPr>
        <w:t xml:space="preserve"> </w:t>
      </w:r>
      <w:r w:rsidR="003235AC">
        <w:rPr>
          <w:rFonts w:ascii="Garamond" w:hAnsi="Garamond"/>
          <w:sz w:val="22"/>
          <w:szCs w:val="22"/>
        </w:rPr>
        <w:t>and</w:t>
      </w:r>
      <w:r w:rsidR="00F76899" w:rsidRPr="003235AC">
        <w:rPr>
          <w:rFonts w:ascii="Garamond" w:hAnsi="Garamond"/>
          <w:sz w:val="22"/>
          <w:szCs w:val="22"/>
        </w:rPr>
        <w:t xml:space="preserve"> found</w:t>
      </w:r>
      <w:r w:rsidR="008A0D18" w:rsidRPr="003235AC">
        <w:rPr>
          <w:rFonts w:ascii="Garamond" w:hAnsi="Garamond"/>
          <w:sz w:val="22"/>
          <w:szCs w:val="22"/>
        </w:rPr>
        <w:t xml:space="preserve"> that patients who were discharged from hospital on days with high bed occupancy rates </w:t>
      </w:r>
      <w:r w:rsidR="00F76899" w:rsidRPr="003235AC">
        <w:rPr>
          <w:rFonts w:ascii="Garamond" w:hAnsi="Garamond"/>
          <w:sz w:val="22"/>
          <w:szCs w:val="22"/>
        </w:rPr>
        <w:t>had</w:t>
      </w:r>
      <w:r w:rsidR="008A0D18" w:rsidRPr="003235AC">
        <w:rPr>
          <w:rFonts w:ascii="Garamond" w:hAnsi="Garamond"/>
          <w:sz w:val="22"/>
          <w:szCs w:val="22"/>
        </w:rPr>
        <w:t xml:space="preserve"> a</w:t>
      </w:r>
      <w:r w:rsidR="000D094A">
        <w:rPr>
          <w:rFonts w:ascii="Garamond" w:hAnsi="Garamond"/>
          <w:sz w:val="22"/>
          <w:szCs w:val="22"/>
        </w:rPr>
        <w:t>n appreciably</w:t>
      </w:r>
      <w:r w:rsidR="008A0D18" w:rsidRPr="003235AC">
        <w:rPr>
          <w:rFonts w:ascii="Garamond" w:hAnsi="Garamond"/>
          <w:sz w:val="22"/>
          <w:szCs w:val="22"/>
        </w:rPr>
        <w:t xml:space="preserve"> higher risk of being readmitted within 30 days following discharge</w:t>
      </w:r>
      <w:r w:rsidR="00426AB5">
        <w:rPr>
          <w:rFonts w:ascii="Garamond" w:hAnsi="Garamond"/>
          <w:sz w:val="22"/>
          <w:szCs w:val="22"/>
        </w:rPr>
        <w:t xml:space="preserve"> (</w:t>
      </w:r>
      <w:r w:rsidR="003E2BFC">
        <w:rPr>
          <w:rFonts w:ascii="Garamond" w:hAnsi="Garamond"/>
          <w:sz w:val="22"/>
          <w:szCs w:val="22"/>
        </w:rPr>
        <w:t>odds ratio</w:t>
      </w:r>
      <w:r w:rsidR="00F85529">
        <w:rPr>
          <w:rFonts w:ascii="Garamond" w:hAnsi="Garamond"/>
          <w:sz w:val="22"/>
          <w:szCs w:val="22"/>
        </w:rPr>
        <w:t>:</w:t>
      </w:r>
      <w:r w:rsidR="003E2BFC">
        <w:rPr>
          <w:rFonts w:ascii="Garamond" w:hAnsi="Garamond"/>
          <w:sz w:val="22"/>
          <w:szCs w:val="22"/>
        </w:rPr>
        <w:t xml:space="preserve"> 1.11; </w:t>
      </w:r>
      <w:r w:rsidR="00426AB5">
        <w:rPr>
          <w:rFonts w:ascii="Garamond" w:hAnsi="Garamond"/>
          <w:sz w:val="22"/>
          <w:szCs w:val="22"/>
        </w:rPr>
        <w:t xml:space="preserve">95% CI, </w:t>
      </w:r>
      <w:r w:rsidR="003E2BFC">
        <w:rPr>
          <w:rFonts w:ascii="Garamond" w:hAnsi="Garamond"/>
          <w:sz w:val="22"/>
          <w:szCs w:val="22"/>
        </w:rPr>
        <w:t>1</w:t>
      </w:r>
      <w:r w:rsidR="00426AB5">
        <w:rPr>
          <w:rFonts w:ascii="Garamond" w:hAnsi="Garamond"/>
          <w:sz w:val="22"/>
          <w:szCs w:val="22"/>
        </w:rPr>
        <w:t>.0</w:t>
      </w:r>
      <w:r w:rsidR="003E2BFC">
        <w:rPr>
          <w:rFonts w:ascii="Garamond" w:hAnsi="Garamond"/>
          <w:sz w:val="22"/>
          <w:szCs w:val="22"/>
        </w:rPr>
        <w:t>1</w:t>
      </w:r>
      <w:r w:rsidR="00426AB5">
        <w:rPr>
          <w:rFonts w:ascii="Garamond" w:hAnsi="Garamond"/>
          <w:sz w:val="22"/>
          <w:szCs w:val="22"/>
        </w:rPr>
        <w:t xml:space="preserve"> to </w:t>
      </w:r>
      <w:r w:rsidR="003E2BFC">
        <w:rPr>
          <w:rFonts w:ascii="Garamond" w:hAnsi="Garamond"/>
          <w:sz w:val="22"/>
          <w:szCs w:val="22"/>
        </w:rPr>
        <w:t>1</w:t>
      </w:r>
      <w:r w:rsidR="00426AB5">
        <w:rPr>
          <w:rFonts w:ascii="Garamond" w:hAnsi="Garamond"/>
          <w:sz w:val="22"/>
          <w:szCs w:val="22"/>
        </w:rPr>
        <w:t>.</w:t>
      </w:r>
      <w:r w:rsidR="003E2BFC">
        <w:rPr>
          <w:rFonts w:ascii="Garamond" w:hAnsi="Garamond"/>
          <w:sz w:val="22"/>
          <w:szCs w:val="22"/>
        </w:rPr>
        <w:t>22</w:t>
      </w:r>
      <w:r w:rsidR="00426AB5">
        <w:rPr>
          <w:rFonts w:ascii="Garamond" w:hAnsi="Garamond"/>
          <w:sz w:val="22"/>
          <w:szCs w:val="22"/>
        </w:rPr>
        <w:t>)</w:t>
      </w:r>
      <w:r w:rsidR="008A0D18" w:rsidRPr="003235AC">
        <w:rPr>
          <w:rFonts w:ascii="Garamond" w:hAnsi="Garamond"/>
          <w:sz w:val="22"/>
          <w:szCs w:val="22"/>
        </w:rPr>
        <w:t>.</w:t>
      </w:r>
      <w:r w:rsidR="00E41391" w:rsidRPr="003235AC">
        <w:rPr>
          <w:rFonts w:ascii="Garamond" w:hAnsi="Garamond"/>
          <w:sz w:val="22"/>
          <w:szCs w:val="22"/>
        </w:rPr>
        <w:t xml:space="preserve"> </w:t>
      </w:r>
      <w:r w:rsidR="00A81135">
        <w:rPr>
          <w:rFonts w:ascii="Garamond" w:hAnsi="Garamond"/>
          <w:sz w:val="22"/>
          <w:szCs w:val="22"/>
        </w:rPr>
        <w:t xml:space="preserve">The authors attributed the increased readmission risk to </w:t>
      </w:r>
      <w:r w:rsidR="00CB23BC">
        <w:rPr>
          <w:rFonts w:ascii="Garamond" w:hAnsi="Garamond"/>
          <w:sz w:val="22"/>
          <w:szCs w:val="22"/>
        </w:rPr>
        <w:t xml:space="preserve">a </w:t>
      </w:r>
      <w:r w:rsidR="00A81135">
        <w:rPr>
          <w:rFonts w:ascii="Garamond" w:hAnsi="Garamond"/>
          <w:sz w:val="22"/>
          <w:szCs w:val="22"/>
        </w:rPr>
        <w:t xml:space="preserve">premature discharge of patients, supporting fears </w:t>
      </w:r>
      <w:r w:rsidR="00910B64">
        <w:rPr>
          <w:rFonts w:ascii="Garamond" w:hAnsi="Garamond"/>
          <w:sz w:val="22"/>
          <w:szCs w:val="22"/>
        </w:rPr>
        <w:t xml:space="preserve">raised </w:t>
      </w:r>
      <w:r w:rsidR="00CB23BC">
        <w:rPr>
          <w:rFonts w:ascii="Garamond" w:hAnsi="Garamond"/>
          <w:sz w:val="22"/>
          <w:szCs w:val="22"/>
        </w:rPr>
        <w:t>by</w:t>
      </w:r>
      <w:r w:rsidR="00A81135">
        <w:rPr>
          <w:rFonts w:ascii="Garamond" w:hAnsi="Garamond"/>
          <w:sz w:val="22"/>
          <w:szCs w:val="22"/>
        </w:rPr>
        <w:t xml:space="preserve"> clinical leadership in England. </w:t>
      </w:r>
      <w:r w:rsidR="00CB23BC">
        <w:rPr>
          <w:rFonts w:ascii="Garamond" w:hAnsi="Garamond"/>
          <w:sz w:val="22"/>
          <w:szCs w:val="22"/>
        </w:rPr>
        <w:t xml:space="preserve">However, it </w:t>
      </w:r>
      <w:r w:rsidR="000D094A">
        <w:rPr>
          <w:rFonts w:ascii="Garamond" w:hAnsi="Garamond"/>
          <w:sz w:val="22"/>
          <w:szCs w:val="22"/>
        </w:rPr>
        <w:t xml:space="preserve">is unknown whether this phenomenon is unique to </w:t>
      </w:r>
      <w:r w:rsidR="00FC1674">
        <w:rPr>
          <w:rFonts w:ascii="Garamond" w:hAnsi="Garamond"/>
          <w:sz w:val="22"/>
          <w:szCs w:val="22"/>
        </w:rPr>
        <w:t>that one</w:t>
      </w:r>
      <w:r w:rsidR="000D094A">
        <w:rPr>
          <w:rFonts w:ascii="Garamond" w:hAnsi="Garamond"/>
          <w:sz w:val="22"/>
          <w:szCs w:val="22"/>
        </w:rPr>
        <w:t xml:space="preserve"> hospital </w:t>
      </w:r>
      <w:r w:rsidR="00FC1674">
        <w:rPr>
          <w:rFonts w:ascii="Garamond" w:hAnsi="Garamond"/>
          <w:sz w:val="22"/>
          <w:szCs w:val="22"/>
        </w:rPr>
        <w:t>in Sweden, or whether there is a more general link between high bed occupancy and readmissions</w:t>
      </w:r>
      <w:r w:rsidR="00CB23BC">
        <w:rPr>
          <w:rFonts w:ascii="Garamond" w:hAnsi="Garamond"/>
          <w:sz w:val="22"/>
          <w:szCs w:val="22"/>
        </w:rPr>
        <w:t>, instigated through an impact on the quality of discharge processes</w:t>
      </w:r>
      <w:r w:rsidR="00FC1674">
        <w:rPr>
          <w:rFonts w:ascii="Garamond" w:hAnsi="Garamond"/>
          <w:sz w:val="22"/>
          <w:szCs w:val="22"/>
        </w:rPr>
        <w:t xml:space="preserve">. </w:t>
      </w:r>
    </w:p>
    <w:p w14:paraId="71C0D697" w14:textId="77777777" w:rsidR="00F41AF8" w:rsidRDefault="00F41AF8" w:rsidP="00FC1674">
      <w:pPr>
        <w:spacing w:line="360" w:lineRule="auto"/>
        <w:rPr>
          <w:rFonts w:ascii="Garamond" w:hAnsi="Garamond"/>
          <w:sz w:val="22"/>
          <w:szCs w:val="22"/>
        </w:rPr>
      </w:pPr>
    </w:p>
    <w:p w14:paraId="5B031A8C" w14:textId="1428CFEB" w:rsidR="00117C0D" w:rsidRPr="009B3828" w:rsidRDefault="00FC1674" w:rsidP="00FC1674">
      <w:pPr>
        <w:spacing w:line="360" w:lineRule="auto"/>
        <w:rPr>
          <w:rFonts w:ascii="Garamond" w:hAnsi="Garamond"/>
          <w:sz w:val="22"/>
          <w:szCs w:val="22"/>
        </w:rPr>
      </w:pPr>
      <w:r>
        <w:rPr>
          <w:rFonts w:ascii="Garamond" w:hAnsi="Garamond"/>
          <w:sz w:val="22"/>
          <w:szCs w:val="22"/>
        </w:rPr>
        <w:t>If readmission rates were indeed raised at times of high bed occupancy, this would require careful attention.</w:t>
      </w:r>
      <w:r w:rsidRPr="003235AC">
        <w:rPr>
          <w:rFonts w:ascii="Garamond" w:hAnsi="Garamond"/>
          <w:sz w:val="22"/>
          <w:szCs w:val="22"/>
        </w:rPr>
        <w:t xml:space="preserve"> </w:t>
      </w:r>
      <w:r w:rsidR="00C74750">
        <w:rPr>
          <w:rFonts w:ascii="Garamond" w:hAnsi="Garamond"/>
          <w:sz w:val="22"/>
          <w:szCs w:val="22"/>
        </w:rPr>
        <w:t xml:space="preserve">Avoidable readmissions may be undesirable for patients and services alike, </w:t>
      </w:r>
      <w:r w:rsidRPr="003235AC">
        <w:rPr>
          <w:rFonts w:ascii="Garamond" w:hAnsi="Garamond"/>
          <w:sz w:val="22"/>
          <w:szCs w:val="22"/>
        </w:rPr>
        <w:t xml:space="preserve">and they have </w:t>
      </w:r>
      <w:r>
        <w:rPr>
          <w:rFonts w:ascii="Garamond" w:hAnsi="Garamond"/>
          <w:sz w:val="22"/>
          <w:szCs w:val="22"/>
        </w:rPr>
        <w:t xml:space="preserve">been </w:t>
      </w:r>
      <w:r w:rsidRPr="003235AC">
        <w:rPr>
          <w:rFonts w:ascii="Garamond" w:hAnsi="Garamond"/>
          <w:sz w:val="22"/>
          <w:szCs w:val="22"/>
        </w:rPr>
        <w:t>associated with other markers of care quality along the patient pathway, including in-hospital care,</w:t>
      </w:r>
      <w:r w:rsidRPr="00046B57">
        <w:rPr>
          <w:rFonts w:ascii="Garamond" w:hAnsi="Garamond" w:cs="Times New Roman"/>
        </w:rPr>
        <w:fldChar w:fldCharType="begin" w:fldLock="1"/>
      </w:r>
      <w:r w:rsidR="00481CE7">
        <w:rPr>
          <w:rFonts w:ascii="Garamond" w:hAnsi="Garamond" w:cs="Times New Roman"/>
        </w:rPr>
        <w:instrText>ADDIN CSL_CITATION {"citationItems":[{"id":"ITEM-1","itemData":{"DOI":"10.1111/j.1475-6773.2010.01204.x","ISBN":"1475-6773","ISSN":"00179124","PMID":"21105868","abstract":"Objective. To define the relationship between hospital patient safety climate (a measure of hospitals' organizational culture as related to patient safety) and hospitals' rates of rehospitalization within 30 days of discharge. Data Sources. A safety climate survey administered to a random sample of hospital employees (n=36,375) in 2006–2007 and risk-standardized hospital readmission rates from 2008. Study Design. Cross-sectional study of 67 hospitals. Data Collection. Robust multiple regressions used 30-day risk-standardized readmission rates as dependent variables in separate disease-specific models (acute myocardial infarction [AMI], heart failure [HF], pneumonia), and measures of safety climate as independent variables. We estimated separate models for all hospital staff as well as physicians, nurses, hospital senior managers, and frontline staff. Principal Findings. There was a significant positive association between lower safety climate and higher readmission rates for AMI and HF (p≤.05 for both models). Frontline staff perceptions of safety climate were associated with readmission rates (p≤.01), but senior management perceptions were not. Physician and nurse perceptions related to AMI and HF readmissions, respectively. Conclusions. Our findings indicate that hospital patient safety climate is associated with readmission outcomes for AMI and HF and those associations were management level and discipline specific.","author":[{"dropping-particle":"","family":"Hansen","given":"Luke O.","non-dropping-particle":"","parse-names":false,"suffix":""},{"dropping-particle":"V.","family":"Williams","given":"Mark","non-dropping-particle":"","parse-names":false,"suffix":""},{"dropping-particle":"","family":"Singer","given":"Sara J.","non-dropping-particle":"","parse-names":false,"suffix":""}],"container-title":"Health Services Research","id":"ITEM-1","issue":"2","issued":{"date-parts":[["2011"]]},"page":"596-616","title":"Perceptions of hospital safety climate and incidence of readmission","type":"article-journal","volume":"46"},"uris":["http://www.mendeley.com/documents/?uuid=a595edc0-df7e-4b86-a154-ff6b842a657e","http://www.mendeley.com/documents/?uuid=9cfa29e4-0e26-4c19-8ded-bad27f12084f"]}],"mendeley":{"formattedCitation":"[17]","plainTextFormattedCitation":"[17]","previouslyFormattedCitation":"[17]"},"properties":{"noteIndex":0},"schema":"https://github.com/citation-style-language/schema/raw/master/csl-citation.json"}</w:instrText>
      </w:r>
      <w:r w:rsidRPr="00046B57">
        <w:rPr>
          <w:rFonts w:ascii="Garamond" w:hAnsi="Garamond" w:cs="Times New Roman"/>
        </w:rPr>
        <w:fldChar w:fldCharType="separate"/>
      </w:r>
      <w:r w:rsidRPr="002B3054">
        <w:rPr>
          <w:rFonts w:ascii="Garamond" w:hAnsi="Garamond" w:cs="Times New Roman"/>
          <w:noProof/>
        </w:rPr>
        <w:t>[17]</w:t>
      </w:r>
      <w:r w:rsidRPr="00046B57">
        <w:rPr>
          <w:rFonts w:ascii="Garamond" w:hAnsi="Garamond" w:cs="Times New Roman"/>
        </w:rPr>
        <w:fldChar w:fldCharType="end"/>
      </w:r>
      <w:r w:rsidRPr="003235AC">
        <w:rPr>
          <w:rFonts w:ascii="Garamond" w:hAnsi="Garamond"/>
          <w:sz w:val="22"/>
          <w:szCs w:val="22"/>
        </w:rPr>
        <w:t xml:space="preserve"> transitional care services</w:t>
      </w:r>
      <w:r w:rsidRPr="00046B57">
        <w:rPr>
          <w:rFonts w:ascii="Garamond" w:hAnsi="Garamond" w:cs="Times New Roman"/>
        </w:rPr>
        <w:fldChar w:fldCharType="begin" w:fldLock="1"/>
      </w:r>
      <w:r w:rsidR="00481CE7">
        <w:rPr>
          <w:rFonts w:ascii="Garamond" w:hAnsi="Garamond" w:cs="Times New Roman"/>
        </w:rPr>
        <w:instrText>ADDIN CSL_CITATION {"citationItems":[{"id":"ITEM-1","itemData":{"author":[{"dropping-particle":"","family":"Feltner","given":"Cynthia","non-dropping-particle":"","parse-names":false,"suffix":""},{"dropping-particle":"","family":"Jones","given":"Christine D.","non-dropping-particle":"","parse-names":false,"suffix":""},{"dropping-particle":"","family":"Cene","given":"Crystal W.","non-dropping-particle":"","parse-names":false,"suffix":""},{"dropping-particle":"","family":"Zheng","given":"Zhi-Jie","non-dropping-particle":"","parse-names":false,"suffix":""},{"dropping-particle":"","family":"Sueta","given":"Carla A.","non-dropping-particle":"","parse-names":false,"suffix":""},{"dropping-particle":"","family":"Coker-Schwimmer","given":"Emmanuel J.L.","non-dropping-particle":"","parse-names":false,"suffix":""},{"dropping-particle":"","family":"Arvanitis","given":"Marina","non-dropping-particle":"","parse-names":false,"suffix":""},{"dropping-particle":"","family":"Lohr","given":"Kathleen N.","non-dropping-particle":"","parse-names":false,"suffix":""},{"dropping-particle":"","family":"Cook Middleton","given":"Jennifier","non-dropping-particle":"","parse-names":false,"suffix":""},{"dropping-particle":"","family":"Jonas","given":"Daniel E.","non-dropping-particle":"","parse-names":false,"suffix":""}],"id":"ITEM-1","issue":"133","issued":{"date-parts":[["2014"]]},"number-of-pages":"1-238","publisher-place":"Rockville, MD","title":"Transitional Care Interventions To Prevent Readmissions for People With Heart Failure","type":"report"},"uris":["http://www.mendeley.com/documents/?uuid=6d22869d-e546-4b8a-81e2-db8eda9737bf","http://www.mendeley.com/documents/?uuid=eb3830e2-59e9-4476-9d0b-f006a06baec6"]},{"id":"ITEM-2","itemData":{"DOI":"10.1177/1941874414540683","ISBN":"1941874414540","ISSN":"1941-8744","PMID":"25553228","abstract":"Hospitals are challenged with reevaluating their hospital's transitional care practices, to reduce 30-day readmission rates, prevent adverse events, and ensure a safe transition of patients from hospital to home. Despite the increasing attention to transitional care, there are few published studies that have shown significant reductions in readmission rates, particularly for patients with stroke and other neurologic diagnoses. Successful hospital-initiated transitional care programs include a \"bridging\" strategy with both predischarge and postdischarge interventions and dedicated transitions provider involved at multiple points in time. Although multicomponent strategies including patient engagement, use of a dedicated transition provider, and facilitation of communication with outpatient providers require time and resources, there is evidence that neurohospitalists can implement a transitional care program with the aim of improving patient safety across the continuum of care.","author":[{"dropping-particle":"","family":"Rennke","given":"Stephanie","non-dropping-particle":"","parse-names":false,"suffix":""},{"dropping-particle":"","family":"Ranji","given":"Sumant R","non-dropping-particle":"","parse-names":false,"suffix":""}],"container-title":"The Neurohospitalist","id":"ITEM-2","issue":"1","issued":{"date-parts":[["2015"]]},"page":"35-42","title":"Transitional care strategies from hospital to home: a review for the neurohospitalist.","type":"article-journal","volume":"5"},"uris":["http://www.mendeley.com/documents/?uuid=a61a3179-39af-4a9b-96d2-cad0674f32d8","http://www.mendeley.com/documents/?uuid=1088596b-d084-4695-a16d-dc1d560b2a95"]},{"id":"ITEM-3","itemData":{"author":[{"dropping-particle":"","family":"Lee","given":"Kheng Hock","non-dropping-particle":"","parse-names":false,"suffix":""},{"dropping-particle":"","family":"Low","given":"Lian Leng","non-dropping-particle":"","parse-names":false,"suffix":""},{"dropping-particle":"","family":"Allen","given":"John","non-dropping-particle":"","parse-names":false,"suffix":""},{"dropping-particle":"","family":"Barbier","given":"Sylvaine","non-dropping-particle":"","parse-names":false,"suffix":""},{"dropping-particle":"","family":"Ng","given":"Lee Beng","non-dropping-particle":"","parse-names":false,"suffix":""},{"dropping-particle":"","family":"Ng","given":"Matthew Joo Ming","non-dropping-particle":"","parse-names":false,"suffix":""},{"dropping-particle":"","family":"Tay","given":"Wei Yi","non-dropping-particle":"","parse-names":false,"suffix":""},{"dropping-particle":"","family":"Tan","given":"Yun Shu","non-dropping-particle":"","parse-names":false,"suffix":""}],"container-title":"International Journal of Integrated Care","id":"ITEM-3","issue":"22","issued":{"date-parts":[["2015"]]},"page":"1-10","title":"Transitional care for the highest risk patients: findings of a randomised control study","type":"article-journal","volume":"15"},"uris":["http://www.mendeley.com/documents/?uuid=8051f621-6e55-4f51-b960-1e791f12b416","http://www.mendeley.com/documents/?uuid=66706fc9-3803-4cc2-b947-8c3f75836270"]}],"mendeley":{"formattedCitation":"[18–20]","plainTextFormattedCitation":"[18–20]","previouslyFormattedCitation":"[18–20]"},"properties":{"noteIndex":0},"schema":"https://github.com/citation-style-language/schema/raw/master/csl-citation.json"}</w:instrText>
      </w:r>
      <w:r w:rsidRPr="00046B57">
        <w:rPr>
          <w:rFonts w:ascii="Garamond" w:hAnsi="Garamond" w:cs="Times New Roman"/>
        </w:rPr>
        <w:fldChar w:fldCharType="separate"/>
      </w:r>
      <w:r w:rsidRPr="002B3054">
        <w:rPr>
          <w:rFonts w:ascii="Garamond" w:hAnsi="Garamond" w:cs="Times New Roman"/>
          <w:noProof/>
        </w:rPr>
        <w:t>[18–20]</w:t>
      </w:r>
      <w:r w:rsidRPr="00046B57">
        <w:rPr>
          <w:rFonts w:ascii="Garamond" w:hAnsi="Garamond" w:cs="Times New Roman"/>
        </w:rPr>
        <w:fldChar w:fldCharType="end"/>
      </w:r>
      <w:r w:rsidRPr="003235AC">
        <w:rPr>
          <w:rFonts w:ascii="Garamond" w:hAnsi="Garamond"/>
          <w:sz w:val="22"/>
          <w:szCs w:val="22"/>
        </w:rPr>
        <w:t xml:space="preserve"> and post-discharge support.</w:t>
      </w:r>
      <w:r w:rsidRPr="00046B57">
        <w:rPr>
          <w:rFonts w:ascii="Garamond" w:hAnsi="Garamond" w:cs="Times New Roman"/>
        </w:rPr>
        <w:fldChar w:fldCharType="begin" w:fldLock="1"/>
      </w:r>
      <w:r w:rsidR="00481CE7">
        <w:rPr>
          <w:rFonts w:ascii="Garamond" w:hAnsi="Garamond" w:cs="Times New Roman"/>
        </w:rPr>
        <w:instrText>ADDIN CSL_CITATION {"citationItems":[{"id":"ITEM-1","itemData":{"DOI":"10.1007/s11606-014-2954-2","ISBN":"1160601429","ISSN":"08848734","PMID":"25103122","abstract":"BACKGROUND: Several care transition interventions propose that post-discharge phone calls can reduce adverse events and decrease costly return visits to the hospital. However, given the multi-faceted nature of most care transitions interventions, the true relationship between post-discharge phone calls and readmissions in a real world setting is uncertain.\\n\\nOBJECTIVE: To determine the effect of receiving a post-discharge telephone call on all-cause 30-day readmission in a general medicine population.\\n\\nDESIGN: Retrospective observational study.\\n\\nPARTICIPANTS: Patients discharged home from the Medicine Service at a tertiary care academic medical center between November 2010 and May 2012.\\n\\nINTERVENTION: Patients received two telephone call attempts by a nurse within 72 h of discharge. Nurses followed a standard script to address issues associated with readmission.\\n\\nMAIN OUTCOME AND MEASURES: Billing data captured readmissions. We used logistic regression-adjusted patient and clinical covariates as well as a propensity score representing likelihood of being called to determine the association between call receipt and risk for readmission.\\n\\nKEY RESULTS: There were 5,507 eligible patients. In unadjusted analyses, patients who received a call and completed the intervention were significantly less likely to be readmitted compared to those who did not [155 (5.8 %) vs 123 (8.6 %), p &lt; 0.01]. In multivariable models adjusting for socio-demographic and clinical covariates alone, completing a post-discharge telephone call intervention was associated with lower odds for readmission (AOR 0.71; 95 % CI: 0.55-0.91). However, when models adjusted for the likelihood of receiving the phone call using the propensity score, no association between call receipt and readmission was observed (AOR 0.91; 95%CI: 0.69-1.20).\\n\\nCONCLUSIONS: Effectiveness of post-discharge phone call programs may be more related to whether patients are able to answer a phone call than to the care delivered by the phone call. Programs would benefit from improving their ability to perform phone outreach while simultaneously improving on the care delivered during the calls.","author":[{"dropping-particle":"","family":"Harrison","given":"James D.","non-dropping-particle":"","parse-names":false,"suffix":""},{"dropping-particle":"","family":"Auerbach","given":"Andrew D.","non-dropping-particle":"","parse-names":false,"suffix":""},{"dropping-particle":"","family":"Quinn","given":"Kathryn","non-dropping-particle":"","parse-names":false,"suffix":""},{"dropping-particle":"","family":"Kynoch","given":"Ellen","non-dropping-particle":"","parse-names":false,"suffix":""},{"dropping-particle":"","family":"Mourad","given":"Michelle","non-dropping-particle":"","parse-names":false,"suffix":""}],"container-title":"Journal of General Internal Medicine","id":"ITEM-1","issue":"11","issued":{"date-parts":[["2014"]]},"page":"1519-1525","title":"Assessing the Impact of Nurse Post-Discharge Telephone Calls on 30-Day Hospital Readmission Rates","type":"article-journal","volume":"29"},"uris":["http://www.mendeley.com/documents/?uuid=beb82964-f40d-44c4-abcc-e66f8781d8fc","http://www.mendeley.com/documents/?uuid=85eea175-198b-4c78-b465-c4d77c3e840b"]},{"id":"ITEM-2","itemData":{"author":[{"dropping-particle":"","family":"Phillips","given":"Christopher O","non-dropping-particle":"","parse-names":false,"suffix":""},{"dropping-particle":"","family":"Wright","given":"Scott M","non-dropping-particle":"","parse-names":false,"suffix":""},{"dropping-particle":"","family":"Kern","given":"David E","non-dropping-particle":"","parse-names":false,"suffix":""},{"dropping-particle":"","family":"Singa","given":"Ramesh M","non-dropping-particle":"","parse-names":false,"suffix":""},{"dropping-particle":"","family":"Shepperd","given":"Sasha","non-dropping-particle":"","parse-names":false,"suffix":""},{"dropping-particle":"","family":"Rubin","given":"Haya R","non-dropping-particle":"","parse-names":false,"suffix":""}],"container-title":"JAMA","id":"ITEM-2","issue":"11","issued":{"date-parts":[["2004"]]},"page":"1358-1367","title":"Postdischarge Support for Older Patients","type":"article-journal","volume":"291"},"uris":["http://www.mendeley.com/documents/?uuid=f72f863d-06ba-4353-bf87-a09a3b66e4d7","http://www.mendeley.com/documents/?uuid=0651b161-c7f8-43b1-88ed-94cb49321794"]}],"mendeley":{"formattedCitation":"[21,22]","plainTextFormattedCitation":"[21,22]","previouslyFormattedCitation":"[21,22]"},"properties":{"noteIndex":0},"schema":"https://github.com/citation-style-language/schema/raw/master/csl-citation.json"}</w:instrText>
      </w:r>
      <w:r w:rsidRPr="00046B57">
        <w:rPr>
          <w:rFonts w:ascii="Garamond" w:hAnsi="Garamond" w:cs="Times New Roman"/>
        </w:rPr>
        <w:fldChar w:fldCharType="separate"/>
      </w:r>
      <w:r w:rsidRPr="002B3054">
        <w:rPr>
          <w:rFonts w:ascii="Garamond" w:hAnsi="Garamond" w:cs="Times New Roman"/>
          <w:noProof/>
        </w:rPr>
        <w:t>[21,22]</w:t>
      </w:r>
      <w:r w:rsidRPr="00046B57">
        <w:rPr>
          <w:rFonts w:ascii="Garamond" w:hAnsi="Garamond" w:cs="Times New Roman"/>
        </w:rPr>
        <w:fldChar w:fldCharType="end"/>
      </w:r>
      <w:r w:rsidRPr="003235AC">
        <w:rPr>
          <w:rFonts w:ascii="Garamond" w:hAnsi="Garamond"/>
          <w:sz w:val="22"/>
          <w:szCs w:val="22"/>
        </w:rPr>
        <w:t xml:space="preserve"> They are also </w:t>
      </w:r>
      <w:r>
        <w:rPr>
          <w:rFonts w:ascii="Garamond" w:hAnsi="Garamond"/>
          <w:sz w:val="22"/>
          <w:szCs w:val="22"/>
        </w:rPr>
        <w:t>linked</w:t>
      </w:r>
      <w:r w:rsidRPr="003235AC">
        <w:rPr>
          <w:rFonts w:ascii="Garamond" w:hAnsi="Garamond"/>
          <w:sz w:val="22"/>
          <w:szCs w:val="22"/>
        </w:rPr>
        <w:t xml:space="preserve"> </w:t>
      </w:r>
      <w:r>
        <w:rPr>
          <w:rFonts w:ascii="Garamond" w:hAnsi="Garamond"/>
          <w:sz w:val="22"/>
          <w:szCs w:val="22"/>
        </w:rPr>
        <w:t xml:space="preserve">to </w:t>
      </w:r>
      <w:r w:rsidRPr="003235AC">
        <w:rPr>
          <w:rFonts w:ascii="Garamond" w:hAnsi="Garamond"/>
          <w:sz w:val="22"/>
          <w:szCs w:val="22"/>
        </w:rPr>
        <w:t xml:space="preserve">downstream pressures on hospital beds, </w:t>
      </w:r>
      <w:r>
        <w:rPr>
          <w:rFonts w:ascii="Garamond" w:hAnsi="Garamond"/>
          <w:sz w:val="22"/>
          <w:szCs w:val="22"/>
        </w:rPr>
        <w:t>raising the</w:t>
      </w:r>
      <w:r w:rsidRPr="003235AC">
        <w:rPr>
          <w:rFonts w:ascii="Garamond" w:hAnsi="Garamond"/>
          <w:sz w:val="22"/>
          <w:szCs w:val="22"/>
        </w:rPr>
        <w:t xml:space="preserve"> possibility </w:t>
      </w:r>
      <w:r>
        <w:rPr>
          <w:rFonts w:ascii="Garamond" w:hAnsi="Garamond"/>
          <w:sz w:val="22"/>
          <w:szCs w:val="22"/>
        </w:rPr>
        <w:t>that efforts</w:t>
      </w:r>
      <w:r w:rsidRPr="003235AC">
        <w:rPr>
          <w:rFonts w:ascii="Garamond" w:hAnsi="Garamond"/>
          <w:sz w:val="22"/>
          <w:szCs w:val="22"/>
        </w:rPr>
        <w:t xml:space="preserve"> to free up beds </w:t>
      </w:r>
      <w:r>
        <w:rPr>
          <w:rFonts w:ascii="Garamond" w:hAnsi="Garamond"/>
          <w:sz w:val="22"/>
          <w:szCs w:val="22"/>
        </w:rPr>
        <w:t xml:space="preserve">for the </w:t>
      </w:r>
      <w:r w:rsidRPr="003235AC">
        <w:rPr>
          <w:rFonts w:ascii="Garamond" w:hAnsi="Garamond"/>
          <w:sz w:val="22"/>
          <w:szCs w:val="22"/>
        </w:rPr>
        <w:t>manag</w:t>
      </w:r>
      <w:r>
        <w:rPr>
          <w:rFonts w:ascii="Garamond" w:hAnsi="Garamond"/>
          <w:sz w:val="22"/>
          <w:szCs w:val="22"/>
        </w:rPr>
        <w:t>ement of</w:t>
      </w:r>
      <w:r w:rsidRPr="003235AC">
        <w:rPr>
          <w:rFonts w:ascii="Garamond" w:hAnsi="Garamond"/>
          <w:sz w:val="22"/>
          <w:szCs w:val="22"/>
        </w:rPr>
        <w:t xml:space="preserve"> short-term pressures </w:t>
      </w:r>
      <w:r>
        <w:rPr>
          <w:rFonts w:ascii="Garamond" w:hAnsi="Garamond"/>
          <w:sz w:val="22"/>
          <w:szCs w:val="22"/>
        </w:rPr>
        <w:t xml:space="preserve">might </w:t>
      </w:r>
      <w:r w:rsidRPr="003235AC">
        <w:rPr>
          <w:rFonts w:ascii="Garamond" w:hAnsi="Garamond"/>
          <w:sz w:val="22"/>
          <w:szCs w:val="22"/>
        </w:rPr>
        <w:t xml:space="preserve">be storing up problems </w:t>
      </w:r>
      <w:r>
        <w:rPr>
          <w:rFonts w:ascii="Garamond" w:hAnsi="Garamond"/>
          <w:sz w:val="22"/>
          <w:szCs w:val="22"/>
        </w:rPr>
        <w:t>for the future</w:t>
      </w:r>
      <w:r w:rsidRPr="003235AC">
        <w:rPr>
          <w:rFonts w:ascii="Garamond" w:hAnsi="Garamond"/>
          <w:sz w:val="22"/>
          <w:szCs w:val="22"/>
        </w:rPr>
        <w:t>.</w:t>
      </w:r>
      <w:r>
        <w:rPr>
          <w:rFonts w:ascii="Garamond" w:hAnsi="Garamond"/>
          <w:sz w:val="22"/>
          <w:szCs w:val="22"/>
        </w:rPr>
        <w:t xml:space="preserve"> Since there ha</w:t>
      </w:r>
      <w:r w:rsidR="00BA6BFF">
        <w:rPr>
          <w:rFonts w:ascii="Garamond" w:hAnsi="Garamond"/>
          <w:sz w:val="22"/>
          <w:szCs w:val="22"/>
        </w:rPr>
        <w:t>s</w:t>
      </w:r>
      <w:r>
        <w:rPr>
          <w:rFonts w:ascii="Garamond" w:hAnsi="Garamond"/>
          <w:sz w:val="22"/>
          <w:szCs w:val="22"/>
        </w:rPr>
        <w:t xml:space="preserve"> been </w:t>
      </w:r>
      <w:r w:rsidR="00BA6BFF">
        <w:rPr>
          <w:rFonts w:ascii="Garamond" w:hAnsi="Garamond"/>
          <w:sz w:val="22"/>
          <w:szCs w:val="22"/>
        </w:rPr>
        <w:t xml:space="preserve">few published research </w:t>
      </w:r>
      <w:r>
        <w:rPr>
          <w:rFonts w:ascii="Garamond" w:hAnsi="Garamond"/>
          <w:sz w:val="22"/>
          <w:szCs w:val="22"/>
        </w:rPr>
        <w:t>in this area,</w:t>
      </w:r>
      <w:r w:rsidR="00550741" w:rsidRPr="003235AC">
        <w:rPr>
          <w:rFonts w:ascii="Garamond" w:hAnsi="Garamond"/>
          <w:sz w:val="22"/>
          <w:szCs w:val="22"/>
        </w:rPr>
        <w:t xml:space="preserve"> </w:t>
      </w:r>
      <w:r w:rsidR="001B4481">
        <w:rPr>
          <w:rFonts w:ascii="Garamond" w:hAnsi="Garamond"/>
          <w:sz w:val="22"/>
          <w:szCs w:val="22"/>
        </w:rPr>
        <w:t xml:space="preserve">the aim of this study was to </w:t>
      </w:r>
      <w:r w:rsidR="00711F16">
        <w:rPr>
          <w:rFonts w:ascii="Garamond" w:hAnsi="Garamond"/>
          <w:sz w:val="22"/>
          <w:szCs w:val="22"/>
        </w:rPr>
        <w:t xml:space="preserve">first </w:t>
      </w:r>
      <w:r w:rsidR="001B4481">
        <w:rPr>
          <w:rFonts w:ascii="Garamond" w:hAnsi="Garamond"/>
          <w:sz w:val="22"/>
          <w:szCs w:val="22"/>
        </w:rPr>
        <w:t>assess whether rises in hospital bed occupancy associate</w:t>
      </w:r>
      <w:r w:rsidR="00711F16">
        <w:rPr>
          <w:rFonts w:ascii="Garamond" w:hAnsi="Garamond"/>
          <w:sz w:val="22"/>
          <w:szCs w:val="22"/>
        </w:rPr>
        <w:t>s</w:t>
      </w:r>
      <w:r w:rsidR="001B4481">
        <w:rPr>
          <w:rFonts w:ascii="Garamond" w:hAnsi="Garamond"/>
          <w:sz w:val="22"/>
          <w:szCs w:val="22"/>
        </w:rPr>
        <w:t xml:space="preserve"> with changes in </w:t>
      </w:r>
      <w:r w:rsidR="00910B64">
        <w:rPr>
          <w:rFonts w:ascii="Garamond" w:hAnsi="Garamond"/>
          <w:sz w:val="22"/>
          <w:szCs w:val="22"/>
        </w:rPr>
        <w:t>hospital discharge rates</w:t>
      </w:r>
      <w:r w:rsidR="00711F16">
        <w:rPr>
          <w:rFonts w:ascii="Garamond" w:hAnsi="Garamond"/>
          <w:sz w:val="22"/>
          <w:szCs w:val="22"/>
        </w:rPr>
        <w:t xml:space="preserve">, thus testing a hypothesis raised by clinicians and patient representatives in recent years. And secondly, to assess whether those patients that are discharged when bed occupancy is high are more likely to return to hospital within </w:t>
      </w:r>
      <w:r w:rsidR="001B4481">
        <w:rPr>
          <w:rFonts w:ascii="Garamond" w:hAnsi="Garamond"/>
          <w:sz w:val="22"/>
          <w:szCs w:val="22"/>
        </w:rPr>
        <w:t>30-</w:t>
      </w:r>
      <w:r w:rsidR="00711F16">
        <w:rPr>
          <w:rFonts w:ascii="Garamond" w:hAnsi="Garamond"/>
          <w:sz w:val="22"/>
          <w:szCs w:val="22"/>
        </w:rPr>
        <w:t>days, providing evidence for potentially adverse effects on the quality of discharge processes when pressure is high</w:t>
      </w:r>
      <w:r w:rsidR="004F3C49">
        <w:rPr>
          <w:rFonts w:ascii="Garamond" w:hAnsi="Garamond"/>
          <w:sz w:val="22"/>
          <w:szCs w:val="22"/>
        </w:rPr>
        <w:t>.</w:t>
      </w:r>
      <w:r w:rsidR="001B4481">
        <w:rPr>
          <w:rFonts w:ascii="Garamond" w:hAnsi="Garamond"/>
          <w:sz w:val="22"/>
          <w:szCs w:val="22"/>
        </w:rPr>
        <w:t xml:space="preserve"> </w:t>
      </w:r>
      <w:r w:rsidR="004F3C49">
        <w:rPr>
          <w:rFonts w:ascii="Garamond" w:hAnsi="Garamond"/>
          <w:sz w:val="22"/>
          <w:szCs w:val="22"/>
        </w:rPr>
        <w:t xml:space="preserve">This was done </w:t>
      </w:r>
      <w:r w:rsidR="001B4481">
        <w:rPr>
          <w:rFonts w:ascii="Garamond" w:hAnsi="Garamond"/>
          <w:sz w:val="22"/>
          <w:szCs w:val="22"/>
        </w:rPr>
        <w:t>by</w:t>
      </w:r>
      <w:r w:rsidR="00550741" w:rsidRPr="003235AC">
        <w:rPr>
          <w:rFonts w:ascii="Garamond" w:hAnsi="Garamond"/>
          <w:sz w:val="22"/>
          <w:szCs w:val="22"/>
        </w:rPr>
        <w:t xml:space="preserve"> </w:t>
      </w:r>
      <w:r w:rsidR="001B4481" w:rsidRPr="003235AC">
        <w:rPr>
          <w:rFonts w:ascii="Garamond" w:hAnsi="Garamond"/>
          <w:sz w:val="22"/>
          <w:szCs w:val="22"/>
        </w:rPr>
        <w:t>examin</w:t>
      </w:r>
      <w:r w:rsidR="001B4481">
        <w:rPr>
          <w:rFonts w:ascii="Garamond" w:hAnsi="Garamond"/>
          <w:sz w:val="22"/>
          <w:szCs w:val="22"/>
        </w:rPr>
        <w:t>ing</w:t>
      </w:r>
      <w:r w:rsidR="001B4481" w:rsidRPr="003235AC">
        <w:rPr>
          <w:rFonts w:ascii="Garamond" w:hAnsi="Garamond"/>
          <w:sz w:val="22"/>
          <w:szCs w:val="22"/>
        </w:rPr>
        <w:t xml:space="preserve"> </w:t>
      </w:r>
      <w:r w:rsidR="00550741" w:rsidRPr="003235AC">
        <w:rPr>
          <w:rFonts w:ascii="Garamond" w:hAnsi="Garamond"/>
          <w:sz w:val="22"/>
          <w:szCs w:val="22"/>
        </w:rPr>
        <w:t xml:space="preserve">data for all acute hospitals in England, measuring bed occupancy for each hospital on a daily basis over a two-year period. </w:t>
      </w:r>
    </w:p>
    <w:p w14:paraId="5AB4315B" w14:textId="77777777" w:rsidR="0053524B" w:rsidRDefault="0053524B" w:rsidP="00701045">
      <w:pPr>
        <w:spacing w:line="360" w:lineRule="auto"/>
        <w:rPr>
          <w:rFonts w:ascii="Garamond" w:hAnsi="Garamond"/>
          <w:b/>
          <w:sz w:val="22"/>
          <w:szCs w:val="22"/>
        </w:rPr>
      </w:pPr>
    </w:p>
    <w:p w14:paraId="7B61985C" w14:textId="77777777" w:rsidR="00386B68" w:rsidRPr="009B3828" w:rsidRDefault="00386B68" w:rsidP="0036336A">
      <w:pPr>
        <w:spacing w:line="360" w:lineRule="auto"/>
        <w:outlineLvl w:val="0"/>
        <w:rPr>
          <w:rFonts w:ascii="Garamond" w:hAnsi="Garamond"/>
          <w:sz w:val="22"/>
          <w:szCs w:val="22"/>
        </w:rPr>
      </w:pPr>
      <w:r w:rsidRPr="009B3828">
        <w:rPr>
          <w:rFonts w:ascii="Garamond" w:hAnsi="Garamond"/>
          <w:b/>
          <w:sz w:val="22"/>
          <w:szCs w:val="22"/>
        </w:rPr>
        <w:lastRenderedPageBreak/>
        <w:t>METHOD</w:t>
      </w:r>
    </w:p>
    <w:p w14:paraId="6A1EFB67" w14:textId="77777777" w:rsidR="00386B68" w:rsidRPr="009B3828" w:rsidRDefault="00386B68" w:rsidP="0036336A">
      <w:pPr>
        <w:spacing w:line="360" w:lineRule="auto"/>
        <w:outlineLvl w:val="0"/>
        <w:rPr>
          <w:rFonts w:ascii="Garamond" w:hAnsi="Garamond"/>
          <w:b/>
          <w:i/>
          <w:sz w:val="22"/>
          <w:szCs w:val="22"/>
        </w:rPr>
      </w:pPr>
      <w:r w:rsidRPr="009B3828">
        <w:rPr>
          <w:rFonts w:ascii="Garamond" w:hAnsi="Garamond"/>
          <w:b/>
          <w:i/>
          <w:sz w:val="22"/>
          <w:szCs w:val="22"/>
        </w:rPr>
        <w:t>Study sample</w:t>
      </w:r>
    </w:p>
    <w:p w14:paraId="419F9388" w14:textId="322902CC" w:rsidR="00386B68" w:rsidRPr="009B3828" w:rsidRDefault="00386B68" w:rsidP="00701045">
      <w:pPr>
        <w:spacing w:line="360" w:lineRule="auto"/>
        <w:rPr>
          <w:rFonts w:ascii="Garamond" w:hAnsi="Garamond"/>
          <w:sz w:val="22"/>
          <w:szCs w:val="22"/>
        </w:rPr>
      </w:pPr>
      <w:r w:rsidRPr="009B3828">
        <w:rPr>
          <w:rFonts w:ascii="Garamond" w:hAnsi="Garamond"/>
          <w:sz w:val="22"/>
          <w:szCs w:val="22"/>
        </w:rPr>
        <w:t xml:space="preserve">We studied all acute NHS </w:t>
      </w:r>
      <w:r w:rsidR="00C75DF9" w:rsidRPr="009B3828">
        <w:rPr>
          <w:rFonts w:ascii="Garamond" w:hAnsi="Garamond"/>
          <w:sz w:val="22"/>
          <w:szCs w:val="22"/>
        </w:rPr>
        <w:t>t</w:t>
      </w:r>
      <w:r w:rsidRPr="009B3828">
        <w:rPr>
          <w:rFonts w:ascii="Garamond" w:hAnsi="Garamond"/>
          <w:sz w:val="22"/>
          <w:szCs w:val="22"/>
        </w:rPr>
        <w:t xml:space="preserve">rusts </w:t>
      </w:r>
      <w:r w:rsidR="00C90182" w:rsidRPr="009B3828">
        <w:rPr>
          <w:rFonts w:ascii="Garamond" w:hAnsi="Garamond"/>
          <w:sz w:val="22"/>
          <w:szCs w:val="22"/>
        </w:rPr>
        <w:t xml:space="preserve">in England </w:t>
      </w:r>
      <w:r w:rsidRPr="009B3828">
        <w:rPr>
          <w:rFonts w:ascii="Garamond" w:hAnsi="Garamond"/>
          <w:sz w:val="22"/>
          <w:szCs w:val="22"/>
        </w:rPr>
        <w:t>(</w:t>
      </w:r>
      <w:r w:rsidR="00C75DF9" w:rsidRPr="009B3828">
        <w:rPr>
          <w:rFonts w:ascii="Garamond" w:hAnsi="Garamond"/>
          <w:sz w:val="22"/>
          <w:szCs w:val="22"/>
        </w:rPr>
        <w:t>i.e.</w:t>
      </w:r>
      <w:r w:rsidR="009A6AC5">
        <w:rPr>
          <w:rFonts w:ascii="Garamond" w:hAnsi="Garamond"/>
          <w:sz w:val="22"/>
          <w:szCs w:val="22"/>
        </w:rPr>
        <w:t>,</w:t>
      </w:r>
      <w:r w:rsidR="00C75DF9" w:rsidRPr="009B3828">
        <w:rPr>
          <w:rFonts w:ascii="Garamond" w:hAnsi="Garamond"/>
          <w:sz w:val="22"/>
          <w:szCs w:val="22"/>
        </w:rPr>
        <w:t xml:space="preserve"> </w:t>
      </w:r>
      <w:r w:rsidRPr="009B3828">
        <w:rPr>
          <w:rFonts w:ascii="Garamond" w:hAnsi="Garamond"/>
          <w:sz w:val="22"/>
          <w:szCs w:val="22"/>
        </w:rPr>
        <w:t xml:space="preserve">healthcare providers that </w:t>
      </w:r>
      <w:r w:rsidR="00941B3B" w:rsidRPr="009B3828">
        <w:rPr>
          <w:rFonts w:ascii="Garamond" w:hAnsi="Garamond"/>
          <w:sz w:val="22"/>
          <w:szCs w:val="22"/>
        </w:rPr>
        <w:t>typically manage</w:t>
      </w:r>
      <w:r w:rsidRPr="009B3828">
        <w:rPr>
          <w:rFonts w:ascii="Garamond" w:hAnsi="Garamond"/>
          <w:sz w:val="22"/>
          <w:szCs w:val="22"/>
        </w:rPr>
        <w:t xml:space="preserve"> several hospital sites). We included all patients </w:t>
      </w:r>
      <w:r w:rsidR="00C4351F" w:rsidRPr="009B3828">
        <w:rPr>
          <w:rFonts w:ascii="Garamond" w:hAnsi="Garamond"/>
          <w:sz w:val="22"/>
          <w:szCs w:val="22"/>
        </w:rPr>
        <w:t xml:space="preserve">recorded as inpatients </w:t>
      </w:r>
      <w:r w:rsidRPr="009B3828">
        <w:rPr>
          <w:rFonts w:ascii="Garamond" w:hAnsi="Garamond"/>
          <w:sz w:val="22"/>
          <w:szCs w:val="22"/>
        </w:rPr>
        <w:t xml:space="preserve">from these </w:t>
      </w:r>
      <w:r w:rsidR="00C75DF9" w:rsidRPr="009B3828">
        <w:rPr>
          <w:rFonts w:ascii="Garamond" w:hAnsi="Garamond"/>
          <w:sz w:val="22"/>
          <w:szCs w:val="22"/>
        </w:rPr>
        <w:t>t</w:t>
      </w:r>
      <w:r w:rsidRPr="009B3828">
        <w:rPr>
          <w:rFonts w:ascii="Garamond" w:hAnsi="Garamond"/>
          <w:sz w:val="22"/>
          <w:szCs w:val="22"/>
        </w:rPr>
        <w:t>rusts when aged 18 or over, regardless of</w:t>
      </w:r>
      <w:r w:rsidR="00C32BA4" w:rsidRPr="009B3828">
        <w:rPr>
          <w:rFonts w:ascii="Garamond" w:hAnsi="Garamond"/>
          <w:sz w:val="22"/>
          <w:szCs w:val="22"/>
        </w:rPr>
        <w:t xml:space="preserve"> how they were</w:t>
      </w:r>
      <w:r w:rsidRPr="009B3828">
        <w:rPr>
          <w:rFonts w:ascii="Garamond" w:hAnsi="Garamond"/>
          <w:sz w:val="22"/>
          <w:szCs w:val="22"/>
        </w:rPr>
        <w:t xml:space="preserve"> admi</w:t>
      </w:r>
      <w:r w:rsidR="00C32BA4" w:rsidRPr="009B3828">
        <w:rPr>
          <w:rFonts w:ascii="Garamond" w:hAnsi="Garamond"/>
          <w:sz w:val="22"/>
          <w:szCs w:val="22"/>
        </w:rPr>
        <w:t>tted</w:t>
      </w:r>
      <w:r w:rsidRPr="009B3828">
        <w:rPr>
          <w:rFonts w:ascii="Garamond" w:hAnsi="Garamond"/>
          <w:sz w:val="22"/>
          <w:szCs w:val="22"/>
        </w:rPr>
        <w:t xml:space="preserve"> (i.e.</w:t>
      </w:r>
      <w:r w:rsidR="009A6AC5">
        <w:rPr>
          <w:rFonts w:ascii="Garamond" w:hAnsi="Garamond"/>
          <w:sz w:val="22"/>
          <w:szCs w:val="22"/>
        </w:rPr>
        <w:t>,</w:t>
      </w:r>
      <w:r w:rsidRPr="009B3828">
        <w:rPr>
          <w:rFonts w:ascii="Garamond" w:hAnsi="Garamond"/>
          <w:sz w:val="22"/>
          <w:szCs w:val="22"/>
        </w:rPr>
        <w:t xml:space="preserve"> including both </w:t>
      </w:r>
      <w:r w:rsidR="00EC4744" w:rsidRPr="009B3828">
        <w:rPr>
          <w:rFonts w:ascii="Garamond" w:hAnsi="Garamond"/>
          <w:sz w:val="22"/>
          <w:szCs w:val="22"/>
        </w:rPr>
        <w:t>planned elective</w:t>
      </w:r>
      <w:r w:rsidRPr="009B3828">
        <w:rPr>
          <w:rFonts w:ascii="Garamond" w:hAnsi="Garamond"/>
          <w:sz w:val="22"/>
          <w:szCs w:val="22"/>
        </w:rPr>
        <w:t xml:space="preserve"> </w:t>
      </w:r>
      <w:r w:rsidR="00AA2BB2" w:rsidRPr="009B3828">
        <w:rPr>
          <w:rFonts w:ascii="Garamond" w:hAnsi="Garamond"/>
          <w:sz w:val="22"/>
          <w:szCs w:val="22"/>
        </w:rPr>
        <w:t xml:space="preserve">and </w:t>
      </w:r>
      <w:r w:rsidRPr="009B3828">
        <w:rPr>
          <w:rFonts w:ascii="Garamond" w:hAnsi="Garamond"/>
          <w:sz w:val="22"/>
          <w:szCs w:val="22"/>
        </w:rPr>
        <w:t>emergency admission</w:t>
      </w:r>
      <w:r w:rsidR="00084CFB" w:rsidRPr="009B3828">
        <w:rPr>
          <w:rFonts w:ascii="Garamond" w:hAnsi="Garamond"/>
          <w:sz w:val="22"/>
          <w:szCs w:val="22"/>
        </w:rPr>
        <w:t>s</w:t>
      </w:r>
      <w:r w:rsidR="00C75DF9" w:rsidRPr="009B3828">
        <w:rPr>
          <w:rFonts w:ascii="Garamond" w:hAnsi="Garamond"/>
          <w:sz w:val="22"/>
          <w:szCs w:val="22"/>
        </w:rPr>
        <w:t>,</w:t>
      </w:r>
      <w:r w:rsidRPr="009B3828">
        <w:rPr>
          <w:rFonts w:ascii="Garamond" w:hAnsi="Garamond"/>
          <w:sz w:val="22"/>
          <w:szCs w:val="22"/>
        </w:rPr>
        <w:t xml:space="preserve"> </w:t>
      </w:r>
      <w:r w:rsidR="00AA2BB2" w:rsidRPr="009B3828">
        <w:rPr>
          <w:rFonts w:ascii="Garamond" w:hAnsi="Garamond"/>
          <w:sz w:val="22"/>
          <w:szCs w:val="22"/>
        </w:rPr>
        <w:t xml:space="preserve">with the latter including </w:t>
      </w:r>
      <w:r w:rsidRPr="009B3828">
        <w:rPr>
          <w:rFonts w:ascii="Garamond" w:hAnsi="Garamond"/>
          <w:sz w:val="22"/>
          <w:szCs w:val="22"/>
        </w:rPr>
        <w:t>direct referrals from A&amp;E</w:t>
      </w:r>
      <w:r w:rsidR="009A6AC5">
        <w:rPr>
          <w:rFonts w:ascii="Garamond" w:hAnsi="Garamond"/>
          <w:sz w:val="22"/>
          <w:szCs w:val="22"/>
        </w:rPr>
        <w:t xml:space="preserve"> departments</w:t>
      </w:r>
      <w:r w:rsidRPr="009B3828">
        <w:rPr>
          <w:rFonts w:ascii="Garamond" w:hAnsi="Garamond"/>
          <w:sz w:val="22"/>
          <w:szCs w:val="22"/>
        </w:rPr>
        <w:t>) between 1 April 201</w:t>
      </w:r>
      <w:r w:rsidR="00493502" w:rsidRPr="009B3828">
        <w:rPr>
          <w:rFonts w:ascii="Garamond" w:hAnsi="Garamond"/>
          <w:sz w:val="22"/>
          <w:szCs w:val="22"/>
        </w:rPr>
        <w:t>4</w:t>
      </w:r>
      <w:r w:rsidRPr="009B3828">
        <w:rPr>
          <w:rFonts w:ascii="Garamond" w:hAnsi="Garamond"/>
          <w:sz w:val="22"/>
          <w:szCs w:val="22"/>
        </w:rPr>
        <w:t xml:space="preserve"> and </w:t>
      </w:r>
      <w:r w:rsidR="00E42878" w:rsidRPr="009B3828">
        <w:rPr>
          <w:rFonts w:ascii="Garamond" w:hAnsi="Garamond"/>
          <w:sz w:val="22"/>
          <w:szCs w:val="22"/>
        </w:rPr>
        <w:t>29</w:t>
      </w:r>
      <w:r w:rsidRPr="009B3828">
        <w:rPr>
          <w:rFonts w:ascii="Garamond" w:hAnsi="Garamond"/>
          <w:sz w:val="22"/>
          <w:szCs w:val="22"/>
        </w:rPr>
        <w:t xml:space="preserve"> February </w:t>
      </w:r>
      <w:r w:rsidR="001E026D" w:rsidRPr="009B3828">
        <w:rPr>
          <w:rFonts w:ascii="Garamond" w:hAnsi="Garamond"/>
          <w:sz w:val="22"/>
          <w:szCs w:val="22"/>
        </w:rPr>
        <w:t>201</w:t>
      </w:r>
      <w:r w:rsidR="00084CFB" w:rsidRPr="009B3828">
        <w:rPr>
          <w:rFonts w:ascii="Garamond" w:hAnsi="Garamond"/>
          <w:sz w:val="22"/>
          <w:szCs w:val="22"/>
        </w:rPr>
        <w:t>6</w:t>
      </w:r>
      <w:r w:rsidRPr="009B3828">
        <w:rPr>
          <w:rFonts w:ascii="Garamond" w:hAnsi="Garamond"/>
          <w:sz w:val="22"/>
          <w:szCs w:val="22"/>
        </w:rPr>
        <w:t xml:space="preserve">. </w:t>
      </w:r>
      <w:r w:rsidR="003662CE">
        <w:rPr>
          <w:rFonts w:ascii="Garamond" w:hAnsi="Garamond"/>
          <w:sz w:val="22"/>
          <w:szCs w:val="22"/>
        </w:rPr>
        <w:t xml:space="preserve">A </w:t>
      </w:r>
      <w:r w:rsidR="004464D9">
        <w:rPr>
          <w:rFonts w:ascii="Garamond" w:hAnsi="Garamond"/>
          <w:sz w:val="22"/>
          <w:szCs w:val="22"/>
        </w:rPr>
        <w:t>two-year study period was chosen</w:t>
      </w:r>
      <w:r w:rsidR="003662CE">
        <w:rPr>
          <w:rFonts w:ascii="Garamond" w:hAnsi="Garamond"/>
          <w:sz w:val="22"/>
          <w:szCs w:val="22"/>
        </w:rPr>
        <w:t xml:space="preserve"> based on the</w:t>
      </w:r>
      <w:r w:rsidR="004464D9">
        <w:rPr>
          <w:rFonts w:ascii="Garamond" w:hAnsi="Garamond"/>
          <w:sz w:val="22"/>
          <w:szCs w:val="22"/>
        </w:rPr>
        <w:t xml:space="preserve"> availability of data and relevance of this issue to current policy debates, including the concerns raised during the past Winter periods.</w:t>
      </w:r>
      <w:r w:rsidR="004464D9">
        <w:rPr>
          <w:rFonts w:ascii="Garamond" w:hAnsi="Garamond"/>
          <w:sz w:val="22"/>
          <w:szCs w:val="22"/>
        </w:rPr>
        <w:fldChar w:fldCharType="begin" w:fldLock="1"/>
      </w:r>
      <w:r w:rsidR="00481CE7">
        <w:rPr>
          <w:rFonts w:ascii="Garamond" w:hAnsi="Garamond"/>
          <w:sz w:val="22"/>
          <w:szCs w:val="22"/>
        </w:rPr>
        <w:instrText>ADDIN CSL_CITATION {"citationItems":[{"id":"ITEM-1","itemData":{"DOI":"https://www.nuffieldtrust.org.uk/files/2017-01/winter-beds-pressures-final.pdf","abstract":"The NHS is entering winter 2016/17 amid talk of a crisis affecting both health and social care. Continued financial austerity, in combination with rising demand for health care, looks set to put an already stretched service under severe pressure. The effects of the financial squeeze have been largely mitigated by a combination of the hard work and goodwill of staff, increased productivity and by trusts allowing deficits to accumulate in order to minimise the impact upon patients. But this approach cannot last forever, and over recent years performance on a range of headline measures has been slipping. This is the first analysis in a new short series of briefings from the Nuffield Trust looking behind the numbers of the increased pressures the NHS experiences during the winter months. In this initial briefing, we look at bed occupancy rates across the NHS in England in winter.","author":[{"dropping-particle":"","family":"Appleby","given":"John","non-dropping-particle":"","parse-names":false,"suffix":""}],"id":"ITEM-1","issue":"December","issued":{"date-parts":[["2016"]]},"page":"1-8","title":"NUFFIELD WINTER INSIGHT Briefing 1 : Winter beds pressures","type":"article"},"uris":["http://www.mendeley.com/documents/?uuid=a2308ac0-c503-4e35-9aee-f86e217a51ee","http://www.mendeley.com/documents/?uuid=c86265a4-a619-4d1b-8d34-8652fed4cb64"]},{"id":"ITEM-2","itemData":{"author":[{"dropping-particle":"","family":"British Medical Association","given":"","non-dropping-particle":"","parse-names":false,"suffix":""}],"id":"ITEM-2","issued":{"date-parts":[["2017"]]},"number-of-pages":"1-20","publisher-place":"London, England","title":"State of the health system Beds in the NHS: England","type":"report"},"uris":["http://www.mendeley.com/documents/?uuid=84413301-152d-4bbe-afed-b3f750a088e1","http://www.mendeley.com/documents/?uuid=1fd038c4-d514-4e6a-a084-f0789ff4932a"]}],"mendeley":{"formattedCitation":"[7,23]","plainTextFormattedCitation":"[7,23]","previouslyFormattedCitation":"[7,23]"},"properties":{"noteIndex":0},"schema":"https://github.com/citation-style-language/schema/raw/master/csl-citation.json"}</w:instrText>
      </w:r>
      <w:r w:rsidR="004464D9">
        <w:rPr>
          <w:rFonts w:ascii="Garamond" w:hAnsi="Garamond"/>
          <w:sz w:val="22"/>
          <w:szCs w:val="22"/>
        </w:rPr>
        <w:fldChar w:fldCharType="separate"/>
      </w:r>
      <w:r w:rsidR="004464D9" w:rsidRPr="004464D9">
        <w:rPr>
          <w:rFonts w:ascii="Garamond" w:hAnsi="Garamond"/>
          <w:noProof/>
          <w:sz w:val="22"/>
          <w:szCs w:val="22"/>
        </w:rPr>
        <w:t>[7,23]</w:t>
      </w:r>
      <w:r w:rsidR="004464D9">
        <w:rPr>
          <w:rFonts w:ascii="Garamond" w:hAnsi="Garamond"/>
          <w:sz w:val="22"/>
          <w:szCs w:val="22"/>
        </w:rPr>
        <w:fldChar w:fldCharType="end"/>
      </w:r>
      <w:r w:rsidR="004464D9">
        <w:rPr>
          <w:rFonts w:ascii="Garamond" w:hAnsi="Garamond"/>
          <w:sz w:val="22"/>
          <w:szCs w:val="22"/>
        </w:rPr>
        <w:t xml:space="preserve"> </w:t>
      </w:r>
      <w:r w:rsidRPr="009B3828">
        <w:rPr>
          <w:rFonts w:ascii="Garamond" w:hAnsi="Garamond"/>
          <w:sz w:val="22"/>
          <w:szCs w:val="22"/>
        </w:rPr>
        <w:t xml:space="preserve">We </w:t>
      </w:r>
      <w:r w:rsidR="008473A6" w:rsidRPr="009B3828">
        <w:rPr>
          <w:rFonts w:ascii="Garamond" w:hAnsi="Garamond"/>
          <w:sz w:val="22"/>
          <w:szCs w:val="22"/>
        </w:rPr>
        <w:t xml:space="preserve">focussed on patients staying overnight in hospital, and thus </w:t>
      </w:r>
      <w:r w:rsidRPr="009B3828">
        <w:rPr>
          <w:rFonts w:ascii="Garamond" w:hAnsi="Garamond"/>
          <w:sz w:val="22"/>
          <w:szCs w:val="22"/>
        </w:rPr>
        <w:t xml:space="preserve">excluded </w:t>
      </w:r>
      <w:r w:rsidR="00084CFB" w:rsidRPr="009B3828">
        <w:rPr>
          <w:rFonts w:ascii="Garamond" w:hAnsi="Garamond"/>
          <w:sz w:val="22"/>
          <w:szCs w:val="22"/>
        </w:rPr>
        <w:t>patients who were admitted and discharged on the same day</w:t>
      </w:r>
      <w:r w:rsidRPr="009B3828">
        <w:rPr>
          <w:rFonts w:ascii="Garamond" w:hAnsi="Garamond"/>
          <w:sz w:val="22"/>
          <w:szCs w:val="22"/>
        </w:rPr>
        <w:t xml:space="preserve">. We </w:t>
      </w:r>
      <w:r w:rsidR="00C84B76">
        <w:rPr>
          <w:rFonts w:ascii="Garamond" w:hAnsi="Garamond"/>
          <w:sz w:val="22"/>
          <w:szCs w:val="22"/>
        </w:rPr>
        <w:t xml:space="preserve">also </w:t>
      </w:r>
      <w:r w:rsidRPr="009B3828">
        <w:rPr>
          <w:rFonts w:ascii="Garamond" w:hAnsi="Garamond"/>
          <w:sz w:val="22"/>
          <w:szCs w:val="22"/>
        </w:rPr>
        <w:t xml:space="preserve">excluded patients discharged in March </w:t>
      </w:r>
      <w:r w:rsidR="001E026D" w:rsidRPr="009B3828">
        <w:rPr>
          <w:rFonts w:ascii="Garamond" w:hAnsi="Garamond"/>
          <w:sz w:val="22"/>
          <w:szCs w:val="22"/>
        </w:rPr>
        <w:t>201</w:t>
      </w:r>
      <w:r w:rsidR="00084CFB" w:rsidRPr="009B3828">
        <w:rPr>
          <w:rFonts w:ascii="Garamond" w:hAnsi="Garamond"/>
          <w:sz w:val="22"/>
          <w:szCs w:val="22"/>
        </w:rPr>
        <w:t>6</w:t>
      </w:r>
      <w:r w:rsidRPr="009B3828">
        <w:rPr>
          <w:rFonts w:ascii="Garamond" w:hAnsi="Garamond"/>
          <w:sz w:val="22"/>
          <w:szCs w:val="22"/>
        </w:rPr>
        <w:t>, to allow us to calculate 30-day readmissions within the constraints of the data.</w:t>
      </w:r>
    </w:p>
    <w:p w14:paraId="21EB9E93" w14:textId="77777777" w:rsidR="00386B68" w:rsidRPr="009B3828" w:rsidRDefault="00386B68" w:rsidP="00701045">
      <w:pPr>
        <w:spacing w:line="360" w:lineRule="auto"/>
        <w:rPr>
          <w:rFonts w:ascii="Garamond" w:hAnsi="Garamond"/>
          <w:sz w:val="22"/>
          <w:szCs w:val="22"/>
        </w:rPr>
      </w:pPr>
    </w:p>
    <w:p w14:paraId="672F42E5" w14:textId="4BF09BA4" w:rsidR="00386B68" w:rsidRPr="009B3828" w:rsidRDefault="00C84B76" w:rsidP="00701045">
      <w:pPr>
        <w:spacing w:line="360" w:lineRule="auto"/>
        <w:rPr>
          <w:rFonts w:ascii="Garamond" w:hAnsi="Garamond"/>
          <w:sz w:val="22"/>
          <w:szCs w:val="22"/>
        </w:rPr>
      </w:pPr>
      <w:r>
        <w:rPr>
          <w:rFonts w:ascii="Garamond" w:hAnsi="Garamond"/>
          <w:sz w:val="22"/>
          <w:szCs w:val="22"/>
        </w:rPr>
        <w:t>Data were sourced from</w:t>
      </w:r>
      <w:r w:rsidR="00386B68" w:rsidRPr="009B3828">
        <w:rPr>
          <w:rFonts w:ascii="Garamond" w:hAnsi="Garamond"/>
          <w:sz w:val="22"/>
          <w:szCs w:val="22"/>
        </w:rPr>
        <w:t xml:space="preserve"> the Hospital Episode Statistics (HES), a national administrative </w:t>
      </w:r>
      <w:r>
        <w:rPr>
          <w:rFonts w:ascii="Garamond" w:hAnsi="Garamond"/>
          <w:sz w:val="22"/>
          <w:szCs w:val="22"/>
        </w:rPr>
        <w:t>database</w:t>
      </w:r>
      <w:r w:rsidRPr="009B3828">
        <w:rPr>
          <w:rFonts w:ascii="Garamond" w:hAnsi="Garamond"/>
          <w:sz w:val="22"/>
          <w:szCs w:val="22"/>
        </w:rPr>
        <w:t xml:space="preserve"> </w:t>
      </w:r>
      <w:r w:rsidR="00386B68" w:rsidRPr="009B3828">
        <w:rPr>
          <w:rFonts w:ascii="Garamond" w:hAnsi="Garamond"/>
          <w:sz w:val="22"/>
          <w:szCs w:val="22"/>
        </w:rPr>
        <w:t xml:space="preserve">containing records for patients receiving health </w:t>
      </w:r>
      <w:r w:rsidR="0070061B" w:rsidRPr="009B3828">
        <w:rPr>
          <w:rFonts w:ascii="Garamond" w:hAnsi="Garamond"/>
          <w:sz w:val="22"/>
          <w:szCs w:val="22"/>
        </w:rPr>
        <w:t xml:space="preserve">care </w:t>
      </w:r>
      <w:r w:rsidR="00386B68" w:rsidRPr="009B3828">
        <w:rPr>
          <w:rFonts w:ascii="Garamond" w:hAnsi="Garamond"/>
          <w:sz w:val="22"/>
          <w:szCs w:val="22"/>
        </w:rPr>
        <w:t>services by the NHS in England. The data spanned April 201</w:t>
      </w:r>
      <w:r w:rsidR="00493502" w:rsidRPr="009B3828">
        <w:rPr>
          <w:rFonts w:ascii="Garamond" w:hAnsi="Garamond"/>
          <w:sz w:val="22"/>
          <w:szCs w:val="22"/>
        </w:rPr>
        <w:t>4</w:t>
      </w:r>
      <w:r w:rsidR="00386B68" w:rsidRPr="009B3828">
        <w:rPr>
          <w:rFonts w:ascii="Garamond" w:hAnsi="Garamond"/>
          <w:sz w:val="22"/>
          <w:szCs w:val="22"/>
        </w:rPr>
        <w:t xml:space="preserve"> to March 201</w:t>
      </w:r>
      <w:r w:rsidR="00D95DF3" w:rsidRPr="009B3828">
        <w:rPr>
          <w:rFonts w:ascii="Garamond" w:hAnsi="Garamond"/>
          <w:sz w:val="22"/>
          <w:szCs w:val="22"/>
        </w:rPr>
        <w:t>6</w:t>
      </w:r>
      <w:r w:rsidR="007C59EB">
        <w:rPr>
          <w:rFonts w:ascii="Garamond" w:hAnsi="Garamond"/>
          <w:sz w:val="22"/>
          <w:szCs w:val="22"/>
        </w:rPr>
        <w:t>,</w:t>
      </w:r>
      <w:r w:rsidR="00386B68" w:rsidRPr="009B3828">
        <w:rPr>
          <w:rFonts w:ascii="Garamond" w:hAnsi="Garamond"/>
          <w:sz w:val="22"/>
          <w:szCs w:val="22"/>
        </w:rPr>
        <w:t xml:space="preserve"> and included </w:t>
      </w:r>
      <w:r w:rsidR="00D95DF3" w:rsidRPr="009B3828">
        <w:rPr>
          <w:rFonts w:ascii="Garamond" w:hAnsi="Garamond"/>
          <w:sz w:val="22"/>
          <w:szCs w:val="22"/>
        </w:rPr>
        <w:t xml:space="preserve">information on </w:t>
      </w:r>
      <w:r w:rsidR="00386B68" w:rsidRPr="009B3828">
        <w:rPr>
          <w:rFonts w:ascii="Garamond" w:hAnsi="Garamond"/>
          <w:sz w:val="22"/>
          <w:szCs w:val="22"/>
        </w:rPr>
        <w:t>patient demographics</w:t>
      </w:r>
      <w:r>
        <w:rPr>
          <w:rFonts w:ascii="Garamond" w:hAnsi="Garamond"/>
          <w:sz w:val="22"/>
          <w:szCs w:val="22"/>
        </w:rPr>
        <w:t>,</w:t>
      </w:r>
      <w:r w:rsidR="00386B68" w:rsidRPr="009B3828">
        <w:rPr>
          <w:rFonts w:ascii="Garamond" w:hAnsi="Garamond"/>
          <w:sz w:val="22"/>
          <w:szCs w:val="22"/>
        </w:rPr>
        <w:t xml:space="preserve"> </w:t>
      </w:r>
      <w:r w:rsidRPr="009B3828">
        <w:rPr>
          <w:rFonts w:ascii="Garamond" w:hAnsi="Garamond"/>
          <w:sz w:val="22"/>
          <w:szCs w:val="22"/>
        </w:rPr>
        <w:t>diagnos</w:t>
      </w:r>
      <w:r>
        <w:rPr>
          <w:rFonts w:ascii="Garamond" w:hAnsi="Garamond"/>
          <w:sz w:val="22"/>
          <w:szCs w:val="22"/>
        </w:rPr>
        <w:t>e</w:t>
      </w:r>
      <w:r w:rsidRPr="009B3828">
        <w:rPr>
          <w:rFonts w:ascii="Garamond" w:hAnsi="Garamond"/>
          <w:sz w:val="22"/>
          <w:szCs w:val="22"/>
        </w:rPr>
        <w:t>s</w:t>
      </w:r>
      <w:r>
        <w:rPr>
          <w:rFonts w:ascii="Garamond" w:hAnsi="Garamond"/>
          <w:sz w:val="22"/>
          <w:szCs w:val="22"/>
        </w:rPr>
        <w:t>, and admission and discharge dates</w:t>
      </w:r>
      <w:r w:rsidR="00386B68" w:rsidRPr="009B3828">
        <w:rPr>
          <w:rFonts w:ascii="Garamond" w:hAnsi="Garamond"/>
          <w:sz w:val="22"/>
          <w:szCs w:val="22"/>
        </w:rPr>
        <w:t xml:space="preserve">. Patients experiencing multiple admissions during the observation period were treated as separate inpatient spells (admissions) in the analysis. Patients with incomplete records on information required for risk-adjustment were excluded. </w:t>
      </w:r>
    </w:p>
    <w:p w14:paraId="1B262EB3" w14:textId="77777777" w:rsidR="00386B68" w:rsidRPr="009B3828" w:rsidRDefault="00386B68" w:rsidP="00701045">
      <w:pPr>
        <w:spacing w:line="360" w:lineRule="auto"/>
        <w:rPr>
          <w:rFonts w:ascii="Garamond" w:hAnsi="Garamond"/>
          <w:sz w:val="22"/>
          <w:szCs w:val="22"/>
        </w:rPr>
      </w:pPr>
      <w:r w:rsidRPr="009B3828">
        <w:rPr>
          <w:rFonts w:ascii="Garamond" w:hAnsi="Garamond"/>
          <w:sz w:val="22"/>
          <w:szCs w:val="22"/>
        </w:rPr>
        <w:t xml:space="preserve"> </w:t>
      </w:r>
    </w:p>
    <w:p w14:paraId="22DA44E6" w14:textId="77777777" w:rsidR="00386B68" w:rsidRPr="009B3828" w:rsidRDefault="00386B68" w:rsidP="0036336A">
      <w:pPr>
        <w:spacing w:line="360" w:lineRule="auto"/>
        <w:outlineLvl w:val="0"/>
        <w:rPr>
          <w:rFonts w:ascii="Garamond" w:hAnsi="Garamond"/>
          <w:b/>
          <w:i/>
          <w:sz w:val="22"/>
          <w:szCs w:val="22"/>
        </w:rPr>
      </w:pPr>
      <w:r w:rsidRPr="009B3828">
        <w:rPr>
          <w:rFonts w:ascii="Garamond" w:hAnsi="Garamond"/>
          <w:b/>
          <w:i/>
          <w:sz w:val="22"/>
          <w:szCs w:val="22"/>
        </w:rPr>
        <w:t>Bed occupancy rates</w:t>
      </w:r>
    </w:p>
    <w:p w14:paraId="2A91E40D" w14:textId="631D8D7D" w:rsidR="00386B68" w:rsidRPr="00E724B5" w:rsidRDefault="00386B68" w:rsidP="00701045">
      <w:pPr>
        <w:spacing w:line="360" w:lineRule="auto"/>
        <w:rPr>
          <w:rFonts w:ascii="Garamond" w:hAnsi="Garamond"/>
          <w:sz w:val="22"/>
          <w:szCs w:val="22"/>
        </w:rPr>
      </w:pPr>
      <w:r w:rsidRPr="009B3828">
        <w:rPr>
          <w:rFonts w:ascii="Garamond" w:hAnsi="Garamond"/>
          <w:sz w:val="22"/>
          <w:szCs w:val="22"/>
        </w:rPr>
        <w:t xml:space="preserve">We calculated the bed occupancy rate for each </w:t>
      </w:r>
      <w:r w:rsidR="00D95DF3" w:rsidRPr="009B3828">
        <w:rPr>
          <w:rFonts w:ascii="Garamond" w:hAnsi="Garamond"/>
          <w:sz w:val="22"/>
          <w:szCs w:val="22"/>
        </w:rPr>
        <w:t>t</w:t>
      </w:r>
      <w:r w:rsidRPr="009B3828">
        <w:rPr>
          <w:rFonts w:ascii="Garamond" w:hAnsi="Garamond"/>
          <w:sz w:val="22"/>
          <w:szCs w:val="22"/>
        </w:rPr>
        <w:t>rust and each day between 1 April 201</w:t>
      </w:r>
      <w:r w:rsidR="00493502" w:rsidRPr="009B3828">
        <w:rPr>
          <w:rFonts w:ascii="Garamond" w:hAnsi="Garamond"/>
          <w:sz w:val="22"/>
          <w:szCs w:val="22"/>
        </w:rPr>
        <w:t>4</w:t>
      </w:r>
      <w:r w:rsidRPr="009B3828">
        <w:rPr>
          <w:rFonts w:ascii="Garamond" w:hAnsi="Garamond"/>
          <w:sz w:val="22"/>
          <w:szCs w:val="22"/>
        </w:rPr>
        <w:t xml:space="preserve"> and 2</w:t>
      </w:r>
      <w:r w:rsidR="00493502" w:rsidRPr="009B3828">
        <w:rPr>
          <w:rFonts w:ascii="Garamond" w:hAnsi="Garamond"/>
          <w:sz w:val="22"/>
          <w:szCs w:val="22"/>
        </w:rPr>
        <w:t>9</w:t>
      </w:r>
      <w:r w:rsidRPr="009B3828">
        <w:rPr>
          <w:rFonts w:ascii="Garamond" w:hAnsi="Garamond"/>
          <w:sz w:val="22"/>
          <w:szCs w:val="22"/>
        </w:rPr>
        <w:t xml:space="preserve"> February 201</w:t>
      </w:r>
      <w:r w:rsidR="00D95DF3" w:rsidRPr="009B3828">
        <w:rPr>
          <w:rFonts w:ascii="Garamond" w:hAnsi="Garamond"/>
          <w:sz w:val="22"/>
          <w:szCs w:val="22"/>
        </w:rPr>
        <w:t>6</w:t>
      </w:r>
      <w:r w:rsidRPr="009B3828">
        <w:rPr>
          <w:rFonts w:ascii="Garamond" w:hAnsi="Garamond"/>
          <w:sz w:val="22"/>
          <w:szCs w:val="22"/>
        </w:rPr>
        <w:t xml:space="preserve">, as the number of inpatients present at midnight divided by the total number of beds in the </w:t>
      </w:r>
      <w:r w:rsidR="00D95DF3" w:rsidRPr="009B3828">
        <w:rPr>
          <w:rFonts w:ascii="Garamond" w:hAnsi="Garamond"/>
          <w:sz w:val="22"/>
          <w:szCs w:val="22"/>
        </w:rPr>
        <w:t>t</w:t>
      </w:r>
      <w:r w:rsidRPr="009B3828">
        <w:rPr>
          <w:rFonts w:ascii="Garamond" w:hAnsi="Garamond"/>
          <w:sz w:val="22"/>
          <w:szCs w:val="22"/>
        </w:rPr>
        <w:t xml:space="preserve">rust. </w:t>
      </w:r>
      <w:r w:rsidR="0070061B" w:rsidRPr="009B3828">
        <w:rPr>
          <w:rFonts w:ascii="Garamond" w:hAnsi="Garamond"/>
          <w:sz w:val="22"/>
          <w:szCs w:val="22"/>
        </w:rPr>
        <w:t>We focussed on the midnight bed occupancy rate because HES include</w:t>
      </w:r>
      <w:r w:rsidR="001A716B" w:rsidRPr="009B3828">
        <w:rPr>
          <w:rFonts w:ascii="Garamond" w:hAnsi="Garamond"/>
          <w:sz w:val="22"/>
          <w:szCs w:val="22"/>
        </w:rPr>
        <w:t>s only the date, but not</w:t>
      </w:r>
      <w:r w:rsidR="0070061B" w:rsidRPr="009B3828">
        <w:rPr>
          <w:rFonts w:ascii="Garamond" w:hAnsi="Garamond"/>
          <w:sz w:val="22"/>
          <w:szCs w:val="22"/>
        </w:rPr>
        <w:t xml:space="preserve"> the time</w:t>
      </w:r>
      <w:r w:rsidR="001A716B" w:rsidRPr="009B3828">
        <w:rPr>
          <w:rFonts w:ascii="Garamond" w:hAnsi="Garamond"/>
          <w:sz w:val="22"/>
          <w:szCs w:val="22"/>
        </w:rPr>
        <w:t>,</w:t>
      </w:r>
      <w:r w:rsidR="0070061B" w:rsidRPr="009B3828">
        <w:rPr>
          <w:rFonts w:ascii="Garamond" w:hAnsi="Garamond"/>
          <w:sz w:val="22"/>
          <w:szCs w:val="22"/>
        </w:rPr>
        <w:t xml:space="preserve"> of admission </w:t>
      </w:r>
      <w:r w:rsidR="001A716B" w:rsidRPr="009B3828">
        <w:rPr>
          <w:rFonts w:ascii="Garamond" w:hAnsi="Garamond"/>
          <w:sz w:val="22"/>
          <w:szCs w:val="22"/>
        </w:rPr>
        <w:t>and</w:t>
      </w:r>
      <w:r w:rsidR="008473A6" w:rsidRPr="009B3828">
        <w:rPr>
          <w:rFonts w:ascii="Garamond" w:hAnsi="Garamond"/>
          <w:sz w:val="22"/>
          <w:szCs w:val="22"/>
        </w:rPr>
        <w:t xml:space="preserve"> </w:t>
      </w:r>
      <w:r w:rsidR="0070061B" w:rsidRPr="009B3828">
        <w:rPr>
          <w:rFonts w:ascii="Garamond" w:hAnsi="Garamond"/>
          <w:sz w:val="22"/>
          <w:szCs w:val="22"/>
        </w:rPr>
        <w:t>discharge. The number of inpatients present at midnight can be calculated based on a consideration of the date</w:t>
      </w:r>
      <w:r w:rsidR="001A716B" w:rsidRPr="009B3828">
        <w:rPr>
          <w:rFonts w:ascii="Garamond" w:hAnsi="Garamond"/>
          <w:sz w:val="22"/>
          <w:szCs w:val="22"/>
        </w:rPr>
        <w:t>s</w:t>
      </w:r>
      <w:r w:rsidR="0070061B" w:rsidRPr="009B3828">
        <w:rPr>
          <w:rFonts w:ascii="Garamond" w:hAnsi="Garamond"/>
          <w:sz w:val="22"/>
          <w:szCs w:val="22"/>
        </w:rPr>
        <w:t xml:space="preserve"> </w:t>
      </w:r>
      <w:r w:rsidR="001A716B" w:rsidRPr="009B3828">
        <w:rPr>
          <w:rFonts w:ascii="Garamond" w:hAnsi="Garamond"/>
          <w:sz w:val="22"/>
          <w:szCs w:val="22"/>
        </w:rPr>
        <w:t>alone</w:t>
      </w:r>
      <w:r w:rsidR="0070061B" w:rsidRPr="009B3828">
        <w:rPr>
          <w:rFonts w:ascii="Garamond" w:hAnsi="Garamond"/>
          <w:sz w:val="22"/>
          <w:szCs w:val="22"/>
        </w:rPr>
        <w:t xml:space="preserve">. The number of </w:t>
      </w:r>
      <w:r w:rsidRPr="009B3828">
        <w:rPr>
          <w:rFonts w:ascii="Garamond" w:hAnsi="Garamond"/>
          <w:sz w:val="22"/>
          <w:szCs w:val="22"/>
        </w:rPr>
        <w:t xml:space="preserve">beds </w:t>
      </w:r>
      <w:r w:rsidR="0070061B" w:rsidRPr="009B3828">
        <w:rPr>
          <w:rFonts w:ascii="Garamond" w:hAnsi="Garamond"/>
          <w:sz w:val="22"/>
          <w:szCs w:val="22"/>
        </w:rPr>
        <w:t xml:space="preserve">was </w:t>
      </w:r>
      <w:r w:rsidR="001A716B" w:rsidRPr="009B3828">
        <w:rPr>
          <w:rFonts w:ascii="Garamond" w:hAnsi="Garamond"/>
          <w:sz w:val="22"/>
          <w:szCs w:val="22"/>
        </w:rPr>
        <w:t>obtained from</w:t>
      </w:r>
      <w:r w:rsidR="0070061B" w:rsidRPr="009B3828">
        <w:rPr>
          <w:rFonts w:ascii="Garamond" w:hAnsi="Garamond"/>
          <w:sz w:val="22"/>
          <w:szCs w:val="22"/>
        </w:rPr>
        <w:t xml:space="preserve"> publicly reported data</w:t>
      </w:r>
      <w:r w:rsidRPr="009B3828">
        <w:rPr>
          <w:rFonts w:ascii="Garamond" w:hAnsi="Garamond"/>
          <w:sz w:val="22"/>
          <w:szCs w:val="22"/>
        </w:rPr>
        <w:t>,</w:t>
      </w:r>
      <w:r w:rsidRPr="00E724B5">
        <w:rPr>
          <w:rFonts w:ascii="Garamond" w:hAnsi="Garamond"/>
          <w:sz w:val="22"/>
          <w:szCs w:val="22"/>
        </w:rPr>
        <w:fldChar w:fldCharType="begin" w:fldLock="1"/>
      </w:r>
      <w:r w:rsidR="00481CE7">
        <w:rPr>
          <w:rFonts w:ascii="Garamond" w:hAnsi="Garamond"/>
          <w:sz w:val="22"/>
          <w:szCs w:val="22"/>
        </w:rPr>
        <w:instrText>ADDIN CSL_CITATION {"citationItems":[{"id":"ITEM-1","itemData":{"author":[{"dropping-particle":"","family":"NHS England","given":"","non-dropping-particle":"","parse-names":false,"suffix":""}],"id":"ITEM-1","issued":{"date-parts":[["0"]]},"title":"Bed Availability and Occupancy Data – Overnight","type":"webpage"},"uris":["http://www.mendeley.com/documents/?uuid=a1be79fa-9284-4c31-a391-3dfed08baf9a","http://www.mendeley.com/documents/?uuid=21c9d321-d954-4770-8cbf-ef1b4175e2c9"]}],"mendeley":{"formattedCitation":"[1]","plainTextFormattedCitation":"[1]","previouslyFormattedCitation":"[1]"},"properties":{"noteIndex":0},"schema":"https://github.com/citation-style-language/schema/raw/master/csl-citation.json"}</w:instrText>
      </w:r>
      <w:r w:rsidRPr="00E724B5">
        <w:rPr>
          <w:rFonts w:ascii="Garamond" w:hAnsi="Garamond"/>
          <w:sz w:val="22"/>
          <w:szCs w:val="22"/>
        </w:rPr>
        <w:fldChar w:fldCharType="separate"/>
      </w:r>
      <w:r w:rsidR="004874A8" w:rsidRPr="00E724B5">
        <w:rPr>
          <w:rFonts w:ascii="Garamond" w:hAnsi="Garamond"/>
          <w:noProof/>
          <w:sz w:val="22"/>
          <w:szCs w:val="22"/>
        </w:rPr>
        <w:t>[1]</w:t>
      </w:r>
      <w:r w:rsidRPr="00E724B5">
        <w:rPr>
          <w:rFonts w:ascii="Garamond" w:hAnsi="Garamond"/>
          <w:sz w:val="22"/>
          <w:szCs w:val="22"/>
        </w:rPr>
        <w:fldChar w:fldCharType="end"/>
      </w:r>
      <w:r w:rsidRPr="00E724B5">
        <w:rPr>
          <w:rFonts w:ascii="Garamond" w:hAnsi="Garamond"/>
          <w:sz w:val="22"/>
          <w:szCs w:val="22"/>
        </w:rPr>
        <w:t xml:space="preserve"> </w:t>
      </w:r>
      <w:r w:rsidR="00C84B76">
        <w:rPr>
          <w:rFonts w:ascii="Garamond" w:hAnsi="Garamond"/>
          <w:sz w:val="22"/>
          <w:szCs w:val="22"/>
        </w:rPr>
        <w:t xml:space="preserve">which are updated every </w:t>
      </w:r>
      <w:r w:rsidR="001935B8">
        <w:rPr>
          <w:rFonts w:ascii="Garamond" w:hAnsi="Garamond"/>
          <w:sz w:val="22"/>
          <w:szCs w:val="22"/>
        </w:rPr>
        <w:t xml:space="preserve">three </w:t>
      </w:r>
      <w:r w:rsidR="001935B8">
        <w:rPr>
          <w:rFonts w:ascii="Garamond" w:hAnsi="Garamond"/>
          <w:sz w:val="22"/>
          <w:szCs w:val="22"/>
        </w:rPr>
        <w:lastRenderedPageBreak/>
        <w:t>months</w:t>
      </w:r>
      <w:r w:rsidR="00C84B76">
        <w:rPr>
          <w:rFonts w:ascii="Garamond" w:hAnsi="Garamond"/>
          <w:sz w:val="22"/>
          <w:szCs w:val="22"/>
        </w:rPr>
        <w:t xml:space="preserve"> </w:t>
      </w:r>
      <w:r w:rsidR="00D17674">
        <w:rPr>
          <w:rFonts w:ascii="Garamond" w:hAnsi="Garamond"/>
          <w:sz w:val="22"/>
          <w:szCs w:val="22"/>
        </w:rPr>
        <w:t xml:space="preserve">as the average of the daily number of beds </w:t>
      </w:r>
      <w:r w:rsidR="00C84B76">
        <w:rPr>
          <w:rFonts w:ascii="Garamond" w:hAnsi="Garamond"/>
          <w:sz w:val="22"/>
          <w:szCs w:val="22"/>
        </w:rPr>
        <w:t>and</w:t>
      </w:r>
      <w:r w:rsidR="00C84B76" w:rsidRPr="00E724B5">
        <w:rPr>
          <w:rFonts w:ascii="Garamond" w:hAnsi="Garamond"/>
          <w:sz w:val="22"/>
          <w:szCs w:val="22"/>
        </w:rPr>
        <w:t xml:space="preserve"> </w:t>
      </w:r>
      <w:r w:rsidRPr="00E724B5">
        <w:rPr>
          <w:rFonts w:ascii="Garamond" w:hAnsi="Garamond"/>
          <w:sz w:val="22"/>
          <w:szCs w:val="22"/>
        </w:rPr>
        <w:t>include beds for general and acute care, maternity, learning disability and mental health services</w:t>
      </w:r>
      <w:r w:rsidR="00D17674">
        <w:rPr>
          <w:rFonts w:ascii="Garamond" w:hAnsi="Garamond"/>
          <w:sz w:val="22"/>
          <w:szCs w:val="22"/>
        </w:rPr>
        <w:t>, but exclude beds for critical care</w:t>
      </w:r>
      <w:r w:rsidRPr="00E724B5">
        <w:rPr>
          <w:rFonts w:ascii="Garamond" w:hAnsi="Garamond"/>
          <w:sz w:val="22"/>
          <w:szCs w:val="22"/>
        </w:rPr>
        <w:t>.</w:t>
      </w:r>
      <w:r w:rsidRPr="00E724B5">
        <w:rPr>
          <w:rFonts w:ascii="Garamond" w:hAnsi="Garamond"/>
          <w:sz w:val="22"/>
          <w:szCs w:val="22"/>
        </w:rPr>
        <w:fldChar w:fldCharType="begin" w:fldLock="1"/>
      </w:r>
      <w:r w:rsidR="00481CE7">
        <w:rPr>
          <w:rFonts w:ascii="Garamond" w:hAnsi="Garamond"/>
          <w:sz w:val="22"/>
          <w:szCs w:val="22"/>
        </w:rPr>
        <w:instrText>ADDIN CSL_CITATION {"citationItems":[{"id":"ITEM-1","itemData":{"author":[{"dropping-particle":"","family":"Department of Health","given":"","non-dropping-particle":"","parse-names":false,"suffix":""}],"id":"ITEM-1","issued":{"date-parts":[["2010"]]},"title":"KH02 Quarterly bed availability and occupancy - Data definitions","type":"report"},"uris":["http://www.mendeley.com/documents/?uuid=e10aa06d-89b1-460e-8289-3da35dcc73c9","http://www.mendeley.com/documents/?uuid=affede3a-8135-4097-ba08-1ccf816af967"]}],"mendeley":{"formattedCitation":"[24]","plainTextFormattedCitation":"[24]","previouslyFormattedCitation":"[24]"},"properties":{"noteIndex":0},"schema":"https://github.com/citation-style-language/schema/raw/master/csl-citation.json"}</w:instrText>
      </w:r>
      <w:r w:rsidRPr="00E724B5">
        <w:rPr>
          <w:rFonts w:ascii="Garamond" w:hAnsi="Garamond"/>
          <w:sz w:val="22"/>
          <w:szCs w:val="22"/>
        </w:rPr>
        <w:fldChar w:fldCharType="separate"/>
      </w:r>
      <w:r w:rsidR="004464D9" w:rsidRPr="004464D9">
        <w:rPr>
          <w:rFonts w:ascii="Garamond" w:hAnsi="Garamond"/>
          <w:noProof/>
          <w:sz w:val="22"/>
          <w:szCs w:val="22"/>
        </w:rPr>
        <w:t>[24]</w:t>
      </w:r>
      <w:r w:rsidRPr="00E724B5">
        <w:rPr>
          <w:rFonts w:ascii="Garamond" w:hAnsi="Garamond"/>
          <w:sz w:val="22"/>
          <w:szCs w:val="22"/>
        </w:rPr>
        <w:fldChar w:fldCharType="end"/>
      </w:r>
      <w:r w:rsidRPr="00E724B5">
        <w:rPr>
          <w:rFonts w:ascii="Garamond" w:hAnsi="Garamond"/>
          <w:sz w:val="22"/>
          <w:szCs w:val="22"/>
        </w:rPr>
        <w:t xml:space="preserve"> </w:t>
      </w:r>
    </w:p>
    <w:p w14:paraId="02599321" w14:textId="77777777" w:rsidR="0085037F" w:rsidRDefault="0085037F" w:rsidP="0085037F">
      <w:pPr>
        <w:rPr>
          <w:rFonts w:ascii="Garamond" w:hAnsi="Garamond"/>
          <w:sz w:val="22"/>
          <w:szCs w:val="22"/>
        </w:rPr>
      </w:pPr>
    </w:p>
    <w:p w14:paraId="5F6B48D4" w14:textId="2EFB863D" w:rsidR="00386B68" w:rsidRPr="009B3828" w:rsidRDefault="00386B68" w:rsidP="0036336A">
      <w:pPr>
        <w:spacing w:line="360" w:lineRule="auto"/>
        <w:outlineLvl w:val="0"/>
        <w:rPr>
          <w:rFonts w:ascii="Garamond" w:hAnsi="Garamond"/>
          <w:b/>
          <w:i/>
          <w:sz w:val="22"/>
          <w:szCs w:val="22"/>
        </w:rPr>
      </w:pPr>
      <w:r w:rsidRPr="009B3828">
        <w:rPr>
          <w:rFonts w:ascii="Garamond" w:hAnsi="Garamond"/>
          <w:b/>
          <w:i/>
          <w:sz w:val="22"/>
          <w:szCs w:val="22"/>
        </w:rPr>
        <w:t>Hospital discharge rates</w:t>
      </w:r>
    </w:p>
    <w:p w14:paraId="2EAB43F0" w14:textId="01033852" w:rsidR="007F3CE0" w:rsidRDefault="00386B68" w:rsidP="00701045">
      <w:pPr>
        <w:spacing w:line="360" w:lineRule="auto"/>
        <w:rPr>
          <w:rFonts w:ascii="Garamond" w:hAnsi="Garamond"/>
          <w:sz w:val="22"/>
          <w:szCs w:val="22"/>
        </w:rPr>
      </w:pPr>
      <w:r w:rsidRPr="009B3828">
        <w:rPr>
          <w:rFonts w:ascii="Garamond" w:hAnsi="Garamond"/>
          <w:sz w:val="22"/>
          <w:szCs w:val="22"/>
        </w:rPr>
        <w:t xml:space="preserve">We calculated the hospital discharge rate for each </w:t>
      </w:r>
      <w:r w:rsidR="00145292" w:rsidRPr="009B3828">
        <w:rPr>
          <w:rFonts w:ascii="Garamond" w:hAnsi="Garamond"/>
          <w:sz w:val="22"/>
          <w:szCs w:val="22"/>
        </w:rPr>
        <w:t>t</w:t>
      </w:r>
      <w:r w:rsidRPr="009B3828">
        <w:rPr>
          <w:rFonts w:ascii="Garamond" w:hAnsi="Garamond"/>
          <w:sz w:val="22"/>
          <w:szCs w:val="22"/>
        </w:rPr>
        <w:t>rust and each day between 1 April 201</w:t>
      </w:r>
      <w:r w:rsidR="00493502" w:rsidRPr="009B3828">
        <w:rPr>
          <w:rFonts w:ascii="Garamond" w:hAnsi="Garamond"/>
          <w:sz w:val="22"/>
          <w:szCs w:val="22"/>
        </w:rPr>
        <w:t>4</w:t>
      </w:r>
      <w:r w:rsidRPr="009B3828">
        <w:rPr>
          <w:rFonts w:ascii="Garamond" w:hAnsi="Garamond"/>
          <w:sz w:val="22"/>
          <w:szCs w:val="22"/>
        </w:rPr>
        <w:t xml:space="preserve"> and 2</w:t>
      </w:r>
      <w:r w:rsidR="00493502" w:rsidRPr="009B3828">
        <w:rPr>
          <w:rFonts w:ascii="Garamond" w:hAnsi="Garamond"/>
          <w:sz w:val="22"/>
          <w:szCs w:val="22"/>
        </w:rPr>
        <w:t>9</w:t>
      </w:r>
      <w:r w:rsidRPr="009B3828">
        <w:rPr>
          <w:rFonts w:ascii="Garamond" w:hAnsi="Garamond"/>
          <w:sz w:val="22"/>
          <w:szCs w:val="22"/>
        </w:rPr>
        <w:t xml:space="preserve"> February 201</w:t>
      </w:r>
      <w:r w:rsidR="00145292" w:rsidRPr="009B3828">
        <w:rPr>
          <w:rFonts w:ascii="Garamond" w:hAnsi="Garamond"/>
          <w:sz w:val="22"/>
          <w:szCs w:val="22"/>
        </w:rPr>
        <w:t>6</w:t>
      </w:r>
      <w:r w:rsidRPr="009B3828">
        <w:rPr>
          <w:rFonts w:ascii="Garamond" w:hAnsi="Garamond"/>
          <w:sz w:val="22"/>
          <w:szCs w:val="22"/>
        </w:rPr>
        <w:t xml:space="preserve">, as the proportion of the patients who </w:t>
      </w:r>
      <w:r w:rsidR="00C84B76">
        <w:rPr>
          <w:rFonts w:ascii="Garamond" w:hAnsi="Garamond"/>
          <w:sz w:val="22"/>
          <w:szCs w:val="22"/>
        </w:rPr>
        <w:t>were</w:t>
      </w:r>
      <w:r w:rsidRPr="009B3828">
        <w:rPr>
          <w:rFonts w:ascii="Garamond" w:hAnsi="Garamond"/>
          <w:sz w:val="22"/>
          <w:szCs w:val="22"/>
        </w:rPr>
        <w:t xml:space="preserve"> discharged. </w:t>
      </w:r>
      <w:r w:rsidR="007C59EB">
        <w:rPr>
          <w:rFonts w:ascii="Garamond" w:hAnsi="Garamond"/>
          <w:sz w:val="22"/>
          <w:szCs w:val="22"/>
        </w:rPr>
        <w:t>O</w:t>
      </w:r>
      <w:r w:rsidR="00C84B76">
        <w:rPr>
          <w:rFonts w:ascii="Garamond" w:hAnsi="Garamond"/>
          <w:sz w:val="22"/>
          <w:szCs w:val="22"/>
        </w:rPr>
        <w:t xml:space="preserve">ur focus was restricted to people who </w:t>
      </w:r>
      <w:r w:rsidR="00C84B76" w:rsidRPr="009B3828">
        <w:rPr>
          <w:rFonts w:ascii="Garamond" w:hAnsi="Garamond"/>
          <w:sz w:val="22"/>
          <w:szCs w:val="22"/>
        </w:rPr>
        <w:t>were inpatients at midnight the previous night</w:t>
      </w:r>
      <w:r w:rsidR="00C84B76">
        <w:rPr>
          <w:rFonts w:ascii="Garamond" w:hAnsi="Garamond"/>
          <w:sz w:val="22"/>
          <w:szCs w:val="22"/>
        </w:rPr>
        <w:t>.</w:t>
      </w:r>
      <w:r w:rsidR="00C84B76" w:rsidRPr="009B3828">
        <w:rPr>
          <w:rFonts w:ascii="Garamond" w:hAnsi="Garamond"/>
          <w:sz w:val="22"/>
          <w:szCs w:val="22"/>
        </w:rPr>
        <w:t xml:space="preserve"> </w:t>
      </w:r>
      <w:r w:rsidRPr="009B3828">
        <w:rPr>
          <w:rFonts w:ascii="Garamond" w:hAnsi="Garamond"/>
          <w:sz w:val="22"/>
          <w:szCs w:val="22"/>
        </w:rPr>
        <w:t xml:space="preserve">The hospital discharge rates were risk-adjusted for the characteristics of </w:t>
      </w:r>
      <w:r w:rsidR="00EC4744" w:rsidRPr="009B3828">
        <w:rPr>
          <w:rFonts w:ascii="Garamond" w:hAnsi="Garamond"/>
          <w:sz w:val="22"/>
          <w:szCs w:val="22"/>
        </w:rPr>
        <w:t>patients in hospital at midnight</w:t>
      </w:r>
      <w:r w:rsidRPr="009B3828">
        <w:rPr>
          <w:rFonts w:ascii="Garamond" w:hAnsi="Garamond"/>
          <w:sz w:val="22"/>
          <w:szCs w:val="22"/>
        </w:rPr>
        <w:t xml:space="preserve">, including age on admission, sex, ethnicity, comorbidities </w:t>
      </w:r>
      <w:r w:rsidR="009A6AC5">
        <w:rPr>
          <w:rFonts w:ascii="Garamond" w:hAnsi="Garamond"/>
          <w:sz w:val="22"/>
          <w:szCs w:val="22"/>
        </w:rPr>
        <w:t xml:space="preserve">measured </w:t>
      </w:r>
      <w:r w:rsidR="007C59EB">
        <w:rPr>
          <w:rFonts w:ascii="Garamond" w:hAnsi="Garamond"/>
          <w:sz w:val="22"/>
          <w:szCs w:val="22"/>
        </w:rPr>
        <w:t>by</w:t>
      </w:r>
      <w:r w:rsidR="009A6AC5">
        <w:rPr>
          <w:rFonts w:ascii="Garamond" w:hAnsi="Garamond"/>
          <w:sz w:val="22"/>
          <w:szCs w:val="22"/>
        </w:rPr>
        <w:t xml:space="preserve"> </w:t>
      </w:r>
      <w:r w:rsidR="001A716B" w:rsidRPr="009B3828">
        <w:rPr>
          <w:rFonts w:ascii="Garamond" w:hAnsi="Garamond"/>
          <w:sz w:val="22"/>
          <w:szCs w:val="22"/>
        </w:rPr>
        <w:t>the</w:t>
      </w:r>
      <w:r w:rsidRPr="009B3828">
        <w:rPr>
          <w:rFonts w:ascii="Garamond" w:hAnsi="Garamond"/>
          <w:sz w:val="22"/>
          <w:szCs w:val="22"/>
        </w:rPr>
        <w:t xml:space="preserve"> Charlson Index</w:t>
      </w:r>
      <w:r w:rsidR="00145292" w:rsidRPr="009B3828">
        <w:rPr>
          <w:rFonts w:ascii="Garamond" w:hAnsi="Garamond"/>
          <w:sz w:val="22"/>
          <w:szCs w:val="22"/>
        </w:rPr>
        <w:t xml:space="preserve"> </w:t>
      </w:r>
      <w:r w:rsidR="00451AE9" w:rsidRPr="009B3828">
        <w:rPr>
          <w:rFonts w:ascii="Garamond" w:hAnsi="Garamond"/>
          <w:sz w:val="22"/>
          <w:szCs w:val="22"/>
        </w:rPr>
        <w:t xml:space="preserve">that </w:t>
      </w:r>
      <w:r w:rsidR="007C59EB">
        <w:rPr>
          <w:rFonts w:ascii="Garamond" w:hAnsi="Garamond"/>
          <w:sz w:val="22"/>
          <w:szCs w:val="22"/>
        </w:rPr>
        <w:t>uses</w:t>
      </w:r>
      <w:r w:rsidR="001A716B" w:rsidRPr="009B3828">
        <w:rPr>
          <w:rFonts w:ascii="Garamond" w:hAnsi="Garamond"/>
          <w:sz w:val="22"/>
          <w:szCs w:val="22"/>
        </w:rPr>
        <w:t xml:space="preserve"> data from </w:t>
      </w:r>
      <w:r w:rsidR="009434D8" w:rsidRPr="009B3828">
        <w:rPr>
          <w:rFonts w:ascii="Garamond" w:hAnsi="Garamond"/>
          <w:sz w:val="22"/>
          <w:szCs w:val="22"/>
        </w:rPr>
        <w:t xml:space="preserve">the indexed </w:t>
      </w:r>
      <w:r w:rsidR="00145292" w:rsidRPr="009B3828">
        <w:rPr>
          <w:rFonts w:ascii="Garamond" w:hAnsi="Garamond"/>
          <w:sz w:val="22"/>
          <w:szCs w:val="22"/>
        </w:rPr>
        <w:t xml:space="preserve">hospital admission </w:t>
      </w:r>
      <w:r w:rsidR="009434D8" w:rsidRPr="009B3828">
        <w:rPr>
          <w:rFonts w:ascii="Garamond" w:hAnsi="Garamond"/>
          <w:sz w:val="22"/>
          <w:szCs w:val="22"/>
        </w:rPr>
        <w:t>and a look-back period of one</w:t>
      </w:r>
      <w:r w:rsidR="001A716B" w:rsidRPr="009B3828">
        <w:rPr>
          <w:rFonts w:ascii="Garamond" w:hAnsi="Garamond"/>
          <w:sz w:val="22"/>
          <w:szCs w:val="22"/>
        </w:rPr>
        <w:t xml:space="preserve"> year</w:t>
      </w:r>
      <w:r w:rsidRPr="009B3828">
        <w:rPr>
          <w:rFonts w:ascii="Garamond" w:hAnsi="Garamond"/>
          <w:sz w:val="22"/>
          <w:szCs w:val="22"/>
        </w:rPr>
        <w:t>,</w:t>
      </w:r>
      <w:r w:rsidR="00451AE9" w:rsidRPr="00E724B5">
        <w:rPr>
          <w:rFonts w:ascii="Garamond" w:hAnsi="Garamond"/>
          <w:sz w:val="22"/>
          <w:szCs w:val="22"/>
        </w:rPr>
        <w:fldChar w:fldCharType="begin" w:fldLock="1"/>
      </w:r>
      <w:r w:rsidR="00481CE7">
        <w:rPr>
          <w:rFonts w:ascii="Garamond" w:hAnsi="Garamond"/>
          <w:sz w:val="22"/>
          <w:szCs w:val="22"/>
        </w:rPr>
        <w:instrText>ADDIN CSL_CITATION {"citationItems":[{"id":"ITEM-1","itemData":{"DOI":"10.1016/0895-4356(94)90129-5","ISBN":"0895-4356 (Print)\\r0895-4356 (Linking)","ISSN":"08954356","PMID":"7722560","abstract":"The basic objective of this paper is to evaluate an age-comorbidity index in a cohort of patients who were originally enrolled in a prospective study to identify risk factors for peri-operative complications. Two-hundred and twenty-six patients were enrolled in the study. The participants were patients with hypertension or diabetes who underwent elective surgery between 1982 and 1985 and who survived to discharge. Two-hundred and eighteen patients survived until discharge. These patients were followed for at least five years post-operatively. The estimated relative risk of death for each comorbidity rank was 1.4 and for each decade of age was 1.4. When age and comorbidity were modelled as a combined age-comorbidity score, the estimated relative risk for each combined age-comorbidity unit was 1.45. Thus, the estimated relative risk of death from an increase of one in the comorbidity score proved approximately equal to that from an additional decade of age. The combined age-comorbidity score may be useful in some longitudinal studies to estimate relative risk of death from prognostic clinical covariates. ?? 1994.","author":[{"dropping-particle":"","family":"Charlson","given":"Mary","non-dropping-particle":"","parse-names":false,"suffix":""},{"dropping-particle":"","family":"Szatrowski","given":"Ted P.","non-dropping-particle":"","parse-names":false,"suffix":""},{"dropping-particle":"","family":"Peterson","given":"Janey","non-dropping-particle":"","parse-names":false,"suffix":""},{"dropping-particle":"","family":"Gold","given":"Jeffrey","non-dropping-particle":"","parse-names":false,"suffix":""}],"container-title":"Journal of Clinical Epidemiology","id":"ITEM-1","issue":"11","issued":{"date-parts":[["1994"]]},"page":"1245-1251","title":"Validation of a combined comorbidity index","type":"article-journal","volume":"47"},"uris":["http://www.mendeley.com/documents/?uuid=30718841-cd5f-41f3-93fe-92ef0361a10c"]},{"id":"ITEM-2","itemData":{"DOI":"10.1097/01.mlr.0000182534.19832.83","ISBN":"0025-7079 (Print)\\r0025-7079 (Linking)","ISSN":"0025-7079","PMID":"16224307","abstract":"OBJECTIVES: Implementation of the International Statistical Classification of Disease and Related Health Problems, 10th Revision (ICD-10) coding system presents challenges for using administrative data. Recognizing this, we conducted a multistep process to develop ICD-10 coding algorithms to define Charlson and Elixhauser comorbidities in administrative data and assess the performance of the resulting algorithms. METHODS: ICD-10 coding algorithms were developed by \"translation\" of the ICD-9-CM codes constituting Deyo's (for Charlson comorbidities) and Elixhauser's coding algorithms and by physicians' assessment of the face-validity of selected ICD-10 codes. The process of carefully developing ICD-10 algorithms also produced modified and enhanced ICD-9-CM coding algorithms for the Charlson and Elixhauser comorbidities. We then used data on in-patients aged 18 years and older in ICD-9-CM and ICD-10 administrative hospital discharge data from a Canadian health region to assess the comorbidity frequencies and mortality prediction achieved by the original ICD-9-CM algorithms, the enhanced ICD-9-CM algorithms, and the new ICD-10 coding algorithms. RESULTS: Among 56,585 patients in the ICD-9-CM data and 58,805 patients in the ICD-10 data, frequencies of the 17 Charlson comorbidities and the 30 Elixhauser comorbidities remained generally similar across algorithms. The new ICD-10 and enhanced ICD-9-CM coding algorithms either matched or outperformed the original Deyo and Elixhauser ICD-9-CM coding algorithms in predicting in-hospital mortality. The C-statistic was 0.842 for Deyo's ICD-9-CM coding algorithm, 0.860 for the ICD-10 coding algorithm, and 0.859 for the enhanced ICD-9-CM coding algorithm, 0.868 for the original Elixhauser ICD-9-CM coding algorithm, 0.870 for the ICD-10 coding algorithm and 0.878 for the enhanced ICD-9-CM coding algorithm. CONCLUSIONS: These newly developed ICD-10 and ICD-9-CM comorbidity coding algorithms produce similar estimates of comorbidity prevalence in administrative data, and may outperform existing ICD-9-CM coding algorithms.","author":[{"dropping-particle":"","family":"Quan","given":"Hude","non-dropping-particle":"","parse-names":false,"suffix":""},{"dropping-particle":"","family":"Sundararajan","given":"Vijaya","non-dropping-particle":"","parse-names":false,"suffix":""},{"dropping-particle":"","family":"Halfon","given":"Patricia","non-dropping-particle":"","parse-names":false,"suffix":""},{"dropping-particle":"","family":"Fong","given":"Andrew","non-dropping-particle":"","parse-names":false,"suffix":""},{"dropping-particle":"","family":"Burnand","given":"Bernard","non-dropping-particle":"","parse-names":false,"suffix":""},{"dropping-particle":"","family":"Luthi","given":"Jean-Christophe","non-dropping-particle":"","parse-names":false,"suffix":""},{"dropping-particle":"","family":"Saunders","given":"L Duncan","non-dropping-particle":"","parse-names":false,"suffix":""},{"dropping-particle":"","family":"Beck","given":"Cynthia a","non-dropping-particle":"","parse-names":false,"suffix":""},{"dropping-particle":"","family":"Feasby","given":"Thomas E","non-dropping-particle":"","parse-names":false,"suffix":""},{"dropping-particle":"","family":"Ghali","given":"William a","non-dropping-particle":"","parse-names":false,"suffix":""}],"container-title":"Medical care","id":"ITEM-2","issue":"11","issued":{"date-parts":[["2005"]]},"page":"1130-1139","title":"Coding algorithms for defining comorbidities in ICD-9-CM and ICD-10 administrative data.","type":"article-journal","volume":"43"},"uris":["http://www.mendeley.com/documents/?uuid=bfdab5ee-fb87-498b-8003-ba270358281a","http://www.mendeley.com/documents/?uuid=c70b6757-6546-4b9e-9d03-0f5f1fbee73f"]}],"mendeley":{"formattedCitation":"[25,26]","plainTextFormattedCitation":"[25,26]","previouslyFormattedCitation":"[25,26]"},"properties":{"noteIndex":0},"schema":"https://github.com/citation-style-language/schema/raw/master/csl-citation.json"}</w:instrText>
      </w:r>
      <w:r w:rsidR="00451AE9" w:rsidRPr="00E724B5">
        <w:rPr>
          <w:rFonts w:ascii="Garamond" w:hAnsi="Garamond"/>
          <w:sz w:val="22"/>
          <w:szCs w:val="22"/>
        </w:rPr>
        <w:fldChar w:fldCharType="separate"/>
      </w:r>
      <w:r w:rsidR="004464D9" w:rsidRPr="004464D9">
        <w:rPr>
          <w:rFonts w:ascii="Garamond" w:hAnsi="Garamond"/>
          <w:noProof/>
          <w:sz w:val="22"/>
          <w:szCs w:val="22"/>
        </w:rPr>
        <w:t>[25,26]</w:t>
      </w:r>
      <w:r w:rsidR="00451AE9" w:rsidRPr="00E724B5">
        <w:rPr>
          <w:rFonts w:ascii="Garamond" w:hAnsi="Garamond"/>
          <w:sz w:val="22"/>
          <w:szCs w:val="22"/>
        </w:rPr>
        <w:fldChar w:fldCharType="end"/>
      </w:r>
      <w:r w:rsidRPr="00E724B5">
        <w:rPr>
          <w:rFonts w:ascii="Garamond" w:hAnsi="Garamond"/>
          <w:sz w:val="22"/>
          <w:szCs w:val="22"/>
        </w:rPr>
        <w:t xml:space="preserve"> socioeconomic deprivation score (Index of Multiple Deprivation based on 2010 </w:t>
      </w:r>
      <w:r w:rsidR="001A716B" w:rsidRPr="009B3828">
        <w:rPr>
          <w:rFonts w:ascii="Garamond" w:hAnsi="Garamond"/>
          <w:sz w:val="22"/>
          <w:szCs w:val="22"/>
        </w:rPr>
        <w:t xml:space="preserve">census </w:t>
      </w:r>
      <w:r w:rsidRPr="009B3828">
        <w:rPr>
          <w:rFonts w:ascii="Garamond" w:hAnsi="Garamond"/>
          <w:sz w:val="22"/>
          <w:szCs w:val="22"/>
        </w:rPr>
        <w:t>data of small geographic areas</w:t>
      </w:r>
      <w:r w:rsidR="004D060A" w:rsidRPr="009B3828">
        <w:rPr>
          <w:rFonts w:ascii="Garamond" w:hAnsi="Garamond"/>
          <w:sz w:val="22"/>
          <w:szCs w:val="22"/>
        </w:rPr>
        <w:t xml:space="preserve"> of patients residence</w:t>
      </w:r>
      <w:r w:rsidRPr="009B3828">
        <w:rPr>
          <w:rFonts w:ascii="Garamond" w:hAnsi="Garamond"/>
          <w:sz w:val="22"/>
          <w:szCs w:val="22"/>
        </w:rPr>
        <w:t>, each containing on average 1,500 residents),</w:t>
      </w:r>
      <w:r w:rsidRPr="00E724B5">
        <w:rPr>
          <w:rFonts w:ascii="Garamond" w:hAnsi="Garamond"/>
          <w:sz w:val="22"/>
          <w:szCs w:val="22"/>
        </w:rPr>
        <w:fldChar w:fldCharType="begin" w:fldLock="1"/>
      </w:r>
      <w:r w:rsidR="00481CE7">
        <w:rPr>
          <w:rFonts w:ascii="Garamond" w:hAnsi="Garamond"/>
          <w:sz w:val="22"/>
          <w:szCs w:val="22"/>
        </w:rPr>
        <w:instrText>ADDIN CSL_CITATION {"citationItems":[{"id":"ITEM-1","itemData":{"author":[{"dropping-particle":"","family":"Department for Communities and Local Government","given":"","non-dropping-particle":"","parse-names":false,"suffix":""}],"id":"ITEM-1","issued":{"date-parts":[["2011","3"]]},"title":"Department for Communities and Local Government. English indices of deprivation 2010","type":"webpage"},"uris":["http://www.mendeley.com/documents/?uuid=a3e7d25f-20ab-4771-a1fe-65092bc60801","http://www.mendeley.com/documents/?uuid=b18f0da7-173f-4af8-b9d9-0d6f14547fe0"]}],"mendeley":{"formattedCitation":"[27]","plainTextFormattedCitation":"[27]","previouslyFormattedCitation":"[27]"},"properties":{"noteIndex":0},"schema":"https://github.com/citation-style-language/schema/raw/master/csl-citation.json"}</w:instrText>
      </w:r>
      <w:r w:rsidRPr="00E724B5">
        <w:rPr>
          <w:rFonts w:ascii="Garamond" w:hAnsi="Garamond"/>
          <w:sz w:val="22"/>
          <w:szCs w:val="22"/>
        </w:rPr>
        <w:fldChar w:fldCharType="separate"/>
      </w:r>
      <w:r w:rsidR="004464D9" w:rsidRPr="004464D9">
        <w:rPr>
          <w:rFonts w:ascii="Garamond" w:hAnsi="Garamond"/>
          <w:noProof/>
          <w:sz w:val="22"/>
          <w:szCs w:val="22"/>
        </w:rPr>
        <w:t>[27]</w:t>
      </w:r>
      <w:r w:rsidRPr="00E724B5">
        <w:rPr>
          <w:rFonts w:ascii="Garamond" w:hAnsi="Garamond"/>
          <w:sz w:val="22"/>
          <w:szCs w:val="22"/>
        </w:rPr>
        <w:fldChar w:fldCharType="end"/>
      </w:r>
      <w:r w:rsidRPr="00E724B5">
        <w:rPr>
          <w:rFonts w:ascii="Garamond" w:hAnsi="Garamond"/>
          <w:sz w:val="22"/>
          <w:szCs w:val="22"/>
        </w:rPr>
        <w:t xml:space="preserve"> and </w:t>
      </w:r>
      <w:r w:rsidR="00007B6E" w:rsidRPr="009B3828">
        <w:rPr>
          <w:rFonts w:ascii="Garamond" w:hAnsi="Garamond"/>
          <w:sz w:val="22"/>
          <w:szCs w:val="22"/>
        </w:rPr>
        <w:t xml:space="preserve">elapsed </w:t>
      </w:r>
      <w:r w:rsidRPr="009B3828">
        <w:rPr>
          <w:rFonts w:ascii="Garamond" w:hAnsi="Garamond"/>
          <w:sz w:val="22"/>
          <w:szCs w:val="22"/>
        </w:rPr>
        <w:t>length of stay</w:t>
      </w:r>
      <w:r w:rsidR="00C84B76">
        <w:rPr>
          <w:rFonts w:ascii="Garamond" w:hAnsi="Garamond"/>
          <w:sz w:val="22"/>
          <w:szCs w:val="22"/>
        </w:rPr>
        <w:t xml:space="preserve"> (i.e., the number of </w:t>
      </w:r>
      <w:r w:rsidR="00EC5DB8">
        <w:rPr>
          <w:rFonts w:ascii="Garamond" w:hAnsi="Garamond"/>
          <w:sz w:val="22"/>
          <w:szCs w:val="22"/>
        </w:rPr>
        <w:t xml:space="preserve">nights </w:t>
      </w:r>
      <w:r w:rsidR="00C84B76">
        <w:rPr>
          <w:rFonts w:ascii="Garamond" w:hAnsi="Garamond"/>
          <w:sz w:val="22"/>
          <w:szCs w:val="22"/>
        </w:rPr>
        <w:t>from admission to the date in question)</w:t>
      </w:r>
      <w:r w:rsidRPr="009B3828">
        <w:rPr>
          <w:rFonts w:ascii="Garamond" w:hAnsi="Garamond"/>
          <w:sz w:val="22"/>
          <w:szCs w:val="22"/>
        </w:rPr>
        <w:t xml:space="preserve">. </w:t>
      </w:r>
      <w:r w:rsidR="007F3CE0">
        <w:rPr>
          <w:rFonts w:ascii="Garamond" w:hAnsi="Garamond"/>
          <w:sz w:val="22"/>
          <w:szCs w:val="22"/>
        </w:rPr>
        <w:t>Length of stay was entered into the risk-adjustment process</w:t>
      </w:r>
      <w:r w:rsidR="00780D15">
        <w:rPr>
          <w:rFonts w:ascii="Garamond" w:hAnsi="Garamond"/>
          <w:sz w:val="22"/>
          <w:szCs w:val="22"/>
        </w:rPr>
        <w:t xml:space="preserve"> due to its association with an increased</w:t>
      </w:r>
      <w:r w:rsidR="007F3CE0">
        <w:rPr>
          <w:rFonts w:ascii="Garamond" w:hAnsi="Garamond"/>
          <w:sz w:val="22"/>
          <w:szCs w:val="22"/>
        </w:rPr>
        <w:t xml:space="preserve"> risk of </w:t>
      </w:r>
      <w:r w:rsidR="00780D15">
        <w:rPr>
          <w:rFonts w:ascii="Garamond" w:hAnsi="Garamond"/>
          <w:sz w:val="22"/>
          <w:szCs w:val="22"/>
        </w:rPr>
        <w:t>suffering</w:t>
      </w:r>
      <w:r w:rsidR="007F3CE0">
        <w:rPr>
          <w:rFonts w:ascii="Garamond" w:hAnsi="Garamond"/>
          <w:sz w:val="22"/>
          <w:szCs w:val="22"/>
        </w:rPr>
        <w:t xml:space="preserve"> </w:t>
      </w:r>
      <w:r w:rsidR="00780D15">
        <w:rPr>
          <w:rFonts w:ascii="Garamond" w:hAnsi="Garamond"/>
          <w:sz w:val="22"/>
          <w:szCs w:val="22"/>
        </w:rPr>
        <w:t xml:space="preserve">an </w:t>
      </w:r>
      <w:r w:rsidR="007F3CE0">
        <w:rPr>
          <w:rFonts w:ascii="Garamond" w:hAnsi="Garamond"/>
          <w:sz w:val="22"/>
          <w:szCs w:val="22"/>
        </w:rPr>
        <w:t>adverse event</w:t>
      </w:r>
      <w:r w:rsidR="00780D15">
        <w:rPr>
          <w:rFonts w:ascii="Garamond" w:hAnsi="Garamond"/>
          <w:sz w:val="22"/>
          <w:szCs w:val="22"/>
        </w:rPr>
        <w:t xml:space="preserve"> for every extra day spent in hospital</w:t>
      </w:r>
      <w:r w:rsidR="007F3CE0">
        <w:rPr>
          <w:rFonts w:ascii="Garamond" w:hAnsi="Garamond"/>
          <w:sz w:val="22"/>
          <w:szCs w:val="22"/>
        </w:rPr>
        <w:t>,</w:t>
      </w:r>
      <w:r w:rsidR="00780D15">
        <w:rPr>
          <w:rFonts w:ascii="Garamond" w:hAnsi="Garamond"/>
          <w:sz w:val="22"/>
          <w:szCs w:val="22"/>
        </w:rPr>
        <w:fldChar w:fldCharType="begin" w:fldLock="1"/>
      </w:r>
      <w:r w:rsidR="00481CE7">
        <w:rPr>
          <w:rFonts w:ascii="Garamond" w:hAnsi="Garamond"/>
          <w:sz w:val="22"/>
          <w:szCs w:val="22"/>
        </w:rPr>
        <w:instrText>ADDIN CSL_CITATION {"citationItems":[{"id":"ITEM-1","itemData":{"DOI":"10.1097/MLR.0b013e31822efb09","ISBN":"0025-7079","ISSN":"0025-7079","PMID":"21945976","abstract":"Background: Despite extensive research into adverse events, there is no quantitative estimate for the risk of experiencing adverse events per day spent in hospital. This is important information for hospital managers, because they may consider discharging patients earlier to alternative care providers if this is associated with lower risk, but other costs and benefits are similar. Methods: We model adverse events as a function of patient risk factors, hospital fixed effects, and length of stay. Potential endogeneity of length of stay is addressed with instrumental variable methods, using days and months of discharge as instruments. We use administrative hospital episode data for 206,489 medical inpatients in all public hospitals in the state of Victoria, Australia, for the year 2005/2006. Results: A hospital stay carries a 5.5% risk of an adverse drug reaction, 17.6% risk of infection, and 3.1% risk of ulcer for an average episode, and each additional night in hospital increases the risk by 0.5% for adverse drug reactions, 1.6% for infections, and 0.5% for ulcers. Length of stay is endogenous in models of adverse events, and risks would be underestimated if length of stay was treated as exogenous. Conclusions: The results of our research contribute to assessing the benefits and costs of hospital staysand their alternativesin a quantitative manner. Instead of discharging patients early to alternative care, it would be more desirable to address underlying causes of adverse events. However, this may prove costly, difficult, or impossible, at least in the short run. In such situations, our research supports hospital managers in making informed treatment and discharge decisions.","author":[{"dropping-particle":"","family":"Hauck","given":"Katharina","non-dropping-particle":"","parse-names":false,"suffix":""},{"dropping-particle":"","family":"Zhao","given":"Xueyan","non-dropping-particle":"","parse-names":false,"suffix":""}],"container-title":"Medical Care","id":"ITEM-1","issue":"12","issued":{"date-parts":[["2011"]]},"page":"1068-1075","title":"How Dangerous is a Day in Hospital?","type":"article-journal","volume":"49"},"uris":["http://www.mendeley.com/documents/?uuid=8456abba-4142-4e84-94e7-dd8386316cdb"]}],"mendeley":{"formattedCitation":"[28]","plainTextFormattedCitation":"[28]","previouslyFormattedCitation":"[28]"},"properties":{"noteIndex":0},"schema":"https://github.com/citation-style-language/schema/raw/master/csl-citation.json"}</w:instrText>
      </w:r>
      <w:r w:rsidR="00780D15">
        <w:rPr>
          <w:rFonts w:ascii="Garamond" w:hAnsi="Garamond"/>
          <w:sz w:val="22"/>
          <w:szCs w:val="22"/>
        </w:rPr>
        <w:fldChar w:fldCharType="separate"/>
      </w:r>
      <w:r w:rsidR="004464D9" w:rsidRPr="004464D9">
        <w:rPr>
          <w:rFonts w:ascii="Garamond" w:hAnsi="Garamond"/>
          <w:noProof/>
          <w:sz w:val="22"/>
          <w:szCs w:val="22"/>
        </w:rPr>
        <w:t>[28]</w:t>
      </w:r>
      <w:r w:rsidR="00780D15">
        <w:rPr>
          <w:rFonts w:ascii="Garamond" w:hAnsi="Garamond"/>
          <w:sz w:val="22"/>
          <w:szCs w:val="22"/>
        </w:rPr>
        <w:fldChar w:fldCharType="end"/>
      </w:r>
      <w:r w:rsidR="007F3CE0">
        <w:rPr>
          <w:rFonts w:ascii="Garamond" w:hAnsi="Garamond"/>
          <w:sz w:val="22"/>
          <w:szCs w:val="22"/>
        </w:rPr>
        <w:t xml:space="preserve"> which could impact on the patients recovery time. Moreover, in the absence of any adequate measures of severity in the HES data, </w:t>
      </w:r>
      <w:r w:rsidR="00780D15">
        <w:rPr>
          <w:rFonts w:ascii="Garamond" w:hAnsi="Garamond"/>
          <w:sz w:val="22"/>
          <w:szCs w:val="22"/>
        </w:rPr>
        <w:t>length of stay acts as a proxy</w:t>
      </w:r>
      <w:r w:rsidR="00D76B38">
        <w:rPr>
          <w:rFonts w:ascii="Garamond" w:hAnsi="Garamond"/>
          <w:sz w:val="22"/>
          <w:szCs w:val="22"/>
        </w:rPr>
        <w:t xml:space="preserve"> as used in other studies reporting on risk-adjusted readmission rates</w:t>
      </w:r>
      <w:r w:rsidR="00780D15">
        <w:rPr>
          <w:rFonts w:ascii="Garamond" w:hAnsi="Garamond"/>
          <w:sz w:val="22"/>
          <w:szCs w:val="22"/>
        </w:rPr>
        <w:t>.</w:t>
      </w:r>
      <w:r w:rsidR="00D76B38">
        <w:rPr>
          <w:rFonts w:ascii="Garamond" w:hAnsi="Garamond"/>
          <w:sz w:val="22"/>
          <w:szCs w:val="22"/>
        </w:rPr>
        <w:fldChar w:fldCharType="begin" w:fldLock="1"/>
      </w:r>
      <w:r w:rsidR="00481CE7">
        <w:rPr>
          <w:rFonts w:ascii="Garamond" w:hAnsi="Garamond"/>
          <w:sz w:val="22"/>
          <w:szCs w:val="22"/>
        </w:rPr>
        <w:instrText>ADDIN CSL_CITATION {"citationItems":[{"id":"ITEM-1","itemData":{"DOI":"10.1136/bmjopen-2017-020325","ISSN":"20446055","abstract":"Objective To assess trends in 30-day emergency readmission rates across England over one decade. Design Retrospective study design. Setting 150 non-specialist hospital trusts in England. Participants 23 069 134 patients above 18 years of age who were readmitted following an initial admission (n=62 584 297) between April 2006 and February 2016. Primary and secondary outcomes We examined emergency admissions that occurred within 30 days of discharge from hospital (a  emergency readmissions') as a measure of healthcare quality. Presented are overall readmission rates, and disaggregated by the nature of the indexed admission, including whether it was elective or emergency, and by clinical health condition recorded. All rates were risk-adjusted for patient age, gender, ethnicity, socioeconomic status, comorbidities and length of stay. Results The average risk-adjusted, 30-day readmission rate increased from 6.56% in 2006/2007 to 6.76% (P&lt;0.01) in 2012/2013, followed by a small decrease to 6.64% (P&lt;0.01) in 2015/2016. Emergency readmissions for patients discharged following elective procedures decreased by 0.13% (P&lt;0.05), whereas those following emergency admission increased by 1.27% (P&lt;0.001). Readmission rates for hip or knee replacements decreased (-1.29%; P&lt;0.001); for acute myocardial infarction (-0.04%; P&lt;0.49), stroke (+0.62%; P&lt;0.05), chronic obstructive pulmonary disease (+0.41%; P&lt;0.05) and heart failure (+0.15%; P&lt;0.05) remained stable; and for pneumonia (+2.72%; P&lt;0.001), diabetes (+7.09%; P&lt;0.001), cholecystectomy (+1.86%; P&lt;0.001) and hysterectomy (+2.54%; P&lt;0.001) increased. Conclusions Overall, emergency readmission rates in England remained relatively stable across the observation period, with trends of slight increases contained post 2012/2013. However, there were large variations in trends across clinical areas, with some experiencing marked increases in readmission rates. This highlights the need to better understand variations in outcomes across clinical subgroups to allow for targeted interventions that will ensure highest standards of care provided for all patients.Copyright © 2018 Article author(s) (or their employer(s) unless otherwise stated in the text of the article). All rights reserved.","author":[{"dropping-particle":"","family":"Friebel","given":"Rocco","non-dropping-particle":"","parse-names":false,"suffix":""},{"dropping-particle":"","family":"Hauck","given":"Katharina","non-dropping-particle":"","parse-names":false,"suffix":""},{"dropping-particle":"","family":"Aylin","given":"Paul","non-dropping-particle":"","parse-names":false,"suffix":""},{"dropping-particle":"","family":"Steventon","given":"Adam","non-dropping-particle":"","parse-names":false,"suffix":""}],"container-title":"BMJ Open","id":"ITEM-1","issue":"3","issued":{"date-parts":[["2018"]]},"page":"1-10","title":"National trends in emergency readmission rates: A longitudinal analysis of administrative data for England between 2006 and 2016","type":"article-journal","volume":"8"},"uris":["http://www.mendeley.com/documents/?uuid=cc4462c9-b2ef-4768-bb5f-c14f599ce13f","http://www.mendeley.com/documents/?uuid=baa76caa-f7ba-4f43-84e1-7243ffee1faa"]},{"id":"ITEM-2","itemData":{"DOI":"10.1097/MLR.0000000000000779","author":[{"dropping-particle":"","family":"Friebel","given":"Rocco","non-dropping-particle":"","parse-names":false,"suffix":""},{"dropping-particle":"","family":"Dharmarajan","given":"Kumar","non-dropping-particle":"","parse-names":false,"suffix":""},{"dropping-particle":"","family":"Krumholz","given":"Harlan M.","non-dropping-particle":"","parse-names":false,"suffix":""},{"dropping-particle":"","family":"Steventon","given":"Adam","non-dropping-particle":"","parse-names":false,"suffix":""}],"container-title":"Medical Care","id":"ITEM-2","issue":"9","issued":{"date-parts":[["2017"]]},"page":"834-840","title":"Reductions in readmission rates are associated with modest improvements in patient-reported health gains following hip and knee replacement in England","type":"article-journal","volume":"55"},"uris":["http://www.mendeley.com/documents/?uuid=c43a3952-de20-4ecd-b560-518d94d9d87a","http://www.mendeley.com/documents/?uuid=92ec8976-72f0-4ce0-9242-61ae9ead41d5"]}],"mendeley":{"formattedCitation":"[29,30]","plainTextFormattedCitation":"[29,30]","previouslyFormattedCitation":"[29,30]"},"properties":{"noteIndex":0},"schema":"https://github.com/citation-style-language/schema/raw/master/csl-citation.json"}</w:instrText>
      </w:r>
      <w:r w:rsidR="00D76B38">
        <w:rPr>
          <w:rFonts w:ascii="Garamond" w:hAnsi="Garamond"/>
          <w:sz w:val="22"/>
          <w:szCs w:val="22"/>
        </w:rPr>
        <w:fldChar w:fldCharType="separate"/>
      </w:r>
      <w:r w:rsidR="00D76B38" w:rsidRPr="00D76B38">
        <w:rPr>
          <w:rFonts w:ascii="Garamond" w:hAnsi="Garamond"/>
          <w:noProof/>
          <w:sz w:val="22"/>
          <w:szCs w:val="22"/>
        </w:rPr>
        <w:t>[29,30]</w:t>
      </w:r>
      <w:r w:rsidR="00D76B38">
        <w:rPr>
          <w:rFonts w:ascii="Garamond" w:hAnsi="Garamond"/>
          <w:sz w:val="22"/>
          <w:szCs w:val="22"/>
        </w:rPr>
        <w:fldChar w:fldCharType="end"/>
      </w:r>
      <w:r w:rsidR="007F3CE0">
        <w:rPr>
          <w:rFonts w:ascii="Garamond" w:hAnsi="Garamond"/>
          <w:sz w:val="22"/>
          <w:szCs w:val="22"/>
        </w:rPr>
        <w:t xml:space="preserve"> </w:t>
      </w:r>
      <w:r w:rsidR="009A6AC5">
        <w:rPr>
          <w:rFonts w:ascii="Garamond" w:hAnsi="Garamond"/>
          <w:sz w:val="22"/>
          <w:szCs w:val="22"/>
        </w:rPr>
        <w:t xml:space="preserve">By not </w:t>
      </w:r>
      <w:r w:rsidR="00D7600F">
        <w:rPr>
          <w:rFonts w:ascii="Garamond" w:hAnsi="Garamond"/>
          <w:sz w:val="22"/>
          <w:szCs w:val="22"/>
        </w:rPr>
        <w:t>accounting</w:t>
      </w:r>
      <w:r w:rsidR="009A6AC5">
        <w:rPr>
          <w:rFonts w:ascii="Garamond" w:hAnsi="Garamond"/>
          <w:sz w:val="22"/>
          <w:szCs w:val="22"/>
        </w:rPr>
        <w:t xml:space="preserve"> for length of stay, we would discount the fact that patients who have been in hospital for long</w:t>
      </w:r>
      <w:r w:rsidR="007C59EB">
        <w:rPr>
          <w:rFonts w:ascii="Garamond" w:hAnsi="Garamond"/>
          <w:sz w:val="22"/>
          <w:szCs w:val="22"/>
        </w:rPr>
        <w:t>er</w:t>
      </w:r>
      <w:r w:rsidR="009A6AC5">
        <w:rPr>
          <w:rFonts w:ascii="Garamond" w:hAnsi="Garamond"/>
          <w:sz w:val="22"/>
          <w:szCs w:val="22"/>
        </w:rPr>
        <w:t xml:space="preserve"> due to their clinical complexity could be wrongly identified as discharge-ready and would therefore be more likely to be discharged when bed occupancy rates are high. </w:t>
      </w:r>
      <w:r w:rsidR="000F7A22">
        <w:rPr>
          <w:rFonts w:ascii="Garamond" w:hAnsi="Garamond"/>
          <w:sz w:val="22"/>
          <w:szCs w:val="22"/>
        </w:rPr>
        <w:t>Conditional l</w:t>
      </w:r>
      <w:r w:rsidR="000F7A22" w:rsidRPr="009B3828">
        <w:rPr>
          <w:rFonts w:ascii="Garamond" w:hAnsi="Garamond"/>
          <w:sz w:val="22"/>
          <w:szCs w:val="22"/>
        </w:rPr>
        <w:t xml:space="preserve">ogistic </w:t>
      </w:r>
      <w:r w:rsidRPr="009B3828">
        <w:rPr>
          <w:rFonts w:ascii="Garamond" w:hAnsi="Garamond"/>
          <w:sz w:val="22"/>
          <w:szCs w:val="22"/>
        </w:rPr>
        <w:t xml:space="preserve">regression models were </w:t>
      </w:r>
      <w:r w:rsidR="001A716B" w:rsidRPr="009B3828">
        <w:rPr>
          <w:rFonts w:ascii="Garamond" w:hAnsi="Garamond"/>
          <w:sz w:val="22"/>
          <w:szCs w:val="22"/>
        </w:rPr>
        <w:t xml:space="preserve">fitted to the patient-level data and </w:t>
      </w:r>
      <w:r w:rsidRPr="009B3828">
        <w:rPr>
          <w:rFonts w:ascii="Garamond" w:hAnsi="Garamond"/>
          <w:sz w:val="22"/>
          <w:szCs w:val="22"/>
        </w:rPr>
        <w:t xml:space="preserve">used to predict the hospital discharge rate for each </w:t>
      </w:r>
      <w:r w:rsidR="008C23B6" w:rsidRPr="009B3828">
        <w:rPr>
          <w:rFonts w:ascii="Garamond" w:hAnsi="Garamond"/>
          <w:sz w:val="22"/>
          <w:szCs w:val="22"/>
        </w:rPr>
        <w:t>t</w:t>
      </w:r>
      <w:r w:rsidRPr="009B3828">
        <w:rPr>
          <w:rFonts w:ascii="Garamond" w:hAnsi="Garamond"/>
          <w:sz w:val="22"/>
          <w:szCs w:val="22"/>
        </w:rPr>
        <w:t>rust and day</w:t>
      </w:r>
      <w:r w:rsidR="001A716B" w:rsidRPr="009B3828">
        <w:rPr>
          <w:rFonts w:ascii="Garamond" w:hAnsi="Garamond"/>
          <w:sz w:val="22"/>
          <w:szCs w:val="22"/>
        </w:rPr>
        <w:t>. T</w:t>
      </w:r>
      <w:r w:rsidRPr="009B3828">
        <w:rPr>
          <w:rFonts w:ascii="Garamond" w:hAnsi="Garamond"/>
          <w:sz w:val="22"/>
          <w:szCs w:val="22"/>
        </w:rPr>
        <w:t>he observed hospital discharge rate was</w:t>
      </w:r>
      <w:r w:rsidR="001A716B" w:rsidRPr="009B3828">
        <w:rPr>
          <w:rFonts w:ascii="Garamond" w:hAnsi="Garamond"/>
          <w:sz w:val="22"/>
          <w:szCs w:val="22"/>
        </w:rPr>
        <w:t xml:space="preserve"> then</w:t>
      </w:r>
      <w:r w:rsidRPr="009B3828">
        <w:rPr>
          <w:rFonts w:ascii="Garamond" w:hAnsi="Garamond"/>
          <w:sz w:val="22"/>
          <w:szCs w:val="22"/>
        </w:rPr>
        <w:t xml:space="preserve"> divided by the predicted hospital discharge rate </w:t>
      </w:r>
      <w:r w:rsidR="001A716B" w:rsidRPr="009B3828">
        <w:rPr>
          <w:rFonts w:ascii="Garamond" w:hAnsi="Garamond"/>
          <w:sz w:val="22"/>
          <w:szCs w:val="22"/>
        </w:rPr>
        <w:t xml:space="preserve">from the </w:t>
      </w:r>
      <w:r w:rsidR="009B76F0">
        <w:rPr>
          <w:rFonts w:ascii="Garamond" w:hAnsi="Garamond"/>
          <w:sz w:val="22"/>
          <w:szCs w:val="22"/>
        </w:rPr>
        <w:t xml:space="preserve">conditional </w:t>
      </w:r>
      <w:r w:rsidR="001A716B" w:rsidRPr="009B3828">
        <w:rPr>
          <w:rFonts w:ascii="Garamond" w:hAnsi="Garamond"/>
          <w:sz w:val="22"/>
          <w:szCs w:val="22"/>
        </w:rPr>
        <w:t>logistic regression models t</w:t>
      </w:r>
      <w:r w:rsidRPr="009B3828">
        <w:rPr>
          <w:rFonts w:ascii="Garamond" w:hAnsi="Garamond"/>
          <w:sz w:val="22"/>
          <w:szCs w:val="22"/>
        </w:rPr>
        <w:t xml:space="preserve">o indicate whether the </w:t>
      </w:r>
      <w:r w:rsidR="008C23B6" w:rsidRPr="009B3828">
        <w:rPr>
          <w:rFonts w:ascii="Garamond" w:hAnsi="Garamond"/>
          <w:sz w:val="22"/>
          <w:szCs w:val="22"/>
        </w:rPr>
        <w:t>t</w:t>
      </w:r>
      <w:r w:rsidRPr="009B3828">
        <w:rPr>
          <w:rFonts w:ascii="Garamond" w:hAnsi="Garamond"/>
          <w:sz w:val="22"/>
          <w:szCs w:val="22"/>
        </w:rPr>
        <w:t xml:space="preserve">rust over or underperformed relative to the level expected. We then multiplied this ratio by the average hospital discharge rate across all </w:t>
      </w:r>
      <w:r w:rsidR="008C23B6" w:rsidRPr="009B3828">
        <w:rPr>
          <w:rFonts w:ascii="Garamond" w:hAnsi="Garamond"/>
          <w:sz w:val="22"/>
          <w:szCs w:val="22"/>
        </w:rPr>
        <w:t>t</w:t>
      </w:r>
      <w:r w:rsidRPr="009B3828">
        <w:rPr>
          <w:rFonts w:ascii="Garamond" w:hAnsi="Garamond"/>
          <w:sz w:val="22"/>
          <w:szCs w:val="22"/>
        </w:rPr>
        <w:t>rusts for that day</w:t>
      </w:r>
      <w:r w:rsidR="0015224C" w:rsidRPr="009B3828">
        <w:rPr>
          <w:rFonts w:ascii="Garamond" w:hAnsi="Garamond"/>
          <w:sz w:val="22"/>
          <w:szCs w:val="22"/>
        </w:rPr>
        <w:t xml:space="preserve"> to calculate the risk-adjusted discharge rate</w:t>
      </w:r>
      <w:r w:rsidRPr="009B3828">
        <w:rPr>
          <w:rFonts w:ascii="Garamond" w:hAnsi="Garamond"/>
          <w:sz w:val="22"/>
          <w:szCs w:val="22"/>
        </w:rPr>
        <w:t>.</w:t>
      </w:r>
      <w:r w:rsidR="00481CE7">
        <w:rPr>
          <w:rFonts w:ascii="Garamond" w:hAnsi="Garamond"/>
          <w:sz w:val="22"/>
          <w:szCs w:val="22"/>
        </w:rPr>
        <w:t xml:space="preserve"> This method is analogous to the risk-adjustment methodology used for the public reporting of readmission rates</w:t>
      </w:r>
      <w:r w:rsidR="00843E8B">
        <w:rPr>
          <w:rFonts w:ascii="Garamond" w:hAnsi="Garamond"/>
          <w:sz w:val="22"/>
          <w:szCs w:val="22"/>
        </w:rPr>
        <w:t xml:space="preserve"> in England</w:t>
      </w:r>
      <w:r w:rsidR="00481CE7">
        <w:rPr>
          <w:rFonts w:ascii="Garamond" w:hAnsi="Garamond"/>
          <w:sz w:val="22"/>
          <w:szCs w:val="22"/>
        </w:rPr>
        <w:t>, but also other indicators such as patient reported outcome measures.</w:t>
      </w:r>
      <w:r w:rsidR="00481CE7">
        <w:rPr>
          <w:rFonts w:ascii="Garamond" w:hAnsi="Garamond"/>
          <w:sz w:val="22"/>
          <w:szCs w:val="22"/>
        </w:rPr>
        <w:fldChar w:fldCharType="begin" w:fldLock="1"/>
      </w:r>
      <w:r w:rsidR="009D62D3">
        <w:rPr>
          <w:rFonts w:ascii="Garamond" w:hAnsi="Garamond"/>
          <w:sz w:val="22"/>
          <w:szCs w:val="22"/>
        </w:rPr>
        <w:instrText>ADDIN CSL_CITATION {"citationItems":[{"id":"ITEM-1","itemData":{"author":[{"dropping-particle":"","family":"Northgate","given":"","non-dropping-particle":"","parse-names":false,"suffix":""}],"id":"ITEM-1","issue":"September","issued":{"date-parts":[["2010"]]},"number-of-pages":"1-54","title":"PROMs risk adjustment methodology guide for general surgery and orthopaedic procedures","type":"report"},"uris":["http://www.mendeley.com/documents/?uuid=5dd60f30-c3e2-4b1d-8074-19259974b891"]},{"id":"ITEM-2","itemData":{"author":[{"dropping-particle":"","family":"Clinical Inicators Team","given":"","non-dropping-particle":"","parse-names":false,"suffix":""}],"id":"ITEM-2","issue":"March","issued":{"date-parts":[["2019"]]},"number-of-pages":"1-14","publisher-place":"London, England","title":"CCG Outcome Indicator Set","type":"report"},"uris":["http://www.mendeley.com/documents/?uuid=80577fff-9de3-4941-bda4-d64d5dea9341"]}],"mendeley":{"formattedCitation":"[31,32]","plainTextFormattedCitation":"[31,32]","previouslyFormattedCitation":"[31,32]"},"properties":{"noteIndex":0},"schema":"https://github.com/citation-style-language/schema/raw/master/csl-citation.json"}</w:instrText>
      </w:r>
      <w:r w:rsidR="00481CE7">
        <w:rPr>
          <w:rFonts w:ascii="Garamond" w:hAnsi="Garamond"/>
          <w:sz w:val="22"/>
          <w:szCs w:val="22"/>
        </w:rPr>
        <w:fldChar w:fldCharType="separate"/>
      </w:r>
      <w:r w:rsidR="00481CE7" w:rsidRPr="00481CE7">
        <w:rPr>
          <w:rFonts w:ascii="Garamond" w:hAnsi="Garamond"/>
          <w:noProof/>
          <w:sz w:val="22"/>
          <w:szCs w:val="22"/>
        </w:rPr>
        <w:t>[31,32]</w:t>
      </w:r>
      <w:r w:rsidR="00481CE7">
        <w:rPr>
          <w:rFonts w:ascii="Garamond" w:hAnsi="Garamond"/>
          <w:sz w:val="22"/>
          <w:szCs w:val="22"/>
        </w:rPr>
        <w:fldChar w:fldCharType="end"/>
      </w:r>
      <w:r w:rsidR="00481CE7">
        <w:rPr>
          <w:rFonts w:ascii="Garamond" w:hAnsi="Garamond"/>
          <w:sz w:val="22"/>
          <w:szCs w:val="22"/>
        </w:rPr>
        <w:t xml:space="preserve"> </w:t>
      </w:r>
    </w:p>
    <w:p w14:paraId="48D8F317" w14:textId="77777777" w:rsidR="007F3CE0" w:rsidRPr="009B3828" w:rsidRDefault="007F3CE0" w:rsidP="00701045">
      <w:pPr>
        <w:spacing w:line="360" w:lineRule="auto"/>
        <w:rPr>
          <w:rFonts w:ascii="Garamond" w:hAnsi="Garamond"/>
          <w:sz w:val="22"/>
          <w:szCs w:val="22"/>
        </w:rPr>
      </w:pPr>
    </w:p>
    <w:p w14:paraId="7864D224" w14:textId="77777777" w:rsidR="00386B68" w:rsidRPr="009B3828" w:rsidRDefault="00386B68" w:rsidP="0036336A">
      <w:pPr>
        <w:spacing w:line="360" w:lineRule="auto"/>
        <w:outlineLvl w:val="0"/>
        <w:rPr>
          <w:rFonts w:ascii="Garamond" w:hAnsi="Garamond"/>
          <w:b/>
          <w:i/>
          <w:sz w:val="22"/>
          <w:szCs w:val="22"/>
        </w:rPr>
      </w:pPr>
      <w:r w:rsidRPr="009B3828">
        <w:rPr>
          <w:rFonts w:ascii="Garamond" w:hAnsi="Garamond"/>
          <w:b/>
          <w:i/>
          <w:sz w:val="22"/>
          <w:szCs w:val="22"/>
        </w:rPr>
        <w:lastRenderedPageBreak/>
        <w:t>Readmission rates</w:t>
      </w:r>
    </w:p>
    <w:p w14:paraId="4EDE9A73" w14:textId="325DAE5C" w:rsidR="00386B68" w:rsidRPr="009B3828" w:rsidRDefault="007D0E93" w:rsidP="00701045">
      <w:pPr>
        <w:spacing w:line="360" w:lineRule="auto"/>
        <w:rPr>
          <w:rFonts w:ascii="Garamond" w:hAnsi="Garamond"/>
          <w:sz w:val="22"/>
          <w:szCs w:val="22"/>
        </w:rPr>
      </w:pPr>
      <w:r>
        <w:rPr>
          <w:rFonts w:ascii="Garamond" w:hAnsi="Garamond"/>
          <w:sz w:val="22"/>
          <w:szCs w:val="22"/>
        </w:rPr>
        <w:t>As defined by policy-makers in England, w</w:t>
      </w:r>
      <w:r w:rsidRPr="009B3828">
        <w:rPr>
          <w:rFonts w:ascii="Garamond" w:hAnsi="Garamond"/>
          <w:sz w:val="22"/>
          <w:szCs w:val="22"/>
        </w:rPr>
        <w:t xml:space="preserve">e </w:t>
      </w:r>
      <w:r w:rsidR="00386B68" w:rsidRPr="009B3828">
        <w:rPr>
          <w:rFonts w:ascii="Garamond" w:hAnsi="Garamond"/>
          <w:sz w:val="22"/>
          <w:szCs w:val="22"/>
        </w:rPr>
        <w:t>identified a hospital readmission from HES</w:t>
      </w:r>
      <w:r>
        <w:rPr>
          <w:rFonts w:ascii="Garamond" w:hAnsi="Garamond"/>
          <w:sz w:val="22"/>
          <w:szCs w:val="22"/>
        </w:rPr>
        <w:t xml:space="preserve"> </w:t>
      </w:r>
      <w:r w:rsidR="00386B68" w:rsidRPr="009B3828">
        <w:rPr>
          <w:rFonts w:ascii="Garamond" w:hAnsi="Garamond"/>
          <w:sz w:val="22"/>
          <w:szCs w:val="22"/>
        </w:rPr>
        <w:t>as any all-cause, unplanned emergency admission occurring within 30-days of discharge.</w:t>
      </w:r>
      <w:r w:rsidR="0064717A">
        <w:rPr>
          <w:rFonts w:ascii="Garamond" w:hAnsi="Garamond"/>
          <w:sz w:val="22"/>
          <w:szCs w:val="22"/>
        </w:rPr>
        <w:fldChar w:fldCharType="begin" w:fldLock="1"/>
      </w:r>
      <w:r w:rsidR="009D62D3">
        <w:rPr>
          <w:rFonts w:ascii="Garamond" w:hAnsi="Garamond"/>
          <w:sz w:val="22"/>
          <w:szCs w:val="22"/>
        </w:rPr>
        <w:instrText>ADDIN CSL_CITATION {"citationItems":[{"id":"ITEM-1","itemData":{"abstract":"The NHS OF is a set of indicators developed by the Department of Health to measure the health outcomes and health inequalities of adults and children in England. The indicators:\\r\\n</w:instrText>
      </w:r>
      <w:r w:rsidR="009D62D3">
        <w:rPr>
          <w:rFonts w:ascii="Garamond" w:hAnsi="Garamond"/>
          <w:sz w:val="22"/>
          <w:szCs w:val="22"/>
        </w:rPr>
        <w:instrText> Provide a national overview of how well the NHS is performing\\r\\n</w:instrText>
      </w:r>
      <w:r w:rsidR="009D62D3">
        <w:rPr>
          <w:rFonts w:ascii="Garamond" w:hAnsi="Garamond"/>
          <w:sz w:val="22"/>
          <w:szCs w:val="22"/>
        </w:rPr>
        <w:instrText> Provide an accountability mechanism between the Secretary of State for Health and NHS\\r\\nEngland\\r\\n</w:instrText>
      </w:r>
      <w:r w:rsidR="009D62D3">
        <w:rPr>
          <w:rFonts w:ascii="Garamond" w:hAnsi="Garamond"/>
          <w:sz w:val="22"/>
          <w:szCs w:val="22"/>
        </w:rPr>
        <w:instrText> Improve quality throughout the NHS by encouraging a change in culture and behaviour\\r\\nfocused on health outcomes not process\\r\\n","author":[{"dropping-particle":"","family":"Digital","given":"NHS","non-dropping-particle":"","parse-names":false,"suffix":""}],"container-title":"Health and Social Care Information Centre","id":"ITEM-1","issue":"May","issued":{"date-parts":[["2017"]]},"number-of-pages":"1-56","title":"NHS Outcomes Framework","type":"report","volume":"2.4"},"uris":["http://www.mendeley.com/documents/?uuid=2fa7a716-ec2e-4701-a6a5-d4417aec7589","http://www.mendeley.com/documents/?uuid=92173efe-07c4-41a1-befd-0044bd87350a"]}],"mendeley":{"formattedCitation":"[33]","plainTextFormattedCitation":"[33]","previouslyFormattedCitation":"[33]"},"properties":{"noteIndex":0},"schema":"https://github.com/citation-style-language/schema/raw/master/csl-citation.json"}</w:instrText>
      </w:r>
      <w:r w:rsidR="0064717A">
        <w:rPr>
          <w:rFonts w:ascii="Garamond" w:hAnsi="Garamond"/>
          <w:sz w:val="22"/>
          <w:szCs w:val="22"/>
        </w:rPr>
        <w:fldChar w:fldCharType="separate"/>
      </w:r>
      <w:r w:rsidR="00481CE7" w:rsidRPr="00481CE7">
        <w:rPr>
          <w:rFonts w:ascii="Garamond" w:hAnsi="Garamond"/>
          <w:noProof/>
          <w:sz w:val="22"/>
          <w:szCs w:val="22"/>
        </w:rPr>
        <w:t>[33]</w:t>
      </w:r>
      <w:r w:rsidR="0064717A">
        <w:rPr>
          <w:rFonts w:ascii="Garamond" w:hAnsi="Garamond"/>
          <w:sz w:val="22"/>
          <w:szCs w:val="22"/>
        </w:rPr>
        <w:fldChar w:fldCharType="end"/>
      </w:r>
      <w:r w:rsidR="00386B68" w:rsidRPr="009B3828">
        <w:rPr>
          <w:rFonts w:ascii="Garamond" w:hAnsi="Garamond"/>
          <w:sz w:val="22"/>
          <w:szCs w:val="22"/>
        </w:rPr>
        <w:t xml:space="preserve"> We used method of admission codes </w:t>
      </w:r>
      <w:r w:rsidR="00224D3B" w:rsidRPr="009B3828">
        <w:rPr>
          <w:rFonts w:ascii="Garamond" w:hAnsi="Garamond"/>
          <w:sz w:val="22"/>
          <w:szCs w:val="22"/>
        </w:rPr>
        <w:t xml:space="preserve">(‘21’ – via A&amp;E; ‘22’ – via general practitioner; ‘23’ – via Bed Bureau; ‘24’ – via consultant outpatient clinic; ‘28’ – other means, such as arriving via A&amp;E of another provider; ‘2A’ – A&amp;E of another provider where the patient had not been admitted; ‘2B’ – transfer from another provider in an emergency) </w:t>
      </w:r>
      <w:r w:rsidR="00386B68" w:rsidRPr="009B3828">
        <w:rPr>
          <w:rFonts w:ascii="Garamond" w:hAnsi="Garamond"/>
          <w:sz w:val="22"/>
          <w:szCs w:val="22"/>
        </w:rPr>
        <w:t xml:space="preserve">to identify emergency readmission from the patient-level HES file. Readmission rates were calculated for each </w:t>
      </w:r>
      <w:r w:rsidR="008C23B6" w:rsidRPr="009B3828">
        <w:rPr>
          <w:rFonts w:ascii="Garamond" w:hAnsi="Garamond"/>
          <w:sz w:val="22"/>
          <w:szCs w:val="22"/>
        </w:rPr>
        <w:t>t</w:t>
      </w:r>
      <w:r w:rsidR="00386B68" w:rsidRPr="009B3828">
        <w:rPr>
          <w:rFonts w:ascii="Garamond" w:hAnsi="Garamond"/>
          <w:sz w:val="22"/>
          <w:szCs w:val="22"/>
        </w:rPr>
        <w:t>rust and each day</w:t>
      </w:r>
      <w:r w:rsidR="00CF09AC" w:rsidRPr="009B3828">
        <w:rPr>
          <w:rFonts w:ascii="Garamond" w:hAnsi="Garamond"/>
          <w:sz w:val="22"/>
          <w:szCs w:val="22"/>
        </w:rPr>
        <w:t xml:space="preserve"> </w:t>
      </w:r>
      <w:r w:rsidR="00386B68" w:rsidRPr="009B3828">
        <w:rPr>
          <w:rFonts w:ascii="Garamond" w:hAnsi="Garamond"/>
          <w:sz w:val="22"/>
          <w:szCs w:val="22"/>
        </w:rPr>
        <w:t>between 1 April 201</w:t>
      </w:r>
      <w:r w:rsidR="00493502" w:rsidRPr="009B3828">
        <w:rPr>
          <w:rFonts w:ascii="Garamond" w:hAnsi="Garamond"/>
          <w:sz w:val="22"/>
          <w:szCs w:val="22"/>
        </w:rPr>
        <w:t>4</w:t>
      </w:r>
      <w:r w:rsidR="00386B68" w:rsidRPr="009B3828">
        <w:rPr>
          <w:rFonts w:ascii="Garamond" w:hAnsi="Garamond"/>
          <w:sz w:val="22"/>
          <w:szCs w:val="22"/>
        </w:rPr>
        <w:t xml:space="preserve"> and 2</w:t>
      </w:r>
      <w:r w:rsidR="00493502" w:rsidRPr="009B3828">
        <w:rPr>
          <w:rFonts w:ascii="Garamond" w:hAnsi="Garamond"/>
          <w:sz w:val="22"/>
          <w:szCs w:val="22"/>
        </w:rPr>
        <w:t>9</w:t>
      </w:r>
      <w:r w:rsidR="00386B68" w:rsidRPr="009B3828">
        <w:rPr>
          <w:rFonts w:ascii="Garamond" w:hAnsi="Garamond"/>
          <w:sz w:val="22"/>
          <w:szCs w:val="22"/>
        </w:rPr>
        <w:t xml:space="preserve"> February 201</w:t>
      </w:r>
      <w:r w:rsidR="008C23B6" w:rsidRPr="009B3828">
        <w:rPr>
          <w:rFonts w:ascii="Garamond" w:hAnsi="Garamond"/>
          <w:sz w:val="22"/>
          <w:szCs w:val="22"/>
        </w:rPr>
        <w:t>6</w:t>
      </w:r>
      <w:r w:rsidR="00386B68" w:rsidRPr="009B3828">
        <w:rPr>
          <w:rFonts w:ascii="Garamond" w:hAnsi="Garamond"/>
          <w:sz w:val="22"/>
          <w:szCs w:val="22"/>
        </w:rPr>
        <w:t xml:space="preserve">, as the proportion of patients discharged </w:t>
      </w:r>
      <w:r w:rsidR="001A716B" w:rsidRPr="009B3828">
        <w:rPr>
          <w:rFonts w:ascii="Garamond" w:hAnsi="Garamond"/>
          <w:sz w:val="22"/>
          <w:szCs w:val="22"/>
        </w:rPr>
        <w:t xml:space="preserve">on that day </w:t>
      </w:r>
      <w:r w:rsidR="00386B68" w:rsidRPr="009B3828">
        <w:rPr>
          <w:rFonts w:ascii="Garamond" w:hAnsi="Garamond"/>
          <w:sz w:val="22"/>
          <w:szCs w:val="22"/>
        </w:rPr>
        <w:t>who were subsequently readmitted as an emergency within 30-days.</w:t>
      </w:r>
      <w:r w:rsidR="001A716B" w:rsidRPr="009B3828">
        <w:rPr>
          <w:rFonts w:ascii="Garamond" w:hAnsi="Garamond"/>
          <w:sz w:val="22"/>
          <w:szCs w:val="22"/>
        </w:rPr>
        <w:t xml:space="preserve"> We restricted the calculation of the readmission rates to patients who had been inpatients at midnight the previous night</w:t>
      </w:r>
      <w:r w:rsidR="00C84B76">
        <w:rPr>
          <w:rFonts w:ascii="Garamond" w:hAnsi="Garamond"/>
          <w:sz w:val="22"/>
          <w:szCs w:val="22"/>
        </w:rPr>
        <w:t>, and thus ensured</w:t>
      </w:r>
      <w:r w:rsidR="00C84B76" w:rsidRPr="009B3828">
        <w:rPr>
          <w:rFonts w:ascii="Garamond" w:hAnsi="Garamond"/>
          <w:sz w:val="22"/>
          <w:szCs w:val="22"/>
        </w:rPr>
        <w:t xml:space="preserve"> </w:t>
      </w:r>
      <w:r w:rsidR="001A716B" w:rsidRPr="009B3828">
        <w:rPr>
          <w:rFonts w:ascii="Garamond" w:hAnsi="Garamond"/>
          <w:sz w:val="22"/>
          <w:szCs w:val="22"/>
        </w:rPr>
        <w:t>consistency with</w:t>
      </w:r>
      <w:r w:rsidR="00C84B76">
        <w:rPr>
          <w:rFonts w:ascii="Garamond" w:hAnsi="Garamond"/>
          <w:sz w:val="22"/>
          <w:szCs w:val="22"/>
        </w:rPr>
        <w:t xml:space="preserve"> the populations included in </w:t>
      </w:r>
      <w:r w:rsidR="001A716B" w:rsidRPr="009B3828">
        <w:rPr>
          <w:rFonts w:ascii="Garamond" w:hAnsi="Garamond"/>
          <w:sz w:val="22"/>
          <w:szCs w:val="22"/>
        </w:rPr>
        <w:t>our other metrics.</w:t>
      </w:r>
    </w:p>
    <w:p w14:paraId="4CD812DB" w14:textId="77777777" w:rsidR="00386B68" w:rsidRPr="009B3828" w:rsidRDefault="00386B68" w:rsidP="00701045">
      <w:pPr>
        <w:spacing w:line="360" w:lineRule="auto"/>
        <w:rPr>
          <w:rFonts w:ascii="Garamond" w:hAnsi="Garamond"/>
          <w:sz w:val="22"/>
          <w:szCs w:val="22"/>
        </w:rPr>
      </w:pPr>
    </w:p>
    <w:p w14:paraId="185836AD" w14:textId="72A567F5" w:rsidR="00386B68" w:rsidRPr="009B3828" w:rsidRDefault="00386B68" w:rsidP="00701045">
      <w:pPr>
        <w:spacing w:line="360" w:lineRule="auto"/>
        <w:rPr>
          <w:rFonts w:ascii="Garamond" w:hAnsi="Garamond"/>
          <w:sz w:val="22"/>
          <w:szCs w:val="22"/>
        </w:rPr>
      </w:pPr>
      <w:r w:rsidRPr="009B3828">
        <w:rPr>
          <w:rFonts w:ascii="Garamond" w:hAnsi="Garamond"/>
          <w:sz w:val="22"/>
          <w:szCs w:val="22"/>
        </w:rPr>
        <w:t xml:space="preserve">The readmission rates were risk-adjusted using </w:t>
      </w:r>
      <w:r w:rsidR="009D62D3">
        <w:rPr>
          <w:rFonts w:ascii="Garamond" w:hAnsi="Garamond"/>
          <w:sz w:val="22"/>
          <w:szCs w:val="22"/>
        </w:rPr>
        <w:t xml:space="preserve">the same </w:t>
      </w:r>
      <w:r w:rsidRPr="009B3828">
        <w:rPr>
          <w:rFonts w:ascii="Garamond" w:hAnsi="Garamond"/>
          <w:sz w:val="22"/>
          <w:szCs w:val="22"/>
        </w:rPr>
        <w:t>method</w:t>
      </w:r>
      <w:r w:rsidR="0095358D">
        <w:rPr>
          <w:rFonts w:ascii="Garamond" w:hAnsi="Garamond"/>
          <w:sz w:val="22"/>
          <w:szCs w:val="22"/>
        </w:rPr>
        <w:t>ology</w:t>
      </w:r>
      <w:r w:rsidRPr="009B3828">
        <w:rPr>
          <w:rFonts w:ascii="Garamond" w:hAnsi="Garamond"/>
          <w:sz w:val="22"/>
          <w:szCs w:val="22"/>
        </w:rPr>
        <w:t xml:space="preserve"> that</w:t>
      </w:r>
      <w:r w:rsidR="009D62D3">
        <w:rPr>
          <w:rFonts w:ascii="Garamond" w:hAnsi="Garamond"/>
          <w:sz w:val="22"/>
          <w:szCs w:val="22"/>
        </w:rPr>
        <w:t xml:space="preserve"> was</w:t>
      </w:r>
      <w:r w:rsidRPr="009B3828">
        <w:rPr>
          <w:rFonts w:ascii="Garamond" w:hAnsi="Garamond"/>
          <w:sz w:val="22"/>
          <w:szCs w:val="22"/>
        </w:rPr>
        <w:t xml:space="preserve"> used for the discharge rates. </w:t>
      </w:r>
      <w:r w:rsidR="0095358D">
        <w:rPr>
          <w:rFonts w:ascii="Garamond" w:hAnsi="Garamond"/>
          <w:sz w:val="22"/>
          <w:szCs w:val="22"/>
        </w:rPr>
        <w:t>W</w:t>
      </w:r>
      <w:r w:rsidRPr="009B3828">
        <w:rPr>
          <w:rFonts w:ascii="Garamond" w:hAnsi="Garamond"/>
          <w:sz w:val="22"/>
          <w:szCs w:val="22"/>
        </w:rPr>
        <w:t xml:space="preserve">e </w:t>
      </w:r>
      <w:r w:rsidR="00C948B6" w:rsidRPr="009B3828">
        <w:rPr>
          <w:rFonts w:ascii="Garamond" w:hAnsi="Garamond"/>
          <w:sz w:val="22"/>
          <w:szCs w:val="22"/>
        </w:rPr>
        <w:t xml:space="preserve">fitted </w:t>
      </w:r>
      <w:r w:rsidR="000F7A22">
        <w:rPr>
          <w:rFonts w:ascii="Garamond" w:hAnsi="Garamond"/>
          <w:sz w:val="22"/>
          <w:szCs w:val="22"/>
        </w:rPr>
        <w:t xml:space="preserve">conditional </w:t>
      </w:r>
      <w:r w:rsidRPr="009B3828">
        <w:rPr>
          <w:rFonts w:ascii="Garamond" w:hAnsi="Garamond"/>
          <w:sz w:val="22"/>
          <w:szCs w:val="22"/>
        </w:rPr>
        <w:t xml:space="preserve">logistic regression </w:t>
      </w:r>
      <w:r w:rsidR="00C948B6" w:rsidRPr="009B3828">
        <w:rPr>
          <w:rFonts w:ascii="Garamond" w:hAnsi="Garamond"/>
          <w:sz w:val="22"/>
          <w:szCs w:val="22"/>
        </w:rPr>
        <w:t>models to</w:t>
      </w:r>
      <w:r w:rsidRPr="009B3828">
        <w:rPr>
          <w:rFonts w:ascii="Garamond" w:hAnsi="Garamond"/>
          <w:sz w:val="22"/>
          <w:szCs w:val="22"/>
        </w:rPr>
        <w:t xml:space="preserve"> patient-level</w:t>
      </w:r>
      <w:r w:rsidR="00C948B6" w:rsidRPr="009B3828">
        <w:rPr>
          <w:rFonts w:ascii="Garamond" w:hAnsi="Garamond"/>
          <w:sz w:val="22"/>
          <w:szCs w:val="22"/>
        </w:rPr>
        <w:t xml:space="preserve"> data</w:t>
      </w:r>
      <w:r w:rsidRPr="009B3828">
        <w:rPr>
          <w:rFonts w:ascii="Garamond" w:hAnsi="Garamond"/>
          <w:sz w:val="22"/>
          <w:szCs w:val="22"/>
        </w:rPr>
        <w:t xml:space="preserve">, adjusting for the same variables as used for the adjustment of hospital discharge rates. </w:t>
      </w:r>
      <w:r w:rsidR="009D62D3">
        <w:rPr>
          <w:rFonts w:ascii="Garamond" w:hAnsi="Garamond"/>
          <w:sz w:val="22"/>
          <w:szCs w:val="22"/>
        </w:rPr>
        <w:t>The choice of variables used for the risk-adjustment of readmission rates was guided by the literature.</w:t>
      </w:r>
      <w:r w:rsidR="009D62D3">
        <w:rPr>
          <w:rFonts w:ascii="Garamond" w:hAnsi="Garamond"/>
          <w:sz w:val="22"/>
          <w:szCs w:val="22"/>
        </w:rPr>
        <w:fldChar w:fldCharType="begin" w:fldLock="1"/>
      </w:r>
      <w:r w:rsidR="00083082">
        <w:rPr>
          <w:rFonts w:ascii="Garamond" w:hAnsi="Garamond"/>
          <w:sz w:val="22"/>
          <w:szCs w:val="22"/>
        </w:rPr>
        <w:instrText>ADDIN CSL_CITATION {"citationItems":[{"id":"ITEM-1","itemData":{"DOI":"10.1136/bmjopen-2017-020325","author":[{"dropping-particle":"","family":"Friebel","given":"Rocco","non-dropping-particle":"","parse-names":false,"suffix":""},{"dropping-particle":"","family":"Hauck","given":"Katharina","non-dropping-particle":"","parse-names":false,"suffix":""},{"dropping-particle":"","family":"Aylin","given":"Paul","non-dropping-particle":"","parse-names":false,"suffix":""},{"dropping-particle":"","family":"Steventon","given":"Adam","non-dropping-particle":"","parse-names":false,"suffix":""}],"container-title":"BMJ open","id":"ITEM-1","issue":"e020325","issued":{"date-parts":[["2018"]]},"page":"1-10","title":"National trends in emergency readmission rates : a longitudinal analysis of administrative data for England between 2006 and 2016","type":"article-journal","volume":"8"},"uris":["http://www.mendeley.com/documents/?uuid=21270b96-2d96-4f53-add9-3ce4db6ef44c"]},{"id":"ITEM-2","itemData":{"author":[{"dropping-particle":"","family":"Friebel","given":"Rocco","non-dropping-particle":"","parse-names":false,"suffix":""},{"dropping-particle":"","family":"Dharmarajan","given":"Kumar","non-dropping-particle":"","parse-names":false,"suffix":""},{"dropping-particle":"","family":"Krumholz","given":"Harlan M","non-dropping-particle":"","parse-names":false,"suffix":""}],"container-title":"Medical Care","id":"ITEM-2","issue":"9","issued":{"date-parts":[["2017"]]},"page":"834-840","title":"Reductions in Readmission Rates Are Associated With Modest Improvements in Patient-reported Health Gains Following Hip and Knee Replacement in England","type":"article-journal","volume":"55"},"uris":["http://www.mendeley.com/documents/?uuid=afd5d732-55ac-4d0d-8625-05b7982cb134"]}],"mendeley":{"formattedCitation":"[34,35]","plainTextFormattedCitation":"[34,35]","previouslyFormattedCitation":"[34,35]"},"properties":{"noteIndex":0},"schema":"https://github.com/citation-style-language/schema/raw/master/csl-citation.json"}</w:instrText>
      </w:r>
      <w:r w:rsidR="009D62D3">
        <w:rPr>
          <w:rFonts w:ascii="Garamond" w:hAnsi="Garamond"/>
          <w:sz w:val="22"/>
          <w:szCs w:val="22"/>
        </w:rPr>
        <w:fldChar w:fldCharType="separate"/>
      </w:r>
      <w:r w:rsidR="009D62D3" w:rsidRPr="009D62D3">
        <w:rPr>
          <w:rFonts w:ascii="Garamond" w:hAnsi="Garamond"/>
          <w:noProof/>
          <w:sz w:val="22"/>
          <w:szCs w:val="22"/>
        </w:rPr>
        <w:t>[34,35]</w:t>
      </w:r>
      <w:r w:rsidR="009D62D3">
        <w:rPr>
          <w:rFonts w:ascii="Garamond" w:hAnsi="Garamond"/>
          <w:sz w:val="22"/>
          <w:szCs w:val="22"/>
        </w:rPr>
        <w:fldChar w:fldCharType="end"/>
      </w:r>
      <w:r w:rsidR="009D62D3">
        <w:rPr>
          <w:rFonts w:ascii="Garamond" w:hAnsi="Garamond"/>
          <w:sz w:val="22"/>
          <w:szCs w:val="22"/>
        </w:rPr>
        <w:t xml:space="preserve"> </w:t>
      </w:r>
      <w:r w:rsidR="006E30B5" w:rsidRPr="009B3828">
        <w:rPr>
          <w:rFonts w:ascii="Garamond" w:hAnsi="Garamond"/>
          <w:sz w:val="22"/>
          <w:szCs w:val="22"/>
        </w:rPr>
        <w:t>To calculate risk-adjusted readmission rates, for each trust and day we divided the observed readmission rate by the predicted readmission rate, and then multiplied this ratio by the average readmission rate observed across all trusts for that day.</w:t>
      </w:r>
      <w:r w:rsidR="006E30B5" w:rsidRPr="009B3828" w:rsidDel="006E30B5">
        <w:rPr>
          <w:rFonts w:ascii="Garamond" w:hAnsi="Garamond"/>
          <w:sz w:val="22"/>
          <w:szCs w:val="22"/>
        </w:rPr>
        <w:t xml:space="preserve"> </w:t>
      </w:r>
    </w:p>
    <w:p w14:paraId="0B363988" w14:textId="77777777" w:rsidR="00386B68" w:rsidRPr="009B3828" w:rsidRDefault="00386B68" w:rsidP="00701045">
      <w:pPr>
        <w:spacing w:line="360" w:lineRule="auto"/>
        <w:rPr>
          <w:rFonts w:ascii="Garamond" w:hAnsi="Garamond"/>
          <w:sz w:val="22"/>
          <w:szCs w:val="22"/>
        </w:rPr>
      </w:pPr>
    </w:p>
    <w:p w14:paraId="3A49D01A" w14:textId="77777777" w:rsidR="00386B68" w:rsidRPr="009B3828" w:rsidRDefault="00386B68" w:rsidP="0036336A">
      <w:pPr>
        <w:spacing w:line="360" w:lineRule="auto"/>
        <w:outlineLvl w:val="0"/>
        <w:rPr>
          <w:rFonts w:ascii="Garamond" w:hAnsi="Garamond"/>
          <w:b/>
          <w:i/>
          <w:sz w:val="22"/>
          <w:szCs w:val="22"/>
        </w:rPr>
      </w:pPr>
      <w:r w:rsidRPr="009B3828">
        <w:rPr>
          <w:rFonts w:ascii="Garamond" w:hAnsi="Garamond"/>
          <w:b/>
          <w:i/>
          <w:sz w:val="22"/>
          <w:szCs w:val="22"/>
        </w:rPr>
        <w:t>Statistical analysis</w:t>
      </w:r>
    </w:p>
    <w:p w14:paraId="1EA70173" w14:textId="4B21A90B" w:rsidR="00BB00E5" w:rsidRPr="009B3828" w:rsidRDefault="005E7967" w:rsidP="00BB00E5">
      <w:pPr>
        <w:spacing w:line="360" w:lineRule="auto"/>
        <w:rPr>
          <w:rFonts w:ascii="Garamond" w:hAnsi="Garamond"/>
          <w:sz w:val="22"/>
          <w:szCs w:val="22"/>
        </w:rPr>
      </w:pPr>
      <w:r w:rsidRPr="009B3828">
        <w:rPr>
          <w:rFonts w:ascii="Garamond" w:hAnsi="Garamond"/>
          <w:sz w:val="22"/>
          <w:szCs w:val="22"/>
        </w:rPr>
        <w:t>We first assessed the relationship between bed occupancy and the risk-adjusted discharge rate</w:t>
      </w:r>
      <w:r w:rsidR="0095358D">
        <w:rPr>
          <w:rFonts w:ascii="Garamond" w:hAnsi="Garamond"/>
          <w:sz w:val="22"/>
          <w:szCs w:val="22"/>
        </w:rPr>
        <w:t>s</w:t>
      </w:r>
      <w:r w:rsidRPr="009B3828">
        <w:rPr>
          <w:rFonts w:ascii="Garamond" w:hAnsi="Garamond"/>
          <w:sz w:val="22"/>
          <w:szCs w:val="22"/>
        </w:rPr>
        <w:t>, and then the relationship between bed occupancy and the risk-adjusted readmission rate</w:t>
      </w:r>
      <w:r w:rsidR="0095358D">
        <w:rPr>
          <w:rFonts w:ascii="Garamond" w:hAnsi="Garamond"/>
          <w:sz w:val="22"/>
          <w:szCs w:val="22"/>
        </w:rPr>
        <w:t>s</w:t>
      </w:r>
      <w:r w:rsidRPr="009B3828">
        <w:rPr>
          <w:rFonts w:ascii="Garamond" w:hAnsi="Garamond"/>
          <w:sz w:val="22"/>
          <w:szCs w:val="22"/>
        </w:rPr>
        <w:t xml:space="preserve">. In each case, we used </w:t>
      </w:r>
      <w:r w:rsidR="000F7A22">
        <w:rPr>
          <w:rFonts w:ascii="Garamond" w:hAnsi="Garamond"/>
          <w:sz w:val="22"/>
          <w:szCs w:val="22"/>
        </w:rPr>
        <w:t xml:space="preserve">linear </w:t>
      </w:r>
      <w:r w:rsidRPr="009B3828">
        <w:rPr>
          <w:rFonts w:ascii="Garamond" w:hAnsi="Garamond"/>
          <w:sz w:val="22"/>
          <w:szCs w:val="22"/>
        </w:rPr>
        <w:t>panel data models,</w:t>
      </w:r>
      <w:r w:rsidRPr="00E724B5">
        <w:rPr>
          <w:rFonts w:ascii="Garamond" w:hAnsi="Garamond"/>
          <w:sz w:val="22"/>
          <w:szCs w:val="22"/>
        </w:rPr>
        <w:fldChar w:fldCharType="begin" w:fldLock="1"/>
      </w:r>
      <w:r w:rsidR="00083082">
        <w:rPr>
          <w:rFonts w:ascii="Garamond" w:hAnsi="Garamond"/>
          <w:sz w:val="22"/>
          <w:szCs w:val="22"/>
        </w:rPr>
        <w:instrText>ADDIN CSL_CITATION {"citationItems":[{"id":"ITEM-1","itemData":{"DOI":"10.1007/s11749-007-0046-x","ISBN":"1133-0686","ISSN":"11330686","abstract":"We explain the proliferation of panel data studies in terms of (i) data availability, (ii) the more heightened capacity for modeling the complexity of human behavior than a single cross-section or time series data can possibly allow, and (iii) challenging methodology. Advantages and issues of panel data modeling are also discussed.","author":[{"dropping-particle":"","family":"Hsiao","given":"Cheng","non-dropping-particle":"","parse-names":false,"suffix":""}],"container-title":"Test","id":"ITEM-1","issue":"1","issued":{"date-parts":[["2007"]]},"page":"1-22","title":"Panel data analysis-advantages and challenges","type":"article-journal","volume":"16"},"uris":["http://www.mendeley.com/documents/?uuid=b16d0297-09e7-4180-a9cc-65869beb8309"]}],"mendeley":{"formattedCitation":"[36]","plainTextFormattedCitation":"[36]","previouslyFormattedCitation":"[36]"},"properties":{"noteIndex":0},"schema":"https://github.com/citation-style-language/schema/raw/master/csl-citation.json"}</w:instrText>
      </w:r>
      <w:r w:rsidRPr="00E724B5">
        <w:rPr>
          <w:rFonts w:ascii="Garamond" w:hAnsi="Garamond"/>
          <w:sz w:val="22"/>
          <w:szCs w:val="22"/>
        </w:rPr>
        <w:fldChar w:fldCharType="separate"/>
      </w:r>
      <w:r w:rsidR="009D62D3" w:rsidRPr="009D62D3">
        <w:rPr>
          <w:rFonts w:ascii="Garamond" w:hAnsi="Garamond"/>
          <w:noProof/>
          <w:sz w:val="22"/>
          <w:szCs w:val="22"/>
        </w:rPr>
        <w:t>[36]</w:t>
      </w:r>
      <w:r w:rsidRPr="00E724B5">
        <w:rPr>
          <w:rFonts w:ascii="Garamond" w:hAnsi="Garamond"/>
          <w:sz w:val="22"/>
          <w:szCs w:val="22"/>
        </w:rPr>
        <w:fldChar w:fldCharType="end"/>
      </w:r>
      <w:r w:rsidRPr="00E724B5">
        <w:rPr>
          <w:rFonts w:ascii="Garamond" w:hAnsi="Garamond"/>
          <w:sz w:val="22"/>
          <w:szCs w:val="22"/>
        </w:rPr>
        <w:t xml:space="preserve"> which </w:t>
      </w:r>
      <w:r w:rsidR="00386B68" w:rsidRPr="00E724B5">
        <w:rPr>
          <w:rFonts w:ascii="Garamond" w:hAnsi="Garamond"/>
          <w:sz w:val="22"/>
          <w:szCs w:val="22"/>
        </w:rPr>
        <w:t xml:space="preserve">make use of the longitudinal nature of the data, with observations across </w:t>
      </w:r>
      <w:r w:rsidR="00970605" w:rsidRPr="009B3828">
        <w:rPr>
          <w:rFonts w:ascii="Garamond" w:hAnsi="Garamond"/>
          <w:sz w:val="22"/>
          <w:szCs w:val="22"/>
        </w:rPr>
        <w:t>13</w:t>
      </w:r>
      <w:r w:rsidR="00970605">
        <w:rPr>
          <w:rFonts w:ascii="Garamond" w:hAnsi="Garamond"/>
          <w:sz w:val="22"/>
          <w:szCs w:val="22"/>
        </w:rPr>
        <w:t>6</w:t>
      </w:r>
      <w:r w:rsidR="00970605" w:rsidRPr="009B3828">
        <w:rPr>
          <w:rFonts w:ascii="Garamond" w:hAnsi="Garamond"/>
          <w:sz w:val="22"/>
          <w:szCs w:val="22"/>
        </w:rPr>
        <w:t xml:space="preserve"> </w:t>
      </w:r>
      <w:r w:rsidRPr="009B3828">
        <w:rPr>
          <w:rFonts w:ascii="Garamond" w:hAnsi="Garamond"/>
          <w:sz w:val="22"/>
          <w:szCs w:val="22"/>
        </w:rPr>
        <w:t>t</w:t>
      </w:r>
      <w:r w:rsidR="00386B68" w:rsidRPr="009B3828">
        <w:rPr>
          <w:rFonts w:ascii="Garamond" w:hAnsi="Garamond"/>
          <w:sz w:val="22"/>
          <w:szCs w:val="22"/>
        </w:rPr>
        <w:t xml:space="preserve">rusts and </w:t>
      </w:r>
      <w:r w:rsidR="00C948B6" w:rsidRPr="009B3828">
        <w:rPr>
          <w:rFonts w:ascii="Garamond" w:hAnsi="Garamond"/>
          <w:sz w:val="22"/>
          <w:szCs w:val="22"/>
        </w:rPr>
        <w:t xml:space="preserve">up to </w:t>
      </w:r>
      <w:r w:rsidR="00482C59" w:rsidRPr="009B3828">
        <w:rPr>
          <w:rFonts w:ascii="Garamond" w:hAnsi="Garamond"/>
          <w:sz w:val="22"/>
          <w:szCs w:val="22"/>
        </w:rPr>
        <w:t xml:space="preserve">699 </w:t>
      </w:r>
      <w:r w:rsidR="00386B68" w:rsidRPr="009B3828">
        <w:rPr>
          <w:rFonts w:ascii="Garamond" w:hAnsi="Garamond"/>
          <w:sz w:val="22"/>
          <w:szCs w:val="22"/>
        </w:rPr>
        <w:t>time points</w:t>
      </w:r>
      <w:r w:rsidR="00656F2A">
        <w:rPr>
          <w:rFonts w:ascii="Garamond" w:hAnsi="Garamond"/>
          <w:sz w:val="22"/>
          <w:szCs w:val="22"/>
        </w:rPr>
        <w:t xml:space="preserve"> (i.e.</w:t>
      </w:r>
      <w:r w:rsidR="0095358D">
        <w:rPr>
          <w:rFonts w:ascii="Garamond" w:hAnsi="Garamond"/>
          <w:sz w:val="22"/>
          <w:szCs w:val="22"/>
        </w:rPr>
        <w:t>,</w:t>
      </w:r>
      <w:r w:rsidR="00656F2A">
        <w:rPr>
          <w:rFonts w:ascii="Garamond" w:hAnsi="Garamond"/>
          <w:sz w:val="22"/>
          <w:szCs w:val="22"/>
        </w:rPr>
        <w:t xml:space="preserve"> days).</w:t>
      </w:r>
      <w:r w:rsidR="00386B68" w:rsidRPr="009B3828">
        <w:rPr>
          <w:rFonts w:ascii="Garamond" w:hAnsi="Garamond"/>
          <w:sz w:val="22"/>
          <w:szCs w:val="22"/>
        </w:rPr>
        <w:t xml:space="preserve"> The models included </w:t>
      </w:r>
      <w:r w:rsidR="006A6C8D" w:rsidRPr="009B3828">
        <w:rPr>
          <w:rFonts w:ascii="Garamond" w:hAnsi="Garamond"/>
          <w:sz w:val="22"/>
          <w:szCs w:val="22"/>
        </w:rPr>
        <w:t>t</w:t>
      </w:r>
      <w:r w:rsidR="00386B68" w:rsidRPr="009B3828">
        <w:rPr>
          <w:rFonts w:ascii="Garamond" w:hAnsi="Garamond"/>
          <w:sz w:val="22"/>
          <w:szCs w:val="22"/>
        </w:rPr>
        <w:t>rust-level fixed effects,</w:t>
      </w:r>
      <w:r w:rsidR="00C948B6" w:rsidRPr="009B3828">
        <w:rPr>
          <w:rFonts w:ascii="Garamond" w:hAnsi="Garamond"/>
          <w:sz w:val="22"/>
          <w:szCs w:val="22"/>
        </w:rPr>
        <w:t xml:space="preserve"> which control for factors that are specific to the trust</w:t>
      </w:r>
      <w:r w:rsidR="00DB0B6B">
        <w:rPr>
          <w:rFonts w:ascii="Garamond" w:hAnsi="Garamond"/>
          <w:sz w:val="22"/>
          <w:szCs w:val="22"/>
        </w:rPr>
        <w:t>,</w:t>
      </w:r>
      <w:r w:rsidR="00C948B6" w:rsidRPr="009B3828">
        <w:rPr>
          <w:rFonts w:ascii="Garamond" w:hAnsi="Garamond"/>
          <w:sz w:val="22"/>
          <w:szCs w:val="22"/>
        </w:rPr>
        <w:t xml:space="preserve"> yet which </w:t>
      </w:r>
      <w:r w:rsidR="00DB0B6B">
        <w:rPr>
          <w:rFonts w:ascii="Garamond" w:hAnsi="Garamond"/>
          <w:sz w:val="22"/>
          <w:szCs w:val="22"/>
        </w:rPr>
        <w:t>remain</w:t>
      </w:r>
      <w:r w:rsidR="0095358D">
        <w:rPr>
          <w:rFonts w:ascii="Garamond" w:hAnsi="Garamond"/>
          <w:sz w:val="22"/>
          <w:szCs w:val="22"/>
        </w:rPr>
        <w:t>ed</w:t>
      </w:r>
      <w:r w:rsidR="00DB0B6B">
        <w:rPr>
          <w:rFonts w:ascii="Garamond" w:hAnsi="Garamond"/>
          <w:sz w:val="22"/>
          <w:szCs w:val="22"/>
        </w:rPr>
        <w:t xml:space="preserve"> constant </w:t>
      </w:r>
      <w:r w:rsidR="00C948B6" w:rsidRPr="009B3828">
        <w:rPr>
          <w:rFonts w:ascii="Garamond" w:hAnsi="Garamond"/>
          <w:sz w:val="22"/>
          <w:szCs w:val="22"/>
        </w:rPr>
        <w:t>over time (such as the characteristics of the surrounding area, and teaching hospital status).</w:t>
      </w:r>
      <w:r w:rsidR="000B5694" w:rsidRPr="009B3828">
        <w:rPr>
          <w:rFonts w:ascii="Garamond" w:hAnsi="Garamond"/>
          <w:sz w:val="22"/>
          <w:szCs w:val="22"/>
        </w:rPr>
        <w:t xml:space="preserve"> </w:t>
      </w:r>
      <w:r w:rsidR="00DB0B6B">
        <w:rPr>
          <w:rFonts w:ascii="Garamond" w:hAnsi="Garamond"/>
          <w:sz w:val="22"/>
          <w:szCs w:val="22"/>
        </w:rPr>
        <w:t xml:space="preserve">Based on emerging evidence on the pressures imposed on clinical </w:t>
      </w:r>
      <w:r w:rsidR="00DB0B6B">
        <w:rPr>
          <w:rFonts w:ascii="Garamond" w:hAnsi="Garamond"/>
          <w:sz w:val="22"/>
          <w:szCs w:val="22"/>
        </w:rPr>
        <w:lastRenderedPageBreak/>
        <w:t>teams when bed occupancy is high, w</w:t>
      </w:r>
      <w:r w:rsidR="00DB0B6B" w:rsidRPr="009B3828">
        <w:rPr>
          <w:rFonts w:ascii="Garamond" w:hAnsi="Garamond"/>
          <w:sz w:val="22"/>
          <w:szCs w:val="22"/>
        </w:rPr>
        <w:t xml:space="preserve">e </w:t>
      </w:r>
      <w:r w:rsidR="00386B68" w:rsidRPr="009B3828">
        <w:rPr>
          <w:rFonts w:ascii="Garamond" w:hAnsi="Garamond"/>
          <w:sz w:val="22"/>
          <w:szCs w:val="22"/>
        </w:rPr>
        <w:t xml:space="preserve">tested the hypothesis that higher levels of bed occupancy rates </w:t>
      </w:r>
      <w:r w:rsidR="00D15917" w:rsidRPr="009B3828">
        <w:rPr>
          <w:rFonts w:ascii="Garamond" w:hAnsi="Garamond"/>
          <w:sz w:val="22"/>
          <w:szCs w:val="22"/>
        </w:rPr>
        <w:t>are associated with</w:t>
      </w:r>
      <w:r w:rsidR="00C23DF4" w:rsidRPr="009B3828">
        <w:rPr>
          <w:rFonts w:ascii="Garamond" w:hAnsi="Garamond"/>
          <w:sz w:val="22"/>
          <w:szCs w:val="22"/>
        </w:rPr>
        <w:t xml:space="preserve"> higher</w:t>
      </w:r>
      <w:r w:rsidR="00386B68" w:rsidRPr="009B3828">
        <w:rPr>
          <w:rFonts w:ascii="Garamond" w:hAnsi="Garamond"/>
          <w:sz w:val="22"/>
          <w:szCs w:val="22"/>
        </w:rPr>
        <w:t xml:space="preserve"> hospital discharge rates</w:t>
      </w:r>
      <w:r w:rsidR="00DB0B6B">
        <w:rPr>
          <w:rFonts w:ascii="Garamond" w:hAnsi="Garamond"/>
          <w:sz w:val="22"/>
          <w:szCs w:val="22"/>
        </w:rPr>
        <w:t>, and a subsequently</w:t>
      </w:r>
      <w:r w:rsidR="00386B68" w:rsidRPr="009B3828">
        <w:rPr>
          <w:rFonts w:ascii="Garamond" w:hAnsi="Garamond"/>
          <w:sz w:val="22"/>
          <w:szCs w:val="22"/>
        </w:rPr>
        <w:t xml:space="preserve"> </w:t>
      </w:r>
      <w:r w:rsidR="00DB0B6B">
        <w:rPr>
          <w:rFonts w:ascii="Garamond" w:hAnsi="Garamond"/>
          <w:sz w:val="22"/>
          <w:szCs w:val="22"/>
        </w:rPr>
        <w:t>elevated</w:t>
      </w:r>
      <w:r w:rsidR="00386B68" w:rsidRPr="009B3828">
        <w:rPr>
          <w:rFonts w:ascii="Garamond" w:hAnsi="Garamond"/>
          <w:sz w:val="22"/>
          <w:szCs w:val="22"/>
        </w:rPr>
        <w:t xml:space="preserve"> risk for patients </w:t>
      </w:r>
      <w:r w:rsidR="00DB0B6B">
        <w:rPr>
          <w:rFonts w:ascii="Garamond" w:hAnsi="Garamond"/>
          <w:sz w:val="22"/>
          <w:szCs w:val="22"/>
        </w:rPr>
        <w:t xml:space="preserve">to be </w:t>
      </w:r>
      <w:r w:rsidR="00386B68" w:rsidRPr="009B3828">
        <w:rPr>
          <w:rFonts w:ascii="Garamond" w:hAnsi="Garamond"/>
          <w:sz w:val="22"/>
          <w:szCs w:val="22"/>
        </w:rPr>
        <w:t xml:space="preserve">readmitted </w:t>
      </w:r>
      <w:r w:rsidR="00DB0B6B">
        <w:rPr>
          <w:rFonts w:ascii="Garamond" w:hAnsi="Garamond"/>
          <w:sz w:val="22"/>
          <w:szCs w:val="22"/>
        </w:rPr>
        <w:t>due to potentially adverse effects on the quality of the discharge processes</w:t>
      </w:r>
      <w:r w:rsidR="00386B68" w:rsidRPr="009B3828">
        <w:rPr>
          <w:rFonts w:ascii="Garamond" w:hAnsi="Garamond"/>
          <w:sz w:val="22"/>
          <w:szCs w:val="22"/>
        </w:rPr>
        <w:t>.</w:t>
      </w:r>
      <w:r w:rsidRPr="009B3828">
        <w:rPr>
          <w:rFonts w:ascii="Garamond" w:hAnsi="Garamond"/>
          <w:sz w:val="22"/>
          <w:szCs w:val="22"/>
        </w:rPr>
        <w:t xml:space="preserve"> </w:t>
      </w:r>
      <w:r w:rsidR="00C84B76">
        <w:rPr>
          <w:rFonts w:ascii="Garamond" w:hAnsi="Garamond"/>
          <w:sz w:val="22"/>
          <w:szCs w:val="22"/>
        </w:rPr>
        <w:t xml:space="preserve">It was possible that </w:t>
      </w:r>
      <w:r w:rsidR="00C84B76" w:rsidRPr="009B3828">
        <w:rPr>
          <w:rFonts w:ascii="Garamond" w:hAnsi="Garamond"/>
          <w:sz w:val="22"/>
          <w:szCs w:val="22"/>
        </w:rPr>
        <w:t xml:space="preserve">the relationship between bed occupancy rates on readmissions becomes stronger </w:t>
      </w:r>
      <w:r w:rsidR="00C84B76">
        <w:rPr>
          <w:rFonts w:ascii="Garamond" w:hAnsi="Garamond"/>
          <w:sz w:val="22"/>
          <w:szCs w:val="22"/>
        </w:rPr>
        <w:t>when beds are scare</w:t>
      </w:r>
      <w:r w:rsidR="00C84B76" w:rsidRPr="009B3828">
        <w:rPr>
          <w:rFonts w:ascii="Garamond" w:hAnsi="Garamond"/>
          <w:sz w:val="22"/>
          <w:szCs w:val="22"/>
        </w:rPr>
        <w:t>, since pressures on beds become more acute and harder to manage.</w:t>
      </w:r>
      <w:r w:rsidR="00C84B76">
        <w:rPr>
          <w:rFonts w:ascii="Garamond" w:hAnsi="Garamond"/>
          <w:sz w:val="22"/>
          <w:szCs w:val="22"/>
        </w:rPr>
        <w:t xml:space="preserve"> Therefore, w</w:t>
      </w:r>
      <w:r w:rsidR="00C84B76" w:rsidRPr="009B3828">
        <w:rPr>
          <w:rFonts w:ascii="Garamond" w:hAnsi="Garamond"/>
          <w:sz w:val="22"/>
          <w:szCs w:val="22"/>
        </w:rPr>
        <w:t xml:space="preserve">e </w:t>
      </w:r>
      <w:r w:rsidR="00BB00E5" w:rsidRPr="009B3828">
        <w:rPr>
          <w:rFonts w:ascii="Garamond" w:hAnsi="Garamond"/>
          <w:sz w:val="22"/>
          <w:szCs w:val="22"/>
        </w:rPr>
        <w:t>conducted sensitivity analyses to test for non-linear associations between bed occupancy rates, discharge rates and readmission rates</w:t>
      </w:r>
      <w:r w:rsidR="00EC5DB8">
        <w:rPr>
          <w:rFonts w:ascii="Garamond" w:hAnsi="Garamond"/>
          <w:sz w:val="22"/>
          <w:szCs w:val="22"/>
        </w:rPr>
        <w:t>. Dose-response curves were plotted using the overlaid predictions from the original model that included squared terms.</w:t>
      </w:r>
      <w:r w:rsidR="00BB00E5" w:rsidRPr="009B3828">
        <w:rPr>
          <w:rFonts w:ascii="Garamond" w:hAnsi="Garamond"/>
          <w:sz w:val="22"/>
          <w:szCs w:val="22"/>
        </w:rPr>
        <w:t xml:space="preserve"> </w:t>
      </w:r>
    </w:p>
    <w:p w14:paraId="04CB4E94" w14:textId="77777777" w:rsidR="00BB00E5" w:rsidRPr="009B3828" w:rsidRDefault="00BB00E5" w:rsidP="00BB00E5">
      <w:pPr>
        <w:spacing w:line="360" w:lineRule="auto"/>
        <w:rPr>
          <w:rFonts w:ascii="Garamond" w:hAnsi="Garamond"/>
          <w:sz w:val="22"/>
          <w:szCs w:val="22"/>
        </w:rPr>
      </w:pPr>
    </w:p>
    <w:p w14:paraId="07EF5CE4" w14:textId="3AF11B9C" w:rsidR="00BB00E5" w:rsidRPr="009B3828" w:rsidRDefault="00BA248E" w:rsidP="00A752C5">
      <w:pPr>
        <w:spacing w:line="360" w:lineRule="auto"/>
        <w:rPr>
          <w:rFonts w:ascii="Garamond" w:hAnsi="Garamond"/>
          <w:sz w:val="22"/>
          <w:szCs w:val="22"/>
        </w:rPr>
      </w:pPr>
      <w:r w:rsidRPr="009B3828">
        <w:rPr>
          <w:rFonts w:ascii="Garamond" w:hAnsi="Garamond"/>
          <w:sz w:val="22"/>
          <w:szCs w:val="22"/>
        </w:rPr>
        <w:t xml:space="preserve">Some </w:t>
      </w:r>
      <w:r w:rsidR="004A4099" w:rsidRPr="009B3828">
        <w:rPr>
          <w:rFonts w:ascii="Garamond" w:hAnsi="Garamond"/>
          <w:sz w:val="22"/>
          <w:szCs w:val="22"/>
        </w:rPr>
        <w:t>t</w:t>
      </w:r>
      <w:r w:rsidRPr="009B3828">
        <w:rPr>
          <w:rFonts w:ascii="Garamond" w:hAnsi="Garamond"/>
          <w:sz w:val="22"/>
          <w:szCs w:val="22"/>
        </w:rPr>
        <w:t>rusts did not have complete data, for example because they had not been in existence for the entire period. W</w:t>
      </w:r>
      <w:r w:rsidR="005E7967" w:rsidRPr="009B3828">
        <w:rPr>
          <w:rFonts w:ascii="Garamond" w:hAnsi="Garamond"/>
          <w:sz w:val="22"/>
          <w:szCs w:val="22"/>
        </w:rPr>
        <w:t xml:space="preserve">e used an unbalanced panel in our main analysis that included each trust regardless of the number of available observations. As a sensitivity analysis, we constructed a strictly balanced panel that was limited to trusts </w:t>
      </w:r>
      <w:r w:rsidRPr="009B3828">
        <w:rPr>
          <w:rFonts w:ascii="Garamond" w:hAnsi="Garamond"/>
          <w:sz w:val="22"/>
          <w:szCs w:val="22"/>
        </w:rPr>
        <w:t>with complete data</w:t>
      </w:r>
      <w:r w:rsidR="00E47690">
        <w:rPr>
          <w:rFonts w:ascii="Garamond" w:hAnsi="Garamond"/>
          <w:sz w:val="22"/>
          <w:szCs w:val="22"/>
        </w:rPr>
        <w:t>, i.e. only included trusts that had one observation for every day across the whole study period</w:t>
      </w:r>
      <w:r w:rsidR="005E7967" w:rsidRPr="009B3828">
        <w:rPr>
          <w:rFonts w:ascii="Garamond" w:hAnsi="Garamond"/>
          <w:sz w:val="22"/>
          <w:szCs w:val="22"/>
        </w:rPr>
        <w:t xml:space="preserve">. </w:t>
      </w:r>
    </w:p>
    <w:p w14:paraId="4C79ECC7" w14:textId="77777777" w:rsidR="00386B68" w:rsidRPr="009B3828" w:rsidRDefault="00386B68" w:rsidP="00BB00E5">
      <w:pPr>
        <w:spacing w:line="360" w:lineRule="auto"/>
        <w:rPr>
          <w:rFonts w:ascii="Garamond" w:hAnsi="Garamond"/>
          <w:sz w:val="22"/>
          <w:szCs w:val="22"/>
        </w:rPr>
      </w:pPr>
    </w:p>
    <w:p w14:paraId="7C7D637C" w14:textId="374573F8" w:rsidR="00386B68" w:rsidRPr="009B3828" w:rsidRDefault="00BA248E" w:rsidP="0036336A">
      <w:pPr>
        <w:spacing w:line="360" w:lineRule="auto"/>
        <w:outlineLvl w:val="0"/>
        <w:rPr>
          <w:rFonts w:ascii="Garamond" w:hAnsi="Garamond"/>
          <w:b/>
          <w:i/>
          <w:sz w:val="22"/>
          <w:szCs w:val="22"/>
        </w:rPr>
      </w:pPr>
      <w:r w:rsidRPr="009B3828">
        <w:rPr>
          <w:rFonts w:ascii="Garamond" w:hAnsi="Garamond"/>
          <w:b/>
          <w:i/>
          <w:sz w:val="22"/>
          <w:szCs w:val="22"/>
        </w:rPr>
        <w:t xml:space="preserve">Subgroup </w:t>
      </w:r>
      <w:r w:rsidR="00386B68" w:rsidRPr="009B3828">
        <w:rPr>
          <w:rFonts w:ascii="Garamond" w:hAnsi="Garamond"/>
          <w:b/>
          <w:i/>
          <w:sz w:val="22"/>
          <w:szCs w:val="22"/>
        </w:rPr>
        <w:t>analyses</w:t>
      </w:r>
    </w:p>
    <w:p w14:paraId="2D5E8B65" w14:textId="18EC2460" w:rsidR="00F644A2" w:rsidRDefault="00BA248E" w:rsidP="00A57B0C">
      <w:pPr>
        <w:spacing w:line="360" w:lineRule="auto"/>
        <w:rPr>
          <w:rFonts w:ascii="Garamond" w:hAnsi="Garamond"/>
          <w:sz w:val="22"/>
          <w:szCs w:val="22"/>
        </w:rPr>
      </w:pPr>
      <w:r w:rsidRPr="009B3828">
        <w:rPr>
          <w:rFonts w:ascii="Garamond" w:hAnsi="Garamond"/>
          <w:sz w:val="22"/>
          <w:szCs w:val="22"/>
        </w:rPr>
        <w:t>Subgroup analyses assessed whether the associations were stronger or weaker in certain patient groups and trusts</w:t>
      </w:r>
      <w:r w:rsidR="00BF1DDE" w:rsidRPr="009B3828">
        <w:rPr>
          <w:rFonts w:ascii="Garamond" w:hAnsi="Garamond"/>
          <w:sz w:val="22"/>
          <w:szCs w:val="22"/>
        </w:rPr>
        <w:t xml:space="preserve">, since some patients naturally present with more complex needs whose addressing may require better care coordination following hospital discharge. </w:t>
      </w:r>
      <w:r w:rsidRPr="009B3828">
        <w:rPr>
          <w:rFonts w:ascii="Garamond" w:hAnsi="Garamond"/>
          <w:sz w:val="22"/>
          <w:szCs w:val="22"/>
        </w:rPr>
        <w:t>P</w:t>
      </w:r>
      <w:r w:rsidR="00386B68" w:rsidRPr="009B3828">
        <w:rPr>
          <w:rFonts w:ascii="Garamond" w:hAnsi="Garamond"/>
          <w:sz w:val="22"/>
          <w:szCs w:val="22"/>
        </w:rPr>
        <w:t>atient</w:t>
      </w:r>
      <w:r w:rsidRPr="009B3828">
        <w:rPr>
          <w:rFonts w:ascii="Garamond" w:hAnsi="Garamond"/>
          <w:sz w:val="22"/>
          <w:szCs w:val="22"/>
        </w:rPr>
        <w:t>s were segmented by</w:t>
      </w:r>
      <w:r w:rsidR="00386B68" w:rsidRPr="009B3828">
        <w:rPr>
          <w:rFonts w:ascii="Garamond" w:hAnsi="Garamond"/>
          <w:sz w:val="22"/>
          <w:szCs w:val="22"/>
        </w:rPr>
        <w:t xml:space="preserve"> age group (i.e., 18 to 35</w:t>
      </w:r>
      <w:r w:rsidRPr="009B3828">
        <w:rPr>
          <w:rFonts w:ascii="Garamond" w:hAnsi="Garamond"/>
          <w:sz w:val="22"/>
          <w:szCs w:val="22"/>
        </w:rPr>
        <w:t xml:space="preserve"> years</w:t>
      </w:r>
      <w:r w:rsidR="00386B68" w:rsidRPr="009B3828">
        <w:rPr>
          <w:rFonts w:ascii="Garamond" w:hAnsi="Garamond"/>
          <w:sz w:val="22"/>
          <w:szCs w:val="22"/>
        </w:rPr>
        <w:t>; 36 to 50</w:t>
      </w:r>
      <w:r w:rsidRPr="009B3828">
        <w:rPr>
          <w:rFonts w:ascii="Garamond" w:hAnsi="Garamond"/>
          <w:sz w:val="22"/>
          <w:szCs w:val="22"/>
        </w:rPr>
        <w:t xml:space="preserve"> years</w:t>
      </w:r>
      <w:r w:rsidR="00386B68" w:rsidRPr="009B3828">
        <w:rPr>
          <w:rFonts w:ascii="Garamond" w:hAnsi="Garamond"/>
          <w:sz w:val="22"/>
          <w:szCs w:val="22"/>
        </w:rPr>
        <w:t>; 51 to 65</w:t>
      </w:r>
      <w:r w:rsidRPr="009B3828">
        <w:rPr>
          <w:rFonts w:ascii="Garamond" w:hAnsi="Garamond"/>
          <w:sz w:val="22"/>
          <w:szCs w:val="22"/>
        </w:rPr>
        <w:t xml:space="preserve"> years</w:t>
      </w:r>
      <w:r w:rsidR="00386B68" w:rsidRPr="009B3828">
        <w:rPr>
          <w:rFonts w:ascii="Garamond" w:hAnsi="Garamond"/>
          <w:sz w:val="22"/>
          <w:szCs w:val="22"/>
        </w:rPr>
        <w:t>; 66 to 80</w:t>
      </w:r>
      <w:r w:rsidRPr="009B3828">
        <w:rPr>
          <w:rFonts w:ascii="Garamond" w:hAnsi="Garamond"/>
          <w:sz w:val="22"/>
          <w:szCs w:val="22"/>
        </w:rPr>
        <w:t xml:space="preserve"> years</w:t>
      </w:r>
      <w:r w:rsidR="00386B68" w:rsidRPr="009B3828">
        <w:rPr>
          <w:rFonts w:ascii="Garamond" w:hAnsi="Garamond"/>
          <w:sz w:val="22"/>
          <w:szCs w:val="22"/>
        </w:rPr>
        <w:t>; 81 to 90</w:t>
      </w:r>
      <w:r w:rsidRPr="009B3828">
        <w:rPr>
          <w:rFonts w:ascii="Garamond" w:hAnsi="Garamond"/>
          <w:sz w:val="22"/>
          <w:szCs w:val="22"/>
        </w:rPr>
        <w:t xml:space="preserve"> years</w:t>
      </w:r>
      <w:r w:rsidR="00386B68" w:rsidRPr="009B3828">
        <w:rPr>
          <w:rFonts w:ascii="Garamond" w:hAnsi="Garamond"/>
          <w:sz w:val="22"/>
          <w:szCs w:val="22"/>
        </w:rPr>
        <w:t xml:space="preserve">; and 91 </w:t>
      </w:r>
      <w:r w:rsidRPr="009B3828">
        <w:rPr>
          <w:rFonts w:ascii="Garamond" w:hAnsi="Garamond"/>
          <w:sz w:val="22"/>
          <w:szCs w:val="22"/>
        </w:rPr>
        <w:t xml:space="preserve">years </w:t>
      </w:r>
      <w:r w:rsidR="00386B68" w:rsidRPr="009B3828">
        <w:rPr>
          <w:rFonts w:ascii="Garamond" w:hAnsi="Garamond"/>
          <w:sz w:val="22"/>
          <w:szCs w:val="22"/>
        </w:rPr>
        <w:t xml:space="preserve">or </w:t>
      </w:r>
      <w:r w:rsidRPr="009B3828">
        <w:rPr>
          <w:rFonts w:ascii="Garamond" w:hAnsi="Garamond"/>
          <w:sz w:val="22"/>
          <w:szCs w:val="22"/>
        </w:rPr>
        <w:t>older); the</w:t>
      </w:r>
      <w:r w:rsidR="00386B68" w:rsidRPr="009B3828">
        <w:rPr>
          <w:rFonts w:ascii="Garamond" w:hAnsi="Garamond"/>
          <w:sz w:val="22"/>
          <w:szCs w:val="22"/>
        </w:rPr>
        <w:t xml:space="preserve"> number of comorbidities (i.e., none; 1; 2; 3; 4; 5; and 6 or above)</w:t>
      </w:r>
      <w:r w:rsidRPr="009B3828">
        <w:rPr>
          <w:rFonts w:ascii="Garamond" w:hAnsi="Garamond"/>
          <w:sz w:val="22"/>
          <w:szCs w:val="22"/>
        </w:rPr>
        <w:t>;</w:t>
      </w:r>
      <w:r w:rsidR="00386B68" w:rsidRPr="009B3828">
        <w:rPr>
          <w:rFonts w:ascii="Garamond" w:hAnsi="Garamond"/>
          <w:sz w:val="22"/>
          <w:szCs w:val="22"/>
        </w:rPr>
        <w:t xml:space="preserve"> </w:t>
      </w:r>
      <w:r w:rsidR="006E3E15">
        <w:rPr>
          <w:rFonts w:ascii="Garamond" w:hAnsi="Garamond"/>
          <w:sz w:val="22"/>
          <w:szCs w:val="22"/>
        </w:rPr>
        <w:t xml:space="preserve">and </w:t>
      </w:r>
      <w:r w:rsidR="008C50FF">
        <w:rPr>
          <w:rFonts w:ascii="Garamond" w:hAnsi="Garamond"/>
          <w:sz w:val="22"/>
          <w:szCs w:val="22"/>
        </w:rPr>
        <w:t>quintiles</w:t>
      </w:r>
      <w:r w:rsidR="008C50FF" w:rsidRPr="009B3828">
        <w:rPr>
          <w:rFonts w:ascii="Garamond" w:hAnsi="Garamond"/>
          <w:sz w:val="22"/>
          <w:szCs w:val="22"/>
        </w:rPr>
        <w:t xml:space="preserve"> </w:t>
      </w:r>
      <w:r w:rsidR="005B55E4" w:rsidRPr="009B3828">
        <w:rPr>
          <w:rFonts w:ascii="Garamond" w:hAnsi="Garamond"/>
          <w:sz w:val="22"/>
          <w:szCs w:val="22"/>
        </w:rPr>
        <w:t xml:space="preserve">of the </w:t>
      </w:r>
      <w:r w:rsidR="00386B68" w:rsidRPr="009B3828">
        <w:rPr>
          <w:rFonts w:ascii="Garamond" w:hAnsi="Garamond"/>
          <w:sz w:val="22"/>
          <w:szCs w:val="22"/>
        </w:rPr>
        <w:t xml:space="preserve">socioeconomic </w:t>
      </w:r>
      <w:r w:rsidRPr="009B3828">
        <w:rPr>
          <w:rFonts w:ascii="Garamond" w:hAnsi="Garamond"/>
          <w:sz w:val="22"/>
          <w:szCs w:val="22"/>
        </w:rPr>
        <w:t xml:space="preserve">deprivation score </w:t>
      </w:r>
      <w:r w:rsidR="00386B68" w:rsidRPr="009B3828">
        <w:rPr>
          <w:rFonts w:ascii="Garamond" w:hAnsi="Garamond"/>
          <w:sz w:val="22"/>
          <w:szCs w:val="22"/>
        </w:rPr>
        <w:t>(i.e., patients living in most deprived areas</w:t>
      </w:r>
      <w:r w:rsidR="005B55E4" w:rsidRPr="009B3828">
        <w:rPr>
          <w:rFonts w:ascii="Garamond" w:hAnsi="Garamond"/>
          <w:sz w:val="22"/>
          <w:szCs w:val="22"/>
        </w:rPr>
        <w:t xml:space="preserve"> – centile 1,</w:t>
      </w:r>
      <w:r w:rsidR="00386B68" w:rsidRPr="009B3828">
        <w:rPr>
          <w:rFonts w:ascii="Garamond" w:hAnsi="Garamond"/>
          <w:sz w:val="22"/>
          <w:szCs w:val="22"/>
        </w:rPr>
        <w:t xml:space="preserve"> to patients living in least deprived areas</w:t>
      </w:r>
      <w:r w:rsidR="005B55E4" w:rsidRPr="009B3828">
        <w:rPr>
          <w:rFonts w:ascii="Garamond" w:hAnsi="Garamond"/>
          <w:sz w:val="22"/>
          <w:szCs w:val="22"/>
        </w:rPr>
        <w:t xml:space="preserve"> – centile 5</w:t>
      </w:r>
      <w:r w:rsidR="006E3E15">
        <w:rPr>
          <w:rFonts w:ascii="Garamond" w:hAnsi="Garamond"/>
          <w:sz w:val="22"/>
          <w:szCs w:val="22"/>
        </w:rPr>
        <w:t>).</w:t>
      </w:r>
      <w:r w:rsidRPr="009B3828">
        <w:rPr>
          <w:rFonts w:ascii="Garamond" w:hAnsi="Garamond"/>
          <w:sz w:val="22"/>
          <w:szCs w:val="22"/>
        </w:rPr>
        <w:t xml:space="preserve"> In each case, we re-estimated our main model to data for the relevant patient subgroup. We also considered instances where trusts had bed occupancy rates in excess of 94.3% (the upper tertile </w:t>
      </w:r>
      <w:r w:rsidR="00DD78FB" w:rsidRPr="009B3828">
        <w:rPr>
          <w:rFonts w:ascii="Garamond" w:hAnsi="Garamond"/>
          <w:sz w:val="22"/>
          <w:szCs w:val="22"/>
        </w:rPr>
        <w:t>of the distribution)</w:t>
      </w:r>
      <w:r w:rsidR="005B55E4" w:rsidRPr="009B3828">
        <w:rPr>
          <w:rFonts w:ascii="Garamond" w:hAnsi="Garamond"/>
          <w:sz w:val="22"/>
          <w:szCs w:val="22"/>
        </w:rPr>
        <w:t xml:space="preserve"> to </w:t>
      </w:r>
      <w:r w:rsidR="00951A69">
        <w:rPr>
          <w:rFonts w:ascii="Garamond" w:hAnsi="Garamond"/>
          <w:sz w:val="22"/>
          <w:szCs w:val="22"/>
        </w:rPr>
        <w:t>examine further</w:t>
      </w:r>
      <w:r w:rsidR="00951A69" w:rsidRPr="009B3828">
        <w:rPr>
          <w:rFonts w:ascii="Garamond" w:hAnsi="Garamond"/>
          <w:sz w:val="22"/>
          <w:szCs w:val="22"/>
        </w:rPr>
        <w:t xml:space="preserve"> </w:t>
      </w:r>
      <w:r w:rsidR="005B55E4" w:rsidRPr="009B3828">
        <w:rPr>
          <w:rFonts w:ascii="Garamond" w:hAnsi="Garamond"/>
          <w:sz w:val="22"/>
          <w:szCs w:val="22"/>
        </w:rPr>
        <w:t xml:space="preserve">the </w:t>
      </w:r>
      <w:r w:rsidR="00D2047A">
        <w:rPr>
          <w:rFonts w:ascii="Garamond" w:hAnsi="Garamond"/>
          <w:sz w:val="22"/>
          <w:szCs w:val="22"/>
        </w:rPr>
        <w:t xml:space="preserve">evidence from one Swedish hospital </w:t>
      </w:r>
      <w:r w:rsidR="005B55E4" w:rsidRPr="009B3828">
        <w:rPr>
          <w:rFonts w:ascii="Garamond" w:hAnsi="Garamond"/>
          <w:sz w:val="22"/>
          <w:szCs w:val="22"/>
        </w:rPr>
        <w:t xml:space="preserve">that </w:t>
      </w:r>
      <w:r w:rsidR="00F76DDD" w:rsidRPr="009B3828">
        <w:rPr>
          <w:rFonts w:ascii="Garamond" w:hAnsi="Garamond"/>
          <w:sz w:val="22"/>
          <w:szCs w:val="22"/>
        </w:rPr>
        <w:t>very high</w:t>
      </w:r>
      <w:r w:rsidR="005B55E4" w:rsidRPr="009B3828">
        <w:rPr>
          <w:rFonts w:ascii="Garamond" w:hAnsi="Garamond"/>
          <w:sz w:val="22"/>
          <w:szCs w:val="22"/>
        </w:rPr>
        <w:t xml:space="preserve"> bed occupancy rates lead to </w:t>
      </w:r>
      <w:r w:rsidR="00365054" w:rsidRPr="009B3828">
        <w:rPr>
          <w:rFonts w:ascii="Garamond" w:hAnsi="Garamond"/>
          <w:sz w:val="22"/>
          <w:szCs w:val="22"/>
        </w:rPr>
        <w:t>greater</w:t>
      </w:r>
      <w:r w:rsidR="00F76DDD" w:rsidRPr="009B3828">
        <w:rPr>
          <w:rFonts w:ascii="Garamond" w:hAnsi="Garamond"/>
          <w:sz w:val="22"/>
          <w:szCs w:val="22"/>
        </w:rPr>
        <w:t xml:space="preserve"> marginal</w:t>
      </w:r>
      <w:r w:rsidR="005B55E4" w:rsidRPr="009B3828">
        <w:rPr>
          <w:rFonts w:ascii="Garamond" w:hAnsi="Garamond"/>
          <w:sz w:val="22"/>
          <w:szCs w:val="22"/>
        </w:rPr>
        <w:t xml:space="preserve"> increases in readmission rates</w:t>
      </w:r>
      <w:r w:rsidR="0095358D">
        <w:rPr>
          <w:rFonts w:ascii="Garamond" w:hAnsi="Garamond"/>
          <w:sz w:val="22"/>
          <w:szCs w:val="22"/>
        </w:rPr>
        <w:t xml:space="preserve"> as a result of poor quality discharge processes</w:t>
      </w:r>
      <w:r w:rsidR="005B55E4" w:rsidRPr="009B3828">
        <w:rPr>
          <w:rFonts w:ascii="Garamond" w:hAnsi="Garamond"/>
          <w:sz w:val="22"/>
          <w:szCs w:val="22"/>
        </w:rPr>
        <w:t>.</w:t>
      </w:r>
      <w:r w:rsidR="00D2047A" w:rsidRPr="003235AC">
        <w:rPr>
          <w:rFonts w:ascii="Garamond" w:hAnsi="Garamond"/>
          <w:sz w:val="22"/>
          <w:szCs w:val="22"/>
        </w:rPr>
        <w:fldChar w:fldCharType="begin" w:fldLock="1"/>
      </w:r>
      <w:r w:rsidR="00D2047A">
        <w:rPr>
          <w:rFonts w:ascii="Garamond" w:hAnsi="Garamond"/>
          <w:sz w:val="22"/>
          <w:szCs w:val="22"/>
        </w:rPr>
        <w:instrText>ADDIN CSL_CITATION {"citationItems":[{"id":"ITEM-1","itemData":{"DOI":"10.1186/s12873-015-0067-9","ISBN":"1471-227X","ISSN":"1471-227X","PMID":"26666221","abstract":"BACKGROUND: Previous work has suggested that given a hospital's need to admit more patients from the emergency department (ED), high inpatient bed occupancy may encourage premature hospital discharges that favor the hospital's need for beds over patients' medical interests. We argue that the effects of such action would be measurable as a greater proportion of unplanned hospital readmissions among patients discharged when the hospital was full than when not. In response, the present study tested this hypothesis by investigating the association between inpatient bed occupancy at the time of hospital discharge and the 30-day readmission rate.\\n\\nMETHODS: The sample included all inpatient admissions from the ED at a 420-bed emergency hospital in southern Sweden during 2011-2012 that resulted in discharge before 1 December 2012. The share of unplanned readmissions within 30 days was computed for levels of inpatient bed occupancy of &lt;95%, 95-100%, 100-105% and &gt;105% at the hour of discharge. A binary logistic regression model was constructed to adjust for age, time of discharge, and other factors that could affect the outcome.\\n\\nRESULTS: In all, 32,811 visits were included in the study, 9.9% of which resulted in an unplanned readmission within 30 days of discharge. The proportion of readmissions was 9.0% for occupancy levels of &lt;95% at the patient's discharge, 10.2% for 95-100% occupancy, 10.8% for 100-105% occupancy, and 10.5% for &gt;105% occupancy (p</w:instrText>
      </w:r>
      <w:r w:rsidR="00D2047A">
        <w:rPr>
          <w:rFonts w:ascii="Times New Roman" w:hAnsi="Times New Roman" w:cs="Times New Roman"/>
          <w:sz w:val="22"/>
          <w:szCs w:val="22"/>
        </w:rPr>
        <w:instrText> </w:instrText>
      </w:r>
      <w:r w:rsidR="00D2047A">
        <w:rPr>
          <w:rFonts w:ascii="Garamond" w:hAnsi="Garamond"/>
          <w:sz w:val="22"/>
          <w:szCs w:val="22"/>
        </w:rPr>
        <w:instrText>=</w:instrText>
      </w:r>
      <w:r w:rsidR="00D2047A">
        <w:rPr>
          <w:rFonts w:ascii="Times New Roman" w:hAnsi="Times New Roman" w:cs="Times New Roman"/>
          <w:sz w:val="22"/>
          <w:szCs w:val="22"/>
        </w:rPr>
        <w:instrText> </w:instrText>
      </w:r>
      <w:r w:rsidR="00D2047A">
        <w:rPr>
          <w:rFonts w:ascii="Garamond" w:hAnsi="Garamond"/>
          <w:sz w:val="22"/>
          <w:szCs w:val="22"/>
        </w:rPr>
        <w:instrText>0.0001). Results from the multivariate models show that the OR (95% CI) of readmission was 1.11 (1.01-1.22) for patients discharged at 95-100% occupancy, 1.17 (1.06-1.29) at 100-105% occupancy, and 1.15 (0.99-1.34) at &gt;105% occupancy.\\n\\nCONCLUSIONS: Results indicate that patients discharged from inpatient wards at times of high inpatient bed occupancy experience an increased risk of unplanned readmission within 30 days of discharge.","author":[{"dropping-particle":"","family":"Blom","given":"Mathias C.","non-dropping-particle":"","parse-names":false,"suffix":""},{"dropping-particle":"","family":"Erwander","given":"Karin","non-dropping-particle":"","parse-names":false,"suffix":""},{"dropping-particle":"","family":"Gustafsson","given":"Lars","non-dropping-particle":"","parse-names":false,"suffix":""},{"dropping-particle":"","family":"Landin-Olsson","given":"Mona","non-dropping-particle":"","parse-names":false,"suffix":""},{"dropping-particle":"","family":"Jonsson","given":"Fredrik","non-dropping-particle":"","parse-names":false,"suffix":""},{"dropping-particle":"","family":"Ivarsson","given":"Kjell","non-dropping-particle":"","parse-names":false,"suffix":""}],"container-title":"BMC Emergency Medicine","id":"ITEM-1","issue":"1","issued":{"date-parts":[["2015"]]},"page":"37","publisher":"BMC Emergency Medicine","title":"The probability of readmission within 30 days of hospital discharge is positively associated with inpatient bed occupancy at discharge – a retrospective cohort study","type":"article-journal","volume":"15"},"uris":["http://www.mendeley.com/documents/?uuid=d8e6bfa3-7879-4218-9011-f9b5d55f2e53","http://www.mendeley.com/documents/?uuid=47088912-8053-4568-85cd-dd06dd4b977c"]}],"mendeley":{"formattedCitation":"[16]","plainTextFormattedCitation":"[16]","previouslyFormattedCitation":"[16]"},"properties":{"noteIndex":0},"schema":"https://github.com/citation-style-language/schema/raw/master/csl-citation.json"}</w:instrText>
      </w:r>
      <w:r w:rsidR="00D2047A" w:rsidRPr="003235AC">
        <w:rPr>
          <w:rFonts w:ascii="Garamond" w:hAnsi="Garamond"/>
          <w:sz w:val="22"/>
          <w:szCs w:val="22"/>
        </w:rPr>
        <w:fldChar w:fldCharType="separate"/>
      </w:r>
      <w:r w:rsidR="00D2047A" w:rsidRPr="002B3054">
        <w:rPr>
          <w:rFonts w:ascii="Garamond" w:hAnsi="Garamond"/>
          <w:noProof/>
          <w:sz w:val="22"/>
          <w:szCs w:val="22"/>
        </w:rPr>
        <w:t>[16]</w:t>
      </w:r>
      <w:r w:rsidR="00D2047A" w:rsidRPr="003235AC">
        <w:rPr>
          <w:rFonts w:ascii="Garamond" w:hAnsi="Garamond"/>
          <w:sz w:val="22"/>
          <w:szCs w:val="22"/>
        </w:rPr>
        <w:fldChar w:fldCharType="end"/>
      </w:r>
      <w:r w:rsidR="00D2047A">
        <w:rPr>
          <w:rFonts w:ascii="Garamond" w:hAnsi="Garamond"/>
          <w:sz w:val="22"/>
          <w:szCs w:val="22"/>
        </w:rPr>
        <w:t xml:space="preserve"> </w:t>
      </w:r>
      <w:r w:rsidR="005B55E4" w:rsidRPr="009B3828">
        <w:rPr>
          <w:rFonts w:ascii="Garamond" w:hAnsi="Garamond"/>
          <w:sz w:val="22"/>
          <w:szCs w:val="22"/>
        </w:rPr>
        <w:t xml:space="preserve"> </w:t>
      </w:r>
      <w:r w:rsidR="005B55E4" w:rsidRPr="009B3828" w:rsidDel="005B55E4">
        <w:rPr>
          <w:rFonts w:ascii="Garamond" w:hAnsi="Garamond"/>
          <w:sz w:val="22"/>
          <w:szCs w:val="22"/>
        </w:rPr>
        <w:t xml:space="preserve"> </w:t>
      </w:r>
    </w:p>
    <w:p w14:paraId="2E3AE101" w14:textId="77777777" w:rsidR="00A76D46" w:rsidRDefault="00A76D46" w:rsidP="002129BC">
      <w:pPr>
        <w:rPr>
          <w:rFonts w:ascii="Garamond" w:hAnsi="Garamond" w:cs="Garamond"/>
          <w:b/>
          <w:bCs/>
          <w:i/>
          <w:color w:val="1D1D1D"/>
          <w:sz w:val="22"/>
          <w:szCs w:val="22"/>
          <w:lang w:val="en-US"/>
        </w:rPr>
      </w:pPr>
    </w:p>
    <w:p w14:paraId="048C8A2D" w14:textId="75328F8A" w:rsidR="00386B68" w:rsidRPr="009B3828" w:rsidRDefault="00386B68" w:rsidP="0036336A">
      <w:pPr>
        <w:spacing w:line="360" w:lineRule="auto"/>
        <w:outlineLvl w:val="0"/>
        <w:rPr>
          <w:rFonts w:ascii="Garamond" w:hAnsi="Garamond"/>
          <w:b/>
          <w:sz w:val="22"/>
          <w:szCs w:val="22"/>
        </w:rPr>
      </w:pPr>
      <w:r w:rsidRPr="009B3828">
        <w:rPr>
          <w:rFonts w:ascii="Garamond" w:hAnsi="Garamond"/>
          <w:b/>
          <w:sz w:val="22"/>
          <w:szCs w:val="22"/>
        </w:rPr>
        <w:lastRenderedPageBreak/>
        <w:t>RESULTS</w:t>
      </w:r>
    </w:p>
    <w:p w14:paraId="1E9D9A32" w14:textId="77777777" w:rsidR="00386B68" w:rsidRPr="009B3828" w:rsidRDefault="00386B68" w:rsidP="0036336A">
      <w:pPr>
        <w:spacing w:line="360" w:lineRule="auto"/>
        <w:outlineLvl w:val="0"/>
        <w:rPr>
          <w:rFonts w:ascii="Garamond" w:hAnsi="Garamond"/>
          <w:b/>
          <w:i/>
          <w:sz w:val="22"/>
          <w:szCs w:val="22"/>
        </w:rPr>
      </w:pPr>
      <w:r w:rsidRPr="009B3828">
        <w:rPr>
          <w:rFonts w:ascii="Garamond" w:hAnsi="Garamond"/>
          <w:b/>
          <w:i/>
          <w:sz w:val="22"/>
          <w:szCs w:val="22"/>
        </w:rPr>
        <w:t>Study sample</w:t>
      </w:r>
    </w:p>
    <w:p w14:paraId="623E17B9" w14:textId="17EB56F5" w:rsidR="00E73F36" w:rsidRPr="002E74A7" w:rsidRDefault="00386B68" w:rsidP="00A76D46">
      <w:pPr>
        <w:spacing w:line="360" w:lineRule="auto"/>
        <w:rPr>
          <w:rFonts w:ascii="Garamond" w:hAnsi="Garamond"/>
          <w:sz w:val="22"/>
          <w:szCs w:val="22"/>
        </w:rPr>
      </w:pPr>
      <w:r w:rsidRPr="009B3828">
        <w:rPr>
          <w:rFonts w:ascii="Garamond" w:hAnsi="Garamond"/>
          <w:sz w:val="22"/>
          <w:szCs w:val="22"/>
        </w:rPr>
        <w:t>Between April 201</w:t>
      </w:r>
      <w:r w:rsidR="00493502" w:rsidRPr="009B3828">
        <w:rPr>
          <w:rFonts w:ascii="Garamond" w:hAnsi="Garamond"/>
          <w:sz w:val="22"/>
          <w:szCs w:val="22"/>
        </w:rPr>
        <w:t>4</w:t>
      </w:r>
      <w:r w:rsidRPr="009B3828">
        <w:rPr>
          <w:rFonts w:ascii="Garamond" w:hAnsi="Garamond"/>
          <w:sz w:val="22"/>
          <w:szCs w:val="22"/>
        </w:rPr>
        <w:t xml:space="preserve"> and </w:t>
      </w:r>
      <w:r w:rsidRPr="00F64BC9">
        <w:rPr>
          <w:rFonts w:ascii="Garamond" w:hAnsi="Garamond"/>
          <w:sz w:val="22"/>
          <w:szCs w:val="22"/>
        </w:rPr>
        <w:t>February 201</w:t>
      </w:r>
      <w:r w:rsidR="002F5E27" w:rsidRPr="00F64BC9">
        <w:rPr>
          <w:rFonts w:ascii="Garamond" w:hAnsi="Garamond"/>
          <w:sz w:val="22"/>
          <w:szCs w:val="22"/>
        </w:rPr>
        <w:t>6</w:t>
      </w:r>
      <w:r w:rsidRPr="00F64BC9">
        <w:rPr>
          <w:rFonts w:ascii="Garamond" w:hAnsi="Garamond"/>
          <w:sz w:val="22"/>
          <w:szCs w:val="22"/>
        </w:rPr>
        <w:t xml:space="preserve">, </w:t>
      </w:r>
      <w:r w:rsidR="00D2712D">
        <w:rPr>
          <w:rFonts w:ascii="Garamond" w:hAnsi="Garamond"/>
          <w:sz w:val="22"/>
          <w:szCs w:val="22"/>
        </w:rPr>
        <w:t>4,193,590</w:t>
      </w:r>
      <w:r w:rsidR="00B36AE2" w:rsidRPr="00F64BC9">
        <w:rPr>
          <w:rFonts w:ascii="Garamond" w:hAnsi="Garamond"/>
          <w:sz w:val="22"/>
          <w:szCs w:val="22"/>
        </w:rPr>
        <w:t xml:space="preserve"> </w:t>
      </w:r>
      <w:r w:rsidR="00DD78FB" w:rsidRPr="00F64BC9">
        <w:rPr>
          <w:rFonts w:ascii="Garamond" w:hAnsi="Garamond"/>
          <w:sz w:val="22"/>
          <w:szCs w:val="22"/>
        </w:rPr>
        <w:t>overnight</w:t>
      </w:r>
      <w:r w:rsidR="00DD78FB" w:rsidRPr="009B3828">
        <w:rPr>
          <w:rFonts w:ascii="Garamond" w:hAnsi="Garamond"/>
          <w:sz w:val="22"/>
          <w:szCs w:val="22"/>
        </w:rPr>
        <w:t xml:space="preserve"> </w:t>
      </w:r>
      <w:r w:rsidRPr="009B3828">
        <w:rPr>
          <w:rFonts w:ascii="Garamond" w:hAnsi="Garamond"/>
          <w:sz w:val="22"/>
          <w:szCs w:val="22"/>
        </w:rPr>
        <w:t>patients met our inclusion and exclusion criteria</w:t>
      </w:r>
      <w:r w:rsidR="00DD78FB" w:rsidRPr="009B3828">
        <w:rPr>
          <w:rFonts w:ascii="Garamond" w:hAnsi="Garamond"/>
          <w:sz w:val="22"/>
          <w:szCs w:val="22"/>
        </w:rPr>
        <w:t xml:space="preserve"> from 13</w:t>
      </w:r>
      <w:r w:rsidR="00F64BC9">
        <w:rPr>
          <w:rFonts w:ascii="Garamond" w:hAnsi="Garamond"/>
          <w:sz w:val="22"/>
          <w:szCs w:val="22"/>
        </w:rPr>
        <w:t>6</w:t>
      </w:r>
      <w:r w:rsidR="00DD78FB" w:rsidRPr="009B3828">
        <w:rPr>
          <w:rFonts w:ascii="Garamond" w:hAnsi="Garamond"/>
          <w:sz w:val="22"/>
          <w:szCs w:val="22"/>
        </w:rPr>
        <w:t xml:space="preserve"> acute NHS </w:t>
      </w:r>
      <w:r w:rsidR="0071179E" w:rsidRPr="009B3828">
        <w:rPr>
          <w:rFonts w:ascii="Garamond" w:hAnsi="Garamond"/>
          <w:sz w:val="22"/>
          <w:szCs w:val="22"/>
        </w:rPr>
        <w:t>t</w:t>
      </w:r>
      <w:r w:rsidR="00DD78FB" w:rsidRPr="009B3828">
        <w:rPr>
          <w:rFonts w:ascii="Garamond" w:hAnsi="Garamond"/>
          <w:sz w:val="22"/>
          <w:szCs w:val="22"/>
        </w:rPr>
        <w:t>rusts</w:t>
      </w:r>
      <w:r w:rsidRPr="009B3828">
        <w:rPr>
          <w:rFonts w:ascii="Garamond" w:hAnsi="Garamond"/>
          <w:sz w:val="22"/>
          <w:szCs w:val="22"/>
        </w:rPr>
        <w:t xml:space="preserve">. </w:t>
      </w:r>
      <w:r w:rsidR="0001432A" w:rsidRPr="009B3828">
        <w:rPr>
          <w:rFonts w:ascii="Garamond" w:hAnsi="Garamond"/>
          <w:sz w:val="22"/>
          <w:szCs w:val="22"/>
        </w:rPr>
        <w:t xml:space="preserve">We excluded </w:t>
      </w:r>
      <w:r w:rsidR="001D2E03" w:rsidRPr="001D2E03">
        <w:rPr>
          <w:rFonts w:ascii="Garamond" w:hAnsi="Garamond"/>
          <w:sz w:val="22"/>
          <w:szCs w:val="22"/>
        </w:rPr>
        <w:t>8,462</w:t>
      </w:r>
      <w:r w:rsidR="0001432A" w:rsidRPr="001D2E03">
        <w:rPr>
          <w:rFonts w:ascii="Garamond" w:hAnsi="Garamond"/>
          <w:sz w:val="22"/>
          <w:szCs w:val="22"/>
        </w:rPr>
        <w:t>,</w:t>
      </w:r>
      <w:r w:rsidR="001D2E03" w:rsidRPr="001D2E03">
        <w:rPr>
          <w:rFonts w:ascii="Garamond" w:hAnsi="Garamond"/>
          <w:sz w:val="22"/>
          <w:szCs w:val="22"/>
        </w:rPr>
        <w:t>811</w:t>
      </w:r>
      <w:r w:rsidR="0001432A" w:rsidRPr="009B3828">
        <w:rPr>
          <w:rFonts w:ascii="Garamond" w:hAnsi="Garamond"/>
          <w:sz w:val="22"/>
          <w:szCs w:val="22"/>
        </w:rPr>
        <w:t xml:space="preserve"> patients who were admitted and discharged on the </w:t>
      </w:r>
      <w:r w:rsidR="0001432A" w:rsidRPr="001D2E03">
        <w:rPr>
          <w:rFonts w:ascii="Garamond" w:hAnsi="Garamond"/>
          <w:sz w:val="22"/>
          <w:szCs w:val="22"/>
        </w:rPr>
        <w:t>same day</w:t>
      </w:r>
      <w:r w:rsidR="00694583">
        <w:rPr>
          <w:rFonts w:ascii="Garamond" w:hAnsi="Garamond"/>
          <w:sz w:val="22"/>
          <w:szCs w:val="22"/>
        </w:rPr>
        <w:t>,</w:t>
      </w:r>
      <w:r w:rsidR="0001432A" w:rsidRPr="001D2E03">
        <w:rPr>
          <w:rFonts w:ascii="Garamond" w:hAnsi="Garamond"/>
          <w:sz w:val="22"/>
          <w:szCs w:val="22"/>
        </w:rPr>
        <w:t xml:space="preserve"> </w:t>
      </w:r>
      <w:r w:rsidR="00694583">
        <w:rPr>
          <w:rFonts w:ascii="Garamond" w:hAnsi="Garamond"/>
          <w:sz w:val="22"/>
          <w:szCs w:val="22"/>
        </w:rPr>
        <w:t xml:space="preserve">with 82% accounting for elective day-cases and 18% being emergencies, </w:t>
      </w:r>
      <w:r w:rsidR="0001432A" w:rsidRPr="001D2E03">
        <w:rPr>
          <w:rFonts w:ascii="Garamond" w:hAnsi="Garamond"/>
          <w:sz w:val="22"/>
          <w:szCs w:val="22"/>
        </w:rPr>
        <w:t xml:space="preserve">and </w:t>
      </w:r>
      <w:r w:rsidR="00951A69" w:rsidRPr="001D2E03">
        <w:rPr>
          <w:rFonts w:ascii="Garamond" w:hAnsi="Garamond"/>
          <w:sz w:val="22"/>
          <w:szCs w:val="22"/>
        </w:rPr>
        <w:t>a further</w:t>
      </w:r>
      <w:r w:rsidR="0001432A" w:rsidRPr="001D2E03">
        <w:rPr>
          <w:rFonts w:ascii="Garamond" w:hAnsi="Garamond"/>
          <w:sz w:val="22"/>
          <w:szCs w:val="22"/>
        </w:rPr>
        <w:t xml:space="preserve"> </w:t>
      </w:r>
      <w:r w:rsidR="001D2E03" w:rsidRPr="001D2E03">
        <w:rPr>
          <w:rFonts w:ascii="Garamond" w:hAnsi="Garamond"/>
          <w:sz w:val="22"/>
          <w:szCs w:val="22"/>
        </w:rPr>
        <w:t>2</w:t>
      </w:r>
      <w:r w:rsidR="0001432A" w:rsidRPr="001D2E03">
        <w:rPr>
          <w:rFonts w:ascii="Garamond" w:hAnsi="Garamond"/>
          <w:sz w:val="22"/>
          <w:szCs w:val="22"/>
        </w:rPr>
        <w:t>,</w:t>
      </w:r>
      <w:r w:rsidR="00D2712D">
        <w:rPr>
          <w:rFonts w:ascii="Garamond" w:hAnsi="Garamond"/>
          <w:sz w:val="22"/>
          <w:szCs w:val="22"/>
        </w:rPr>
        <w:t>269,350</w:t>
      </w:r>
      <w:r w:rsidR="0001432A" w:rsidRPr="001D2E03">
        <w:rPr>
          <w:rFonts w:ascii="Garamond" w:hAnsi="Garamond"/>
          <w:sz w:val="22"/>
          <w:szCs w:val="22"/>
        </w:rPr>
        <w:t xml:space="preserve"> patients without</w:t>
      </w:r>
      <w:r w:rsidR="0001432A" w:rsidRPr="009B3828">
        <w:rPr>
          <w:rFonts w:ascii="Garamond" w:hAnsi="Garamond"/>
          <w:sz w:val="22"/>
          <w:szCs w:val="22"/>
        </w:rPr>
        <w:t xml:space="preserve"> complete records for risk-adjustment</w:t>
      </w:r>
      <w:r w:rsidR="00A739CF">
        <w:rPr>
          <w:rFonts w:ascii="Garamond" w:hAnsi="Garamond"/>
          <w:sz w:val="22"/>
          <w:szCs w:val="22"/>
        </w:rPr>
        <w:t xml:space="preserve"> and being below </w:t>
      </w:r>
      <w:r w:rsidR="00274098">
        <w:rPr>
          <w:rFonts w:ascii="Garamond" w:hAnsi="Garamond"/>
          <w:sz w:val="22"/>
          <w:szCs w:val="22"/>
        </w:rPr>
        <w:t xml:space="preserve">the age of </w:t>
      </w:r>
      <w:r w:rsidR="00A739CF">
        <w:rPr>
          <w:rFonts w:ascii="Garamond" w:hAnsi="Garamond"/>
          <w:sz w:val="22"/>
          <w:szCs w:val="22"/>
        </w:rPr>
        <w:t>18 years</w:t>
      </w:r>
      <w:r w:rsidR="0001432A" w:rsidRPr="009B3828">
        <w:rPr>
          <w:rFonts w:ascii="Garamond" w:hAnsi="Garamond"/>
          <w:sz w:val="22"/>
          <w:szCs w:val="22"/>
        </w:rPr>
        <w:t xml:space="preserve">. </w:t>
      </w:r>
      <w:r w:rsidR="00E73F36" w:rsidRPr="009B3828">
        <w:rPr>
          <w:rFonts w:ascii="Garamond" w:hAnsi="Garamond"/>
          <w:sz w:val="22"/>
          <w:szCs w:val="22"/>
        </w:rPr>
        <w:t>Patients in our s</w:t>
      </w:r>
      <w:r w:rsidR="009D2E16">
        <w:rPr>
          <w:rFonts w:ascii="Garamond" w:hAnsi="Garamond"/>
          <w:sz w:val="22"/>
          <w:szCs w:val="22"/>
        </w:rPr>
        <w:t>tudy sample were on average 63.6</w:t>
      </w:r>
      <w:r w:rsidR="00E73F36" w:rsidRPr="009B3828">
        <w:rPr>
          <w:rFonts w:ascii="Garamond" w:hAnsi="Garamond"/>
          <w:sz w:val="22"/>
          <w:szCs w:val="22"/>
        </w:rPr>
        <w:t xml:space="preserve"> years of age (</w:t>
      </w:r>
      <w:r w:rsidR="00DD78FB" w:rsidRPr="009B3828">
        <w:rPr>
          <w:rFonts w:ascii="Garamond" w:hAnsi="Garamond"/>
          <w:sz w:val="22"/>
          <w:szCs w:val="22"/>
        </w:rPr>
        <w:t>Standard Deviation, SD</w:t>
      </w:r>
      <w:r w:rsidR="00E73F36" w:rsidRPr="009B3828">
        <w:rPr>
          <w:rFonts w:ascii="Garamond" w:hAnsi="Garamond"/>
          <w:sz w:val="22"/>
          <w:szCs w:val="22"/>
        </w:rPr>
        <w:t xml:space="preserve">: </w:t>
      </w:r>
      <w:r w:rsidR="009D2E16">
        <w:rPr>
          <w:rFonts w:ascii="Garamond" w:hAnsi="Garamond"/>
          <w:sz w:val="22"/>
          <w:szCs w:val="22"/>
        </w:rPr>
        <w:t>4.22</w:t>
      </w:r>
      <w:r w:rsidR="00E73F36" w:rsidRPr="009B3828">
        <w:rPr>
          <w:rFonts w:ascii="Garamond" w:hAnsi="Garamond"/>
          <w:sz w:val="22"/>
          <w:szCs w:val="22"/>
        </w:rPr>
        <w:t xml:space="preserve"> years), with an average Charlson index</w:t>
      </w:r>
      <w:r w:rsidR="002C4B89" w:rsidRPr="009B3828">
        <w:rPr>
          <w:rFonts w:ascii="Garamond" w:hAnsi="Garamond"/>
          <w:sz w:val="22"/>
          <w:szCs w:val="22"/>
        </w:rPr>
        <w:t xml:space="preserve"> of 0.98 (SD</w:t>
      </w:r>
      <w:r w:rsidR="00E73F36" w:rsidRPr="009B3828">
        <w:rPr>
          <w:rFonts w:ascii="Garamond" w:hAnsi="Garamond"/>
          <w:sz w:val="22"/>
          <w:szCs w:val="22"/>
        </w:rPr>
        <w:t>: 0.</w:t>
      </w:r>
      <w:r w:rsidR="009D2E16">
        <w:rPr>
          <w:rFonts w:ascii="Garamond" w:hAnsi="Garamond"/>
          <w:sz w:val="22"/>
          <w:szCs w:val="22"/>
        </w:rPr>
        <w:t>22</w:t>
      </w:r>
      <w:r w:rsidR="00514226" w:rsidRPr="009B3828">
        <w:rPr>
          <w:rFonts w:ascii="Garamond" w:hAnsi="Garamond"/>
          <w:sz w:val="22"/>
          <w:szCs w:val="22"/>
        </w:rPr>
        <w:t>) and</w:t>
      </w:r>
      <w:r w:rsidR="00E73F36" w:rsidRPr="009B3828">
        <w:rPr>
          <w:rFonts w:ascii="Garamond" w:hAnsi="Garamond"/>
          <w:sz w:val="22"/>
          <w:szCs w:val="22"/>
        </w:rPr>
        <w:t xml:space="preserve"> stayed in hospital for a</w:t>
      </w:r>
      <w:r w:rsidR="002C4B89" w:rsidRPr="009B3828">
        <w:rPr>
          <w:rFonts w:ascii="Garamond" w:hAnsi="Garamond"/>
          <w:sz w:val="22"/>
          <w:szCs w:val="22"/>
        </w:rPr>
        <w:t>n average of 6.</w:t>
      </w:r>
      <w:r w:rsidR="009D2E16">
        <w:rPr>
          <w:rFonts w:ascii="Garamond" w:hAnsi="Garamond"/>
          <w:sz w:val="22"/>
          <w:szCs w:val="22"/>
        </w:rPr>
        <w:t>5</w:t>
      </w:r>
      <w:r w:rsidR="002C4B89" w:rsidRPr="009B3828">
        <w:rPr>
          <w:rFonts w:ascii="Garamond" w:hAnsi="Garamond"/>
          <w:sz w:val="22"/>
          <w:szCs w:val="22"/>
        </w:rPr>
        <w:t xml:space="preserve"> days (SD</w:t>
      </w:r>
      <w:r w:rsidR="00E73F36" w:rsidRPr="009B3828">
        <w:rPr>
          <w:rFonts w:ascii="Garamond" w:hAnsi="Garamond"/>
          <w:sz w:val="22"/>
          <w:szCs w:val="22"/>
        </w:rPr>
        <w:t xml:space="preserve">: </w:t>
      </w:r>
      <w:r w:rsidR="002E2F70" w:rsidRPr="009B3828">
        <w:rPr>
          <w:rFonts w:ascii="Garamond" w:hAnsi="Garamond"/>
          <w:sz w:val="22"/>
          <w:szCs w:val="22"/>
        </w:rPr>
        <w:t>2.</w:t>
      </w:r>
      <w:r w:rsidR="009D2E16">
        <w:rPr>
          <w:rFonts w:ascii="Garamond" w:hAnsi="Garamond"/>
          <w:sz w:val="22"/>
          <w:szCs w:val="22"/>
        </w:rPr>
        <w:t>23</w:t>
      </w:r>
      <w:r w:rsidR="00951A69">
        <w:rPr>
          <w:rFonts w:ascii="Garamond" w:hAnsi="Garamond"/>
          <w:sz w:val="22"/>
          <w:szCs w:val="22"/>
        </w:rPr>
        <w:t>).</w:t>
      </w:r>
      <w:r w:rsidR="00C2028E" w:rsidRPr="009B3828">
        <w:rPr>
          <w:rFonts w:ascii="Garamond" w:hAnsi="Garamond"/>
          <w:sz w:val="22"/>
          <w:szCs w:val="22"/>
        </w:rPr>
        <w:t xml:space="preserve"> </w:t>
      </w:r>
      <w:r w:rsidR="00DD78FB" w:rsidRPr="009B3828">
        <w:rPr>
          <w:rFonts w:ascii="Garamond" w:hAnsi="Garamond"/>
          <w:sz w:val="22"/>
          <w:szCs w:val="22"/>
        </w:rPr>
        <w:t>These characteristics changed only slightly over time</w:t>
      </w:r>
      <w:r w:rsidR="00951A69">
        <w:rPr>
          <w:rFonts w:ascii="Garamond" w:hAnsi="Garamond"/>
          <w:sz w:val="22"/>
          <w:szCs w:val="22"/>
        </w:rPr>
        <w:t xml:space="preserve">. </w:t>
      </w:r>
      <w:r w:rsidR="00DD78FB" w:rsidRPr="009B3828">
        <w:rPr>
          <w:rFonts w:ascii="Garamond" w:hAnsi="Garamond"/>
          <w:sz w:val="22"/>
          <w:szCs w:val="22"/>
        </w:rPr>
        <w:t>Table 1</w:t>
      </w:r>
      <w:r w:rsidR="00951A69">
        <w:rPr>
          <w:rFonts w:ascii="Garamond" w:hAnsi="Garamond"/>
          <w:sz w:val="22"/>
          <w:szCs w:val="22"/>
        </w:rPr>
        <w:t xml:space="preserve"> presents these</w:t>
      </w:r>
      <w:r w:rsidR="001C14C8" w:rsidRPr="009B3828">
        <w:rPr>
          <w:rFonts w:ascii="Garamond" w:hAnsi="Garamond"/>
          <w:sz w:val="22"/>
          <w:szCs w:val="22"/>
        </w:rPr>
        <w:t xml:space="preserve"> </w:t>
      </w:r>
      <w:r w:rsidR="00951A69">
        <w:rPr>
          <w:rFonts w:ascii="Garamond" w:hAnsi="Garamond"/>
          <w:sz w:val="22"/>
          <w:szCs w:val="22"/>
        </w:rPr>
        <w:t>s</w:t>
      </w:r>
      <w:r w:rsidR="00951A69" w:rsidRPr="009B3828">
        <w:rPr>
          <w:rFonts w:ascii="Garamond" w:hAnsi="Garamond"/>
          <w:sz w:val="22"/>
          <w:szCs w:val="22"/>
        </w:rPr>
        <w:t xml:space="preserve">ummary </w:t>
      </w:r>
      <w:r w:rsidR="00C2028E" w:rsidRPr="009B3828">
        <w:rPr>
          <w:rFonts w:ascii="Garamond" w:hAnsi="Garamond"/>
          <w:sz w:val="22"/>
          <w:szCs w:val="22"/>
        </w:rPr>
        <w:t xml:space="preserve">statistics on a </w:t>
      </w:r>
      <w:r w:rsidR="001935B8">
        <w:rPr>
          <w:rFonts w:ascii="Garamond" w:hAnsi="Garamond"/>
          <w:sz w:val="22"/>
          <w:szCs w:val="22"/>
        </w:rPr>
        <w:t>three-month</w:t>
      </w:r>
      <w:r w:rsidR="001935B8" w:rsidRPr="009B3828">
        <w:rPr>
          <w:rFonts w:ascii="Garamond" w:hAnsi="Garamond"/>
          <w:sz w:val="22"/>
          <w:szCs w:val="22"/>
        </w:rPr>
        <w:t xml:space="preserve"> </w:t>
      </w:r>
      <w:r w:rsidR="00C2028E" w:rsidRPr="009B3828">
        <w:rPr>
          <w:rFonts w:ascii="Garamond" w:hAnsi="Garamond"/>
          <w:sz w:val="22"/>
          <w:szCs w:val="22"/>
        </w:rPr>
        <w:t>basis</w:t>
      </w:r>
      <w:r w:rsidR="00951A69">
        <w:rPr>
          <w:rFonts w:ascii="Garamond" w:hAnsi="Garamond"/>
          <w:sz w:val="22"/>
          <w:szCs w:val="22"/>
        </w:rPr>
        <w:t>; note</w:t>
      </w:r>
      <w:r w:rsidR="00C2028E" w:rsidRPr="009B3828">
        <w:rPr>
          <w:rFonts w:ascii="Garamond" w:hAnsi="Garamond"/>
          <w:sz w:val="22"/>
          <w:szCs w:val="22"/>
        </w:rPr>
        <w:t xml:space="preserve"> </w:t>
      </w:r>
      <w:r w:rsidR="00775C62">
        <w:rPr>
          <w:rFonts w:ascii="Garamond" w:hAnsi="Garamond"/>
          <w:sz w:val="22"/>
          <w:szCs w:val="22"/>
        </w:rPr>
        <w:t xml:space="preserve">that the </w:t>
      </w:r>
      <w:r w:rsidR="001935B8">
        <w:rPr>
          <w:rFonts w:ascii="Garamond" w:hAnsi="Garamond"/>
          <w:sz w:val="22"/>
          <w:szCs w:val="22"/>
        </w:rPr>
        <w:t>final observation</w:t>
      </w:r>
      <w:r w:rsidR="00C2028E" w:rsidRPr="009B3828">
        <w:rPr>
          <w:rFonts w:ascii="Garamond" w:hAnsi="Garamond"/>
          <w:sz w:val="22"/>
          <w:szCs w:val="22"/>
        </w:rPr>
        <w:t xml:space="preserve"> is limited to 1 January 2016 to 29 February 2016. </w:t>
      </w:r>
    </w:p>
    <w:p w14:paraId="64BB6552" w14:textId="77777777" w:rsidR="00386B68" w:rsidRDefault="00386B68" w:rsidP="009B3828">
      <w:pPr>
        <w:spacing w:line="360" w:lineRule="auto"/>
        <w:rPr>
          <w:rFonts w:ascii="Garamond" w:hAnsi="Garamond"/>
          <w:b/>
          <w:sz w:val="23"/>
          <w:szCs w:val="23"/>
        </w:rPr>
      </w:pPr>
    </w:p>
    <w:p w14:paraId="1ABBFB7D" w14:textId="63274D72" w:rsidR="00A76D46" w:rsidRDefault="00A76D46" w:rsidP="00A76D46">
      <w:pPr>
        <w:spacing w:line="360" w:lineRule="auto"/>
        <w:jc w:val="center"/>
        <w:rPr>
          <w:rFonts w:ascii="Garamond" w:hAnsi="Garamond"/>
          <w:sz w:val="23"/>
          <w:szCs w:val="23"/>
        </w:rPr>
      </w:pPr>
      <w:r>
        <w:rPr>
          <w:rFonts w:ascii="Garamond" w:hAnsi="Garamond"/>
          <w:sz w:val="23"/>
          <w:szCs w:val="23"/>
        </w:rPr>
        <w:t>&lt;&lt;&lt;Table 1 HERE&gt;&gt;</w:t>
      </w:r>
    </w:p>
    <w:p w14:paraId="0D529EC3" w14:textId="77777777" w:rsidR="00A76D46" w:rsidRDefault="00A76D46" w:rsidP="00A57B0C">
      <w:pPr>
        <w:spacing w:line="360" w:lineRule="auto"/>
        <w:rPr>
          <w:rFonts w:ascii="Garamond" w:hAnsi="Garamond"/>
          <w:sz w:val="23"/>
          <w:szCs w:val="23"/>
        </w:rPr>
      </w:pPr>
    </w:p>
    <w:p w14:paraId="0B312CCC" w14:textId="77777777" w:rsidR="00386B68" w:rsidRPr="009B3828" w:rsidRDefault="00386B68" w:rsidP="0036336A">
      <w:pPr>
        <w:spacing w:line="360" w:lineRule="auto"/>
        <w:outlineLvl w:val="0"/>
        <w:rPr>
          <w:rFonts w:ascii="Garamond" w:hAnsi="Garamond"/>
          <w:b/>
          <w:i/>
          <w:sz w:val="22"/>
          <w:szCs w:val="22"/>
        </w:rPr>
      </w:pPr>
      <w:r w:rsidRPr="009B3828">
        <w:rPr>
          <w:rFonts w:ascii="Garamond" w:hAnsi="Garamond"/>
          <w:b/>
          <w:i/>
          <w:sz w:val="22"/>
          <w:szCs w:val="22"/>
        </w:rPr>
        <w:t xml:space="preserve">Trends in bed occupancy, observed discharges and observed readmissions  </w:t>
      </w:r>
    </w:p>
    <w:p w14:paraId="57682FF7" w14:textId="0D25CBFD" w:rsidR="00DD78FB" w:rsidRPr="009B3828" w:rsidRDefault="0037310D" w:rsidP="00A57B0C">
      <w:pPr>
        <w:spacing w:line="360" w:lineRule="auto"/>
        <w:rPr>
          <w:rFonts w:ascii="Garamond" w:hAnsi="Garamond"/>
          <w:sz w:val="22"/>
          <w:szCs w:val="22"/>
        </w:rPr>
      </w:pPr>
      <w:r>
        <w:rPr>
          <w:rFonts w:ascii="Garamond" w:hAnsi="Garamond"/>
          <w:sz w:val="22"/>
          <w:szCs w:val="22"/>
        </w:rPr>
        <w:t>Across the observation period, we found an increase in the</w:t>
      </w:r>
      <w:r w:rsidRPr="009B3828">
        <w:rPr>
          <w:rFonts w:ascii="Garamond" w:hAnsi="Garamond"/>
          <w:sz w:val="22"/>
          <w:szCs w:val="22"/>
        </w:rPr>
        <w:t xml:space="preserve"> </w:t>
      </w:r>
      <w:r w:rsidR="00386B68" w:rsidRPr="009B3828">
        <w:rPr>
          <w:rFonts w:ascii="Garamond" w:hAnsi="Garamond"/>
          <w:sz w:val="22"/>
          <w:szCs w:val="22"/>
        </w:rPr>
        <w:t>bed occupancy rate from 89.</w:t>
      </w:r>
      <w:r w:rsidR="0012193C" w:rsidRPr="009B3828">
        <w:rPr>
          <w:rFonts w:ascii="Garamond" w:hAnsi="Garamond"/>
          <w:sz w:val="22"/>
          <w:szCs w:val="22"/>
        </w:rPr>
        <w:t>7</w:t>
      </w:r>
      <w:r w:rsidR="00386B68" w:rsidRPr="009B3828">
        <w:rPr>
          <w:rFonts w:ascii="Garamond" w:hAnsi="Garamond"/>
          <w:sz w:val="22"/>
          <w:szCs w:val="22"/>
        </w:rPr>
        <w:t xml:space="preserve">% in </w:t>
      </w:r>
      <w:r w:rsidR="001935B8">
        <w:rPr>
          <w:rFonts w:ascii="Garamond" w:hAnsi="Garamond"/>
          <w:sz w:val="22"/>
          <w:szCs w:val="22"/>
        </w:rPr>
        <w:t>April to June 2014</w:t>
      </w:r>
      <w:r w:rsidR="00386B68" w:rsidRPr="009B3828">
        <w:rPr>
          <w:rFonts w:ascii="Garamond" w:hAnsi="Garamond"/>
          <w:sz w:val="22"/>
          <w:szCs w:val="22"/>
        </w:rPr>
        <w:t xml:space="preserve"> (range</w:t>
      </w:r>
      <w:r w:rsidR="0012193C" w:rsidRPr="009B3828">
        <w:rPr>
          <w:rFonts w:ascii="Garamond" w:hAnsi="Garamond"/>
          <w:sz w:val="22"/>
          <w:szCs w:val="22"/>
        </w:rPr>
        <w:t xml:space="preserve"> 60</w:t>
      </w:r>
      <w:r w:rsidR="00386B68" w:rsidRPr="009B3828">
        <w:rPr>
          <w:rFonts w:ascii="Garamond" w:hAnsi="Garamond"/>
          <w:sz w:val="22"/>
          <w:szCs w:val="22"/>
        </w:rPr>
        <w:t>.</w:t>
      </w:r>
      <w:r w:rsidR="0012193C" w:rsidRPr="009B3828">
        <w:rPr>
          <w:rFonts w:ascii="Garamond" w:hAnsi="Garamond"/>
          <w:sz w:val="22"/>
          <w:szCs w:val="22"/>
        </w:rPr>
        <w:t>9</w:t>
      </w:r>
      <w:r w:rsidR="00386B68" w:rsidRPr="009B3828">
        <w:rPr>
          <w:rFonts w:ascii="Garamond" w:hAnsi="Garamond"/>
          <w:sz w:val="22"/>
          <w:szCs w:val="22"/>
        </w:rPr>
        <w:t xml:space="preserve">% to 100.0%) to </w:t>
      </w:r>
      <w:r w:rsidR="0012193C" w:rsidRPr="009B3828">
        <w:rPr>
          <w:rFonts w:ascii="Garamond" w:hAnsi="Garamond"/>
          <w:sz w:val="22"/>
          <w:szCs w:val="22"/>
        </w:rPr>
        <w:t>91</w:t>
      </w:r>
      <w:r w:rsidR="00386B68" w:rsidRPr="009B3828">
        <w:rPr>
          <w:rFonts w:ascii="Garamond" w:hAnsi="Garamond"/>
          <w:sz w:val="22"/>
          <w:szCs w:val="22"/>
        </w:rPr>
        <w:t>.</w:t>
      </w:r>
      <w:r w:rsidR="006713ED">
        <w:rPr>
          <w:rFonts w:ascii="Garamond" w:hAnsi="Garamond"/>
          <w:sz w:val="22"/>
          <w:szCs w:val="22"/>
        </w:rPr>
        <w:t>8</w:t>
      </w:r>
      <w:r w:rsidR="00386B68" w:rsidRPr="009B3828">
        <w:rPr>
          <w:rFonts w:ascii="Garamond" w:hAnsi="Garamond"/>
          <w:sz w:val="22"/>
          <w:szCs w:val="22"/>
        </w:rPr>
        <w:t xml:space="preserve">% in </w:t>
      </w:r>
      <w:r w:rsidR="00CB3D66">
        <w:rPr>
          <w:rFonts w:ascii="Garamond" w:hAnsi="Garamond"/>
          <w:sz w:val="22"/>
          <w:szCs w:val="22"/>
        </w:rPr>
        <w:t>January and February 2016</w:t>
      </w:r>
      <w:r w:rsidR="00386B68" w:rsidRPr="009B3828">
        <w:rPr>
          <w:rFonts w:ascii="Garamond" w:hAnsi="Garamond"/>
          <w:sz w:val="22"/>
          <w:szCs w:val="22"/>
        </w:rPr>
        <w:t xml:space="preserve"> (range</w:t>
      </w:r>
      <w:r w:rsidR="0012193C" w:rsidRPr="009B3828">
        <w:rPr>
          <w:rFonts w:ascii="Garamond" w:hAnsi="Garamond"/>
          <w:sz w:val="22"/>
          <w:szCs w:val="22"/>
        </w:rPr>
        <w:t xml:space="preserve"> 67.7</w:t>
      </w:r>
      <w:r w:rsidR="00386B68" w:rsidRPr="009B3828">
        <w:rPr>
          <w:rFonts w:ascii="Garamond" w:hAnsi="Garamond"/>
          <w:sz w:val="22"/>
          <w:szCs w:val="22"/>
        </w:rPr>
        <w:t xml:space="preserve">% to 100.0%). </w:t>
      </w:r>
      <w:r>
        <w:rPr>
          <w:rFonts w:ascii="Garamond" w:hAnsi="Garamond"/>
          <w:sz w:val="22"/>
          <w:szCs w:val="22"/>
        </w:rPr>
        <w:t xml:space="preserve">Similarly, the average percentage of patients discharged per day increased </w:t>
      </w:r>
      <w:r w:rsidR="00FC1674">
        <w:rPr>
          <w:rFonts w:ascii="Garamond" w:hAnsi="Garamond"/>
          <w:sz w:val="22"/>
          <w:szCs w:val="22"/>
        </w:rPr>
        <w:t xml:space="preserve">over this time period </w:t>
      </w:r>
      <w:r>
        <w:rPr>
          <w:rFonts w:ascii="Garamond" w:hAnsi="Garamond"/>
          <w:sz w:val="22"/>
          <w:szCs w:val="22"/>
        </w:rPr>
        <w:t xml:space="preserve">from </w:t>
      </w:r>
      <w:r w:rsidRPr="009B3828">
        <w:rPr>
          <w:rFonts w:ascii="Garamond" w:hAnsi="Garamond"/>
          <w:sz w:val="22"/>
          <w:szCs w:val="22"/>
        </w:rPr>
        <w:t>1</w:t>
      </w:r>
      <w:r w:rsidR="006713ED">
        <w:rPr>
          <w:rFonts w:ascii="Garamond" w:hAnsi="Garamond"/>
          <w:sz w:val="22"/>
          <w:szCs w:val="22"/>
        </w:rPr>
        <w:t>5</w:t>
      </w:r>
      <w:r w:rsidRPr="009B3828">
        <w:rPr>
          <w:rFonts w:ascii="Garamond" w:hAnsi="Garamond"/>
          <w:sz w:val="22"/>
          <w:szCs w:val="22"/>
        </w:rPr>
        <w:t>.</w:t>
      </w:r>
      <w:r w:rsidR="006713ED">
        <w:rPr>
          <w:rFonts w:ascii="Garamond" w:hAnsi="Garamond"/>
          <w:sz w:val="22"/>
          <w:szCs w:val="22"/>
        </w:rPr>
        <w:t>0</w:t>
      </w:r>
      <w:r w:rsidRPr="009B3828">
        <w:rPr>
          <w:rFonts w:ascii="Garamond" w:hAnsi="Garamond"/>
          <w:sz w:val="22"/>
          <w:szCs w:val="22"/>
        </w:rPr>
        <w:t>% (range 2.0% to 31.0%) to 1</w:t>
      </w:r>
      <w:r w:rsidR="001A227B">
        <w:rPr>
          <w:rFonts w:ascii="Garamond" w:hAnsi="Garamond"/>
          <w:sz w:val="22"/>
          <w:szCs w:val="22"/>
        </w:rPr>
        <w:t>6</w:t>
      </w:r>
      <w:r w:rsidRPr="009B3828">
        <w:rPr>
          <w:rFonts w:ascii="Garamond" w:hAnsi="Garamond"/>
          <w:sz w:val="22"/>
          <w:szCs w:val="22"/>
        </w:rPr>
        <w:t>.</w:t>
      </w:r>
      <w:r w:rsidR="006713ED">
        <w:rPr>
          <w:rFonts w:ascii="Garamond" w:hAnsi="Garamond"/>
          <w:sz w:val="22"/>
          <w:szCs w:val="22"/>
        </w:rPr>
        <w:t>3</w:t>
      </w:r>
      <w:r w:rsidRPr="009B3828">
        <w:rPr>
          <w:rFonts w:ascii="Garamond" w:hAnsi="Garamond"/>
          <w:sz w:val="22"/>
          <w:szCs w:val="22"/>
        </w:rPr>
        <w:t xml:space="preserve">% (range 3.0% to </w:t>
      </w:r>
      <w:r>
        <w:rPr>
          <w:rFonts w:ascii="Garamond" w:hAnsi="Garamond"/>
          <w:sz w:val="22"/>
          <w:szCs w:val="22"/>
        </w:rPr>
        <w:t>31</w:t>
      </w:r>
      <w:r w:rsidRPr="009B3828">
        <w:rPr>
          <w:rFonts w:ascii="Garamond" w:hAnsi="Garamond"/>
          <w:sz w:val="22"/>
          <w:szCs w:val="22"/>
        </w:rPr>
        <w:t>.0%)</w:t>
      </w:r>
      <w:r>
        <w:rPr>
          <w:rFonts w:ascii="Garamond" w:hAnsi="Garamond"/>
          <w:sz w:val="22"/>
          <w:szCs w:val="22"/>
        </w:rPr>
        <w:t xml:space="preserve">, </w:t>
      </w:r>
      <w:r w:rsidR="000A4474">
        <w:rPr>
          <w:rFonts w:ascii="Garamond" w:hAnsi="Garamond"/>
          <w:sz w:val="22"/>
          <w:szCs w:val="22"/>
        </w:rPr>
        <w:t>whereas</w:t>
      </w:r>
      <w:r w:rsidR="0024372E">
        <w:rPr>
          <w:rFonts w:ascii="Garamond" w:hAnsi="Garamond"/>
          <w:sz w:val="22"/>
          <w:szCs w:val="22"/>
        </w:rPr>
        <w:t xml:space="preserve"> </w:t>
      </w:r>
      <w:r>
        <w:rPr>
          <w:rFonts w:ascii="Garamond" w:hAnsi="Garamond"/>
          <w:sz w:val="22"/>
          <w:szCs w:val="22"/>
        </w:rPr>
        <w:t xml:space="preserve">the percentage of patient readmitted within 30 days decreased from </w:t>
      </w:r>
      <w:r w:rsidRPr="009B3828">
        <w:rPr>
          <w:rFonts w:ascii="Garamond" w:hAnsi="Garamond"/>
          <w:sz w:val="22"/>
          <w:szCs w:val="22"/>
        </w:rPr>
        <w:t>13.</w:t>
      </w:r>
      <w:r w:rsidR="006713ED">
        <w:rPr>
          <w:rFonts w:ascii="Garamond" w:hAnsi="Garamond"/>
          <w:sz w:val="22"/>
          <w:szCs w:val="22"/>
        </w:rPr>
        <w:t>3</w:t>
      </w:r>
      <w:r w:rsidRPr="009B3828">
        <w:rPr>
          <w:rFonts w:ascii="Garamond" w:hAnsi="Garamond"/>
          <w:sz w:val="22"/>
          <w:szCs w:val="22"/>
        </w:rPr>
        <w:t>% (range 0.0% to 29.0%) to 12.</w:t>
      </w:r>
      <w:r w:rsidR="006713ED">
        <w:rPr>
          <w:rFonts w:ascii="Garamond" w:hAnsi="Garamond"/>
          <w:sz w:val="22"/>
          <w:szCs w:val="22"/>
        </w:rPr>
        <w:t>5</w:t>
      </w:r>
      <w:r w:rsidRPr="009B3828">
        <w:rPr>
          <w:rFonts w:ascii="Garamond" w:hAnsi="Garamond"/>
          <w:sz w:val="22"/>
          <w:szCs w:val="22"/>
        </w:rPr>
        <w:t>% (range 0.0% to 29.0%).</w:t>
      </w:r>
    </w:p>
    <w:p w14:paraId="23F8D859" w14:textId="77777777" w:rsidR="0065518E" w:rsidRPr="009B3828" w:rsidRDefault="0065518E" w:rsidP="00A57B0C">
      <w:pPr>
        <w:spacing w:line="360" w:lineRule="auto"/>
        <w:rPr>
          <w:rFonts w:ascii="Garamond" w:hAnsi="Garamond"/>
          <w:sz w:val="22"/>
          <w:szCs w:val="22"/>
        </w:rPr>
      </w:pPr>
    </w:p>
    <w:p w14:paraId="1CF0DAC5" w14:textId="77777777" w:rsidR="00A57B0C" w:rsidRPr="009B3828" w:rsidRDefault="00A57B0C" w:rsidP="0036336A">
      <w:pPr>
        <w:spacing w:line="360" w:lineRule="auto"/>
        <w:outlineLvl w:val="0"/>
        <w:rPr>
          <w:rFonts w:ascii="Garamond" w:hAnsi="Garamond"/>
          <w:b/>
          <w:i/>
          <w:sz w:val="22"/>
          <w:szCs w:val="22"/>
        </w:rPr>
      </w:pPr>
      <w:r w:rsidRPr="009B3828">
        <w:rPr>
          <w:rFonts w:ascii="Garamond" w:hAnsi="Garamond"/>
          <w:b/>
          <w:i/>
          <w:sz w:val="22"/>
          <w:szCs w:val="22"/>
        </w:rPr>
        <w:t xml:space="preserve">Panel data models </w:t>
      </w:r>
    </w:p>
    <w:p w14:paraId="5F058078" w14:textId="54274810" w:rsidR="00A57B0C" w:rsidRPr="009B3828" w:rsidRDefault="00A57B0C" w:rsidP="00A57B0C">
      <w:pPr>
        <w:spacing w:line="360" w:lineRule="auto"/>
        <w:rPr>
          <w:rFonts w:ascii="Garamond" w:hAnsi="Garamond"/>
          <w:sz w:val="22"/>
          <w:szCs w:val="22"/>
        </w:rPr>
      </w:pPr>
      <w:r w:rsidRPr="009B3828">
        <w:rPr>
          <w:rFonts w:ascii="Garamond" w:hAnsi="Garamond"/>
          <w:sz w:val="22"/>
          <w:szCs w:val="22"/>
        </w:rPr>
        <w:t xml:space="preserve">We estimated that, for each one-per-cent increase in the overnight bed occupancy rate, the patients who had been in hospital overnight saw their probability of discharge increase by </w:t>
      </w:r>
      <w:r w:rsidR="00EC5DB8">
        <w:rPr>
          <w:rFonts w:ascii="Garamond" w:hAnsi="Garamond"/>
          <w:sz w:val="22"/>
          <w:szCs w:val="22"/>
        </w:rPr>
        <w:t xml:space="preserve">an absolute </w:t>
      </w:r>
      <w:r w:rsidRPr="009B3828">
        <w:rPr>
          <w:rFonts w:ascii="Garamond" w:hAnsi="Garamond"/>
          <w:sz w:val="22"/>
          <w:szCs w:val="22"/>
        </w:rPr>
        <w:t>0.4</w:t>
      </w:r>
      <w:r w:rsidR="000D0588">
        <w:rPr>
          <w:rFonts w:ascii="Garamond" w:hAnsi="Garamond"/>
          <w:sz w:val="22"/>
          <w:szCs w:val="22"/>
        </w:rPr>
        <w:t>9</w:t>
      </w:r>
      <w:r w:rsidR="00951A69">
        <w:rPr>
          <w:rFonts w:ascii="Garamond" w:hAnsi="Garamond"/>
          <w:sz w:val="22"/>
          <w:szCs w:val="22"/>
        </w:rPr>
        <w:t xml:space="preserve"> percentage points </w:t>
      </w:r>
      <w:r w:rsidRPr="009B3828">
        <w:rPr>
          <w:rFonts w:ascii="Garamond" w:hAnsi="Garamond"/>
          <w:sz w:val="22"/>
          <w:szCs w:val="22"/>
        </w:rPr>
        <w:t>(95% CI, 0.4</w:t>
      </w:r>
      <w:r w:rsidR="000D0588">
        <w:rPr>
          <w:rFonts w:ascii="Garamond" w:hAnsi="Garamond"/>
          <w:sz w:val="22"/>
          <w:szCs w:val="22"/>
        </w:rPr>
        <w:t>8</w:t>
      </w:r>
      <w:r w:rsidRPr="009B3828">
        <w:rPr>
          <w:rFonts w:ascii="Garamond" w:hAnsi="Garamond"/>
          <w:sz w:val="22"/>
          <w:szCs w:val="22"/>
        </w:rPr>
        <w:t>% to 0.</w:t>
      </w:r>
      <w:r w:rsidR="000D0588">
        <w:rPr>
          <w:rFonts w:ascii="Garamond" w:hAnsi="Garamond"/>
          <w:sz w:val="22"/>
          <w:szCs w:val="22"/>
        </w:rPr>
        <w:t>50</w:t>
      </w:r>
      <w:r w:rsidRPr="009B3828">
        <w:rPr>
          <w:rFonts w:ascii="Garamond" w:hAnsi="Garamond"/>
          <w:sz w:val="22"/>
          <w:szCs w:val="22"/>
        </w:rPr>
        <w:t xml:space="preserve">%). Therefore, not only </w:t>
      </w:r>
      <w:r w:rsidR="007A722F" w:rsidRPr="009B3828">
        <w:rPr>
          <w:rFonts w:ascii="Garamond" w:hAnsi="Garamond"/>
          <w:sz w:val="22"/>
          <w:szCs w:val="22"/>
        </w:rPr>
        <w:t xml:space="preserve">did </w:t>
      </w:r>
      <w:r w:rsidRPr="009B3828">
        <w:rPr>
          <w:rFonts w:ascii="Garamond" w:hAnsi="Garamond"/>
          <w:sz w:val="22"/>
          <w:szCs w:val="22"/>
        </w:rPr>
        <w:t xml:space="preserve">the absolute number of discharges increase </w:t>
      </w:r>
      <w:r w:rsidR="007A722F" w:rsidRPr="009B3828">
        <w:rPr>
          <w:rFonts w:ascii="Garamond" w:hAnsi="Garamond"/>
          <w:sz w:val="22"/>
          <w:szCs w:val="22"/>
        </w:rPr>
        <w:t>when a greater number of hospital beds are occupied</w:t>
      </w:r>
      <w:r w:rsidRPr="009B3828">
        <w:rPr>
          <w:rFonts w:ascii="Garamond" w:hAnsi="Garamond"/>
          <w:sz w:val="22"/>
          <w:szCs w:val="22"/>
        </w:rPr>
        <w:t xml:space="preserve">, </w:t>
      </w:r>
      <w:r w:rsidR="007A722F" w:rsidRPr="009B3828">
        <w:rPr>
          <w:rFonts w:ascii="Garamond" w:hAnsi="Garamond"/>
          <w:sz w:val="22"/>
          <w:szCs w:val="22"/>
        </w:rPr>
        <w:t xml:space="preserve">but also individual </w:t>
      </w:r>
      <w:r w:rsidRPr="009B3828">
        <w:rPr>
          <w:rFonts w:ascii="Garamond" w:hAnsi="Garamond"/>
          <w:sz w:val="22"/>
          <w:szCs w:val="22"/>
        </w:rPr>
        <w:t>patients were more likely to be discharged.</w:t>
      </w:r>
    </w:p>
    <w:p w14:paraId="711E71AE" w14:textId="77777777" w:rsidR="00A57B0C" w:rsidRPr="009B3828" w:rsidRDefault="00A57B0C" w:rsidP="00A57B0C">
      <w:pPr>
        <w:spacing w:line="360" w:lineRule="auto"/>
        <w:rPr>
          <w:rFonts w:ascii="Garamond" w:hAnsi="Garamond"/>
          <w:sz w:val="22"/>
          <w:szCs w:val="22"/>
        </w:rPr>
      </w:pPr>
    </w:p>
    <w:p w14:paraId="37FC043E" w14:textId="3B482992" w:rsidR="00A57B0C" w:rsidRPr="009B3828" w:rsidRDefault="00A57B0C" w:rsidP="00A57B0C">
      <w:pPr>
        <w:spacing w:line="360" w:lineRule="auto"/>
        <w:rPr>
          <w:rFonts w:ascii="Garamond" w:hAnsi="Garamond"/>
          <w:sz w:val="22"/>
          <w:szCs w:val="22"/>
        </w:rPr>
      </w:pPr>
      <w:r w:rsidRPr="009B3828">
        <w:rPr>
          <w:rFonts w:ascii="Garamond" w:hAnsi="Garamond"/>
          <w:sz w:val="22"/>
          <w:szCs w:val="22"/>
        </w:rPr>
        <w:lastRenderedPageBreak/>
        <w:t xml:space="preserve">Patients who </w:t>
      </w:r>
      <w:r w:rsidR="007A722F" w:rsidRPr="009B3828">
        <w:rPr>
          <w:rFonts w:ascii="Garamond" w:hAnsi="Garamond"/>
          <w:sz w:val="22"/>
          <w:szCs w:val="22"/>
        </w:rPr>
        <w:t xml:space="preserve">were </w:t>
      </w:r>
      <w:r w:rsidRPr="009B3828">
        <w:rPr>
          <w:rFonts w:ascii="Garamond" w:hAnsi="Garamond"/>
          <w:sz w:val="22"/>
          <w:szCs w:val="22"/>
        </w:rPr>
        <w:t xml:space="preserve">discharged following nights with a high bed occupancy rate were more likely to be readmitted in the subsequent 30-day period. </w:t>
      </w:r>
      <w:r w:rsidR="00B850FB">
        <w:rPr>
          <w:rFonts w:ascii="Garamond" w:hAnsi="Garamond"/>
          <w:sz w:val="22"/>
          <w:szCs w:val="22"/>
        </w:rPr>
        <w:t>We</w:t>
      </w:r>
      <w:r w:rsidRPr="009B3828">
        <w:rPr>
          <w:rFonts w:ascii="Garamond" w:hAnsi="Garamond"/>
          <w:sz w:val="22"/>
          <w:szCs w:val="22"/>
        </w:rPr>
        <w:t xml:space="preserve"> estimated that each one-per-cent increase in the overnight bed occupancy rate was associated with a 0.0</w:t>
      </w:r>
      <w:r w:rsidR="000D0588">
        <w:rPr>
          <w:rFonts w:ascii="Garamond" w:hAnsi="Garamond"/>
          <w:sz w:val="22"/>
          <w:szCs w:val="22"/>
        </w:rPr>
        <w:t>11</w:t>
      </w:r>
      <w:r w:rsidRPr="009B3828">
        <w:rPr>
          <w:rFonts w:ascii="Garamond" w:hAnsi="Garamond"/>
          <w:sz w:val="22"/>
          <w:szCs w:val="22"/>
        </w:rPr>
        <w:t>% (95% CI, 0.00</w:t>
      </w:r>
      <w:r w:rsidR="000D0588">
        <w:rPr>
          <w:rFonts w:ascii="Garamond" w:hAnsi="Garamond"/>
          <w:sz w:val="22"/>
          <w:szCs w:val="22"/>
        </w:rPr>
        <w:t>3</w:t>
      </w:r>
      <w:r w:rsidRPr="009B3828">
        <w:rPr>
          <w:rFonts w:ascii="Garamond" w:hAnsi="Garamond"/>
          <w:sz w:val="22"/>
          <w:szCs w:val="22"/>
        </w:rPr>
        <w:t>% to 0.01</w:t>
      </w:r>
      <w:r w:rsidR="000D0588">
        <w:rPr>
          <w:rFonts w:ascii="Garamond" w:hAnsi="Garamond"/>
          <w:sz w:val="22"/>
          <w:szCs w:val="22"/>
        </w:rPr>
        <w:t>9</w:t>
      </w:r>
      <w:r w:rsidRPr="009B3828">
        <w:rPr>
          <w:rFonts w:ascii="Garamond" w:hAnsi="Garamond"/>
          <w:sz w:val="22"/>
          <w:szCs w:val="22"/>
        </w:rPr>
        <w:t>%) increase in risk-adjusted 30-day readmission risk for the patients who were subsequently discharged. Our findings were robust to chang</w:t>
      </w:r>
      <w:r w:rsidR="003A0121">
        <w:rPr>
          <w:rFonts w:ascii="Garamond" w:hAnsi="Garamond"/>
          <w:sz w:val="22"/>
          <w:szCs w:val="22"/>
        </w:rPr>
        <w:t>es</w:t>
      </w:r>
      <w:r w:rsidRPr="009B3828">
        <w:rPr>
          <w:rFonts w:ascii="Garamond" w:hAnsi="Garamond"/>
          <w:sz w:val="22"/>
          <w:szCs w:val="22"/>
        </w:rPr>
        <w:t xml:space="preserve"> </w:t>
      </w:r>
      <w:r w:rsidR="003A0121">
        <w:rPr>
          <w:rFonts w:ascii="Garamond" w:hAnsi="Garamond"/>
          <w:sz w:val="22"/>
          <w:szCs w:val="22"/>
        </w:rPr>
        <w:t>in</w:t>
      </w:r>
      <w:r w:rsidR="003A0121" w:rsidRPr="009B3828">
        <w:rPr>
          <w:rFonts w:ascii="Garamond" w:hAnsi="Garamond"/>
          <w:sz w:val="22"/>
          <w:szCs w:val="22"/>
        </w:rPr>
        <w:t xml:space="preserve"> </w:t>
      </w:r>
      <w:r w:rsidRPr="009B3828">
        <w:rPr>
          <w:rFonts w:ascii="Garamond" w:hAnsi="Garamond"/>
          <w:sz w:val="22"/>
          <w:szCs w:val="22"/>
        </w:rPr>
        <w:t xml:space="preserve">method to use a panel that comprised only trusts with </w:t>
      </w:r>
      <w:r w:rsidR="00775C62">
        <w:rPr>
          <w:rFonts w:ascii="Garamond" w:hAnsi="Garamond"/>
          <w:sz w:val="22"/>
          <w:szCs w:val="22"/>
        </w:rPr>
        <w:t xml:space="preserve">complete </w:t>
      </w:r>
      <w:r w:rsidRPr="009B3828">
        <w:rPr>
          <w:rFonts w:ascii="Garamond" w:hAnsi="Garamond"/>
          <w:sz w:val="22"/>
          <w:szCs w:val="22"/>
        </w:rPr>
        <w:t>information for each day across the study period (see Appendix A).</w:t>
      </w:r>
    </w:p>
    <w:p w14:paraId="550EA40F" w14:textId="77777777" w:rsidR="00022A47" w:rsidRDefault="00022A47" w:rsidP="00A57B0C">
      <w:pPr>
        <w:spacing w:line="360" w:lineRule="auto"/>
        <w:rPr>
          <w:rFonts w:ascii="Garamond" w:hAnsi="Garamond"/>
          <w:sz w:val="22"/>
          <w:szCs w:val="22"/>
        </w:rPr>
      </w:pPr>
    </w:p>
    <w:p w14:paraId="6D866264" w14:textId="28CEEB83" w:rsidR="00CB53DE" w:rsidRPr="009B3828" w:rsidRDefault="00CB53DE" w:rsidP="0036336A">
      <w:pPr>
        <w:spacing w:line="360" w:lineRule="auto"/>
        <w:outlineLvl w:val="0"/>
        <w:rPr>
          <w:rFonts w:ascii="Garamond" w:hAnsi="Garamond"/>
          <w:sz w:val="22"/>
          <w:szCs w:val="22"/>
        </w:rPr>
      </w:pPr>
      <w:r w:rsidRPr="009B3828">
        <w:rPr>
          <w:rFonts w:ascii="Garamond" w:hAnsi="Garamond"/>
          <w:b/>
          <w:i/>
          <w:sz w:val="22"/>
          <w:szCs w:val="22"/>
        </w:rPr>
        <w:t xml:space="preserve">Dose-response curves </w:t>
      </w:r>
    </w:p>
    <w:p w14:paraId="17B9954B" w14:textId="09218903" w:rsidR="007A722F" w:rsidRPr="009B3828" w:rsidRDefault="007A722F" w:rsidP="007A722F">
      <w:pPr>
        <w:spacing w:line="360" w:lineRule="auto"/>
        <w:rPr>
          <w:rFonts w:ascii="Garamond" w:hAnsi="Garamond"/>
          <w:sz w:val="22"/>
          <w:szCs w:val="22"/>
        </w:rPr>
      </w:pPr>
      <w:r w:rsidRPr="009B3828">
        <w:rPr>
          <w:rFonts w:ascii="Garamond" w:hAnsi="Garamond"/>
          <w:sz w:val="22"/>
          <w:szCs w:val="22"/>
        </w:rPr>
        <w:t xml:space="preserve">Figure 1 depicts the dose-response curves. </w:t>
      </w:r>
      <w:r w:rsidR="00A20B29">
        <w:rPr>
          <w:rFonts w:ascii="Garamond" w:hAnsi="Garamond"/>
          <w:sz w:val="22"/>
          <w:szCs w:val="22"/>
        </w:rPr>
        <w:t>The strength of the relationship between d</w:t>
      </w:r>
      <w:r w:rsidRPr="009B3828">
        <w:rPr>
          <w:rFonts w:ascii="Garamond" w:hAnsi="Garamond"/>
          <w:sz w:val="22"/>
          <w:szCs w:val="22"/>
        </w:rPr>
        <w:t>ischarge rates</w:t>
      </w:r>
      <w:r w:rsidR="00A20B29">
        <w:rPr>
          <w:rFonts w:ascii="Garamond" w:hAnsi="Garamond"/>
          <w:sz w:val="22"/>
          <w:szCs w:val="22"/>
        </w:rPr>
        <w:t xml:space="preserve"> and bed occupancy diminished as bed occupancy increased</w:t>
      </w:r>
      <w:r w:rsidR="0085037F">
        <w:rPr>
          <w:rFonts w:ascii="Garamond" w:hAnsi="Garamond"/>
          <w:sz w:val="22"/>
          <w:szCs w:val="22"/>
        </w:rPr>
        <w:t>.</w:t>
      </w:r>
      <w:r w:rsidR="003E1E0C">
        <w:rPr>
          <w:rFonts w:ascii="Garamond" w:hAnsi="Garamond"/>
          <w:sz w:val="22"/>
          <w:szCs w:val="22"/>
        </w:rPr>
        <w:t xml:space="preserve"> </w:t>
      </w:r>
      <w:r w:rsidR="00A20B29">
        <w:rPr>
          <w:rFonts w:ascii="Garamond" w:hAnsi="Garamond"/>
          <w:sz w:val="22"/>
          <w:szCs w:val="22"/>
        </w:rPr>
        <w:t xml:space="preserve">In contrast, </w:t>
      </w:r>
      <w:r w:rsidRPr="009B3828">
        <w:rPr>
          <w:rFonts w:ascii="Garamond" w:hAnsi="Garamond"/>
          <w:sz w:val="22"/>
          <w:szCs w:val="22"/>
        </w:rPr>
        <w:t xml:space="preserve">readmission rates </w:t>
      </w:r>
      <w:r w:rsidR="00A20B29">
        <w:rPr>
          <w:rFonts w:ascii="Garamond" w:hAnsi="Garamond"/>
          <w:sz w:val="22"/>
          <w:szCs w:val="22"/>
        </w:rPr>
        <w:t>increased more quickly once</w:t>
      </w:r>
      <w:r w:rsidRPr="009B3828">
        <w:rPr>
          <w:rFonts w:ascii="Garamond" w:hAnsi="Garamond"/>
          <w:sz w:val="22"/>
          <w:szCs w:val="22"/>
        </w:rPr>
        <w:t xml:space="preserve"> bed occupancy </w:t>
      </w:r>
      <w:r w:rsidR="00A20B29">
        <w:rPr>
          <w:rFonts w:ascii="Garamond" w:hAnsi="Garamond"/>
          <w:sz w:val="22"/>
          <w:szCs w:val="22"/>
        </w:rPr>
        <w:t>exceeded around</w:t>
      </w:r>
      <w:r w:rsidRPr="009B3828">
        <w:rPr>
          <w:rFonts w:ascii="Garamond" w:hAnsi="Garamond"/>
          <w:sz w:val="22"/>
          <w:szCs w:val="22"/>
        </w:rPr>
        <w:t xml:space="preserve"> 80%.</w:t>
      </w:r>
    </w:p>
    <w:p w14:paraId="0977DA19" w14:textId="77777777" w:rsidR="00CB53DE" w:rsidRPr="009B3828" w:rsidRDefault="00CB53DE" w:rsidP="007A722F">
      <w:pPr>
        <w:spacing w:line="360" w:lineRule="auto"/>
        <w:rPr>
          <w:rFonts w:ascii="Garamond" w:hAnsi="Garamond"/>
          <w:sz w:val="22"/>
          <w:szCs w:val="22"/>
        </w:rPr>
      </w:pPr>
    </w:p>
    <w:p w14:paraId="1C732C51" w14:textId="1AA1BD6F" w:rsidR="00CB53DE" w:rsidRPr="009B3828" w:rsidRDefault="00CB53DE" w:rsidP="00CB53DE">
      <w:pPr>
        <w:spacing w:line="360" w:lineRule="auto"/>
        <w:rPr>
          <w:rFonts w:ascii="Garamond" w:hAnsi="Garamond"/>
          <w:sz w:val="22"/>
          <w:szCs w:val="22"/>
        </w:rPr>
      </w:pPr>
      <w:r w:rsidRPr="009B3828">
        <w:rPr>
          <w:rFonts w:ascii="Garamond" w:hAnsi="Garamond"/>
          <w:sz w:val="22"/>
          <w:szCs w:val="22"/>
        </w:rPr>
        <w:t xml:space="preserve">When we </w:t>
      </w:r>
      <w:r w:rsidR="0017738B" w:rsidRPr="009B3828">
        <w:rPr>
          <w:rFonts w:ascii="Garamond" w:hAnsi="Garamond"/>
          <w:sz w:val="22"/>
          <w:szCs w:val="22"/>
        </w:rPr>
        <w:t>re</w:t>
      </w:r>
      <w:r w:rsidRPr="009B3828">
        <w:rPr>
          <w:rFonts w:ascii="Garamond" w:hAnsi="Garamond"/>
          <w:sz w:val="22"/>
          <w:szCs w:val="22"/>
        </w:rPr>
        <w:t>-analysed d</w:t>
      </w:r>
      <w:r w:rsidR="0017738B" w:rsidRPr="009B3828">
        <w:rPr>
          <w:rFonts w:ascii="Garamond" w:hAnsi="Garamond"/>
          <w:sz w:val="22"/>
          <w:szCs w:val="22"/>
        </w:rPr>
        <w:t>ata for a restricted sample of t</w:t>
      </w:r>
      <w:r w:rsidRPr="009B3828">
        <w:rPr>
          <w:rFonts w:ascii="Garamond" w:hAnsi="Garamond"/>
          <w:sz w:val="22"/>
          <w:szCs w:val="22"/>
        </w:rPr>
        <w:t>rusts and days that had a mi</w:t>
      </w:r>
      <w:r w:rsidR="000D0588">
        <w:rPr>
          <w:rFonts w:ascii="Garamond" w:hAnsi="Garamond"/>
          <w:sz w:val="22"/>
          <w:szCs w:val="22"/>
        </w:rPr>
        <w:t>nimum bed occupancy rate of 94.4</w:t>
      </w:r>
      <w:r w:rsidRPr="009B3828">
        <w:rPr>
          <w:rFonts w:ascii="Garamond" w:hAnsi="Garamond"/>
          <w:sz w:val="22"/>
          <w:szCs w:val="22"/>
        </w:rPr>
        <w:t>%, we found that any additional absolute one per cent increase in bed occupancy associated with a 0.</w:t>
      </w:r>
      <w:r w:rsidR="000D0588">
        <w:rPr>
          <w:rFonts w:ascii="Garamond" w:hAnsi="Garamond"/>
          <w:sz w:val="22"/>
          <w:szCs w:val="22"/>
        </w:rPr>
        <w:t>50</w:t>
      </w:r>
      <w:r w:rsidRPr="009B3828">
        <w:rPr>
          <w:rFonts w:ascii="Garamond" w:hAnsi="Garamond"/>
          <w:sz w:val="22"/>
          <w:szCs w:val="22"/>
        </w:rPr>
        <w:t>% (95% CI, 0.</w:t>
      </w:r>
      <w:r w:rsidR="000D0588">
        <w:rPr>
          <w:rFonts w:ascii="Garamond" w:hAnsi="Garamond"/>
          <w:sz w:val="22"/>
          <w:szCs w:val="22"/>
        </w:rPr>
        <w:t>45</w:t>
      </w:r>
      <w:r w:rsidRPr="009B3828">
        <w:rPr>
          <w:rFonts w:ascii="Garamond" w:hAnsi="Garamond"/>
          <w:sz w:val="22"/>
          <w:szCs w:val="22"/>
        </w:rPr>
        <w:t>% to 0.5</w:t>
      </w:r>
      <w:r w:rsidR="000D0588">
        <w:rPr>
          <w:rFonts w:ascii="Garamond" w:hAnsi="Garamond"/>
          <w:sz w:val="22"/>
          <w:szCs w:val="22"/>
        </w:rPr>
        <w:t>6</w:t>
      </w:r>
      <w:r w:rsidRPr="009B3828">
        <w:rPr>
          <w:rFonts w:ascii="Garamond" w:hAnsi="Garamond"/>
          <w:sz w:val="22"/>
          <w:szCs w:val="22"/>
        </w:rPr>
        <w:t>%) increase in discharge rates, and a 0.04% (95% CI, 0.0</w:t>
      </w:r>
      <w:r w:rsidR="000D0588">
        <w:rPr>
          <w:rFonts w:ascii="Garamond" w:hAnsi="Garamond"/>
          <w:sz w:val="22"/>
          <w:szCs w:val="22"/>
        </w:rPr>
        <w:t>0</w:t>
      </w:r>
      <w:r w:rsidRPr="009B3828">
        <w:rPr>
          <w:rFonts w:ascii="Garamond" w:hAnsi="Garamond"/>
          <w:sz w:val="22"/>
          <w:szCs w:val="22"/>
        </w:rPr>
        <w:t>3% to 0.0</w:t>
      </w:r>
      <w:r w:rsidR="000D0588">
        <w:rPr>
          <w:rFonts w:ascii="Garamond" w:hAnsi="Garamond"/>
          <w:sz w:val="22"/>
          <w:szCs w:val="22"/>
        </w:rPr>
        <w:t>76</w:t>
      </w:r>
      <w:r w:rsidRPr="009B3828">
        <w:rPr>
          <w:rFonts w:ascii="Garamond" w:hAnsi="Garamond"/>
          <w:sz w:val="22"/>
          <w:szCs w:val="22"/>
        </w:rPr>
        <w:t>%) increase in the readmission rates for discharged patients.</w:t>
      </w:r>
    </w:p>
    <w:p w14:paraId="176DEB4B" w14:textId="77777777" w:rsidR="00A76D46" w:rsidRDefault="00A76D46" w:rsidP="00A76D46">
      <w:pPr>
        <w:spacing w:line="360" w:lineRule="auto"/>
        <w:jc w:val="center"/>
        <w:rPr>
          <w:rFonts w:ascii="Garamond" w:hAnsi="Garamond"/>
          <w:sz w:val="23"/>
          <w:szCs w:val="23"/>
        </w:rPr>
      </w:pPr>
    </w:p>
    <w:p w14:paraId="3778269B" w14:textId="60F9A15E" w:rsidR="00A76D46" w:rsidRDefault="00A76D46" w:rsidP="00A76D46">
      <w:pPr>
        <w:spacing w:line="360" w:lineRule="auto"/>
        <w:jc w:val="center"/>
        <w:rPr>
          <w:rFonts w:ascii="Garamond" w:hAnsi="Garamond"/>
          <w:sz w:val="23"/>
          <w:szCs w:val="23"/>
        </w:rPr>
      </w:pPr>
      <w:r>
        <w:rPr>
          <w:rFonts w:ascii="Garamond" w:hAnsi="Garamond"/>
          <w:sz w:val="23"/>
          <w:szCs w:val="23"/>
        </w:rPr>
        <w:t>&lt;&lt;&lt;FIGURE 1 HERE&gt;&gt;</w:t>
      </w:r>
    </w:p>
    <w:p w14:paraId="05F0DC73" w14:textId="77777777" w:rsidR="00775C62" w:rsidRDefault="00775C62" w:rsidP="0036336A">
      <w:pPr>
        <w:spacing w:line="360" w:lineRule="auto"/>
        <w:outlineLvl w:val="0"/>
        <w:rPr>
          <w:rFonts w:ascii="Garamond" w:hAnsi="Garamond"/>
          <w:b/>
          <w:i/>
          <w:sz w:val="22"/>
          <w:szCs w:val="22"/>
        </w:rPr>
      </w:pPr>
    </w:p>
    <w:p w14:paraId="7DF4DE28" w14:textId="5A6F9696" w:rsidR="00386B68" w:rsidRPr="00052B78" w:rsidRDefault="00386B68" w:rsidP="0036336A">
      <w:pPr>
        <w:spacing w:line="360" w:lineRule="auto"/>
        <w:outlineLvl w:val="0"/>
        <w:rPr>
          <w:rFonts w:ascii="Garamond" w:hAnsi="Garamond"/>
          <w:b/>
          <w:i/>
          <w:sz w:val="22"/>
          <w:szCs w:val="22"/>
        </w:rPr>
      </w:pPr>
      <w:r w:rsidRPr="00052B78">
        <w:rPr>
          <w:rFonts w:ascii="Garamond" w:hAnsi="Garamond"/>
          <w:b/>
          <w:i/>
          <w:sz w:val="22"/>
          <w:szCs w:val="22"/>
        </w:rPr>
        <w:t>Subgroup analysis</w:t>
      </w:r>
    </w:p>
    <w:p w14:paraId="0F2E047F" w14:textId="420C58CF" w:rsidR="004C6EBF" w:rsidRPr="00421563" w:rsidRDefault="00404211" w:rsidP="00421563">
      <w:pPr>
        <w:spacing w:line="360" w:lineRule="auto"/>
        <w:rPr>
          <w:rFonts w:ascii="Garamond" w:hAnsi="Garamond"/>
          <w:sz w:val="22"/>
          <w:szCs w:val="22"/>
        </w:rPr>
      </w:pPr>
      <w:r w:rsidRPr="00052B78">
        <w:rPr>
          <w:rFonts w:ascii="Garamond" w:hAnsi="Garamond"/>
          <w:sz w:val="22"/>
          <w:szCs w:val="22"/>
        </w:rPr>
        <w:t xml:space="preserve">To estimate which patients are more likely to be discharged when pressures on beds are high, we </w:t>
      </w:r>
      <w:r w:rsidR="00386B68" w:rsidRPr="00052B78">
        <w:rPr>
          <w:rFonts w:ascii="Garamond" w:hAnsi="Garamond"/>
          <w:sz w:val="22"/>
          <w:szCs w:val="22"/>
        </w:rPr>
        <w:t xml:space="preserve">re-estimated our main model for </w:t>
      </w:r>
      <w:r w:rsidRPr="00052B78">
        <w:rPr>
          <w:rFonts w:ascii="Garamond" w:hAnsi="Garamond"/>
          <w:sz w:val="22"/>
          <w:szCs w:val="22"/>
        </w:rPr>
        <w:t>several patient subgrou</w:t>
      </w:r>
      <w:r w:rsidR="00F30C30" w:rsidRPr="00052B78">
        <w:rPr>
          <w:rFonts w:ascii="Garamond" w:hAnsi="Garamond"/>
          <w:sz w:val="22"/>
          <w:szCs w:val="22"/>
        </w:rPr>
        <w:t>ps – se</w:t>
      </w:r>
      <w:r w:rsidR="004C6EBF" w:rsidRPr="00052B78">
        <w:rPr>
          <w:rFonts w:ascii="Garamond" w:hAnsi="Garamond"/>
          <w:sz w:val="22"/>
          <w:szCs w:val="22"/>
        </w:rPr>
        <w:t xml:space="preserve">e Table 2. We found that patients </w:t>
      </w:r>
      <w:r w:rsidR="003A0121">
        <w:rPr>
          <w:rFonts w:ascii="Garamond" w:hAnsi="Garamond"/>
          <w:sz w:val="22"/>
          <w:szCs w:val="22"/>
        </w:rPr>
        <w:t xml:space="preserve">aged </w:t>
      </w:r>
      <w:r w:rsidR="004C6EBF" w:rsidRPr="00052B78">
        <w:rPr>
          <w:rFonts w:ascii="Garamond" w:hAnsi="Garamond"/>
          <w:sz w:val="22"/>
          <w:szCs w:val="22"/>
        </w:rPr>
        <w:t>between years 18</w:t>
      </w:r>
      <w:r w:rsidR="00F30C30" w:rsidRPr="00052B78">
        <w:rPr>
          <w:rFonts w:ascii="Garamond" w:hAnsi="Garamond"/>
          <w:sz w:val="22"/>
          <w:szCs w:val="22"/>
        </w:rPr>
        <w:t xml:space="preserve"> to </w:t>
      </w:r>
      <w:r w:rsidR="004C6EBF" w:rsidRPr="00052B78">
        <w:rPr>
          <w:rFonts w:ascii="Garamond" w:hAnsi="Garamond"/>
          <w:sz w:val="22"/>
          <w:szCs w:val="22"/>
        </w:rPr>
        <w:t xml:space="preserve">65 </w:t>
      </w:r>
      <w:r w:rsidR="00951A69">
        <w:rPr>
          <w:rFonts w:ascii="Garamond" w:hAnsi="Garamond"/>
          <w:sz w:val="22"/>
          <w:szCs w:val="22"/>
        </w:rPr>
        <w:t>saw greatest increases</w:t>
      </w:r>
      <w:r w:rsidR="004C6EBF" w:rsidRPr="00052B78">
        <w:rPr>
          <w:rFonts w:ascii="Garamond" w:hAnsi="Garamond"/>
          <w:sz w:val="22"/>
          <w:szCs w:val="22"/>
        </w:rPr>
        <w:t xml:space="preserve"> </w:t>
      </w:r>
      <w:r w:rsidR="00951A69">
        <w:rPr>
          <w:rFonts w:ascii="Garamond" w:hAnsi="Garamond"/>
          <w:sz w:val="22"/>
          <w:szCs w:val="22"/>
        </w:rPr>
        <w:t xml:space="preserve">in the </w:t>
      </w:r>
      <w:r w:rsidR="004C6EBF" w:rsidRPr="00052B78">
        <w:rPr>
          <w:rFonts w:ascii="Garamond" w:hAnsi="Garamond"/>
          <w:sz w:val="22"/>
          <w:szCs w:val="22"/>
        </w:rPr>
        <w:t>discharge</w:t>
      </w:r>
      <w:r w:rsidR="00951A69">
        <w:rPr>
          <w:rFonts w:ascii="Garamond" w:hAnsi="Garamond"/>
          <w:sz w:val="22"/>
          <w:szCs w:val="22"/>
        </w:rPr>
        <w:t xml:space="preserve"> rate</w:t>
      </w:r>
      <w:r w:rsidR="004C6EBF" w:rsidRPr="00052B78">
        <w:rPr>
          <w:rFonts w:ascii="Garamond" w:hAnsi="Garamond"/>
          <w:sz w:val="22"/>
          <w:szCs w:val="22"/>
        </w:rPr>
        <w:t xml:space="preserve"> when pressures on beds </w:t>
      </w:r>
      <w:r w:rsidR="00951A69">
        <w:rPr>
          <w:rFonts w:ascii="Garamond" w:hAnsi="Garamond"/>
          <w:sz w:val="22"/>
          <w:szCs w:val="22"/>
        </w:rPr>
        <w:t>we</w:t>
      </w:r>
      <w:r w:rsidR="00951A69" w:rsidRPr="00052B78">
        <w:rPr>
          <w:rFonts w:ascii="Garamond" w:hAnsi="Garamond"/>
          <w:sz w:val="22"/>
          <w:szCs w:val="22"/>
        </w:rPr>
        <w:t xml:space="preserve">re </w:t>
      </w:r>
      <w:r w:rsidR="004C6EBF" w:rsidRPr="00052B78">
        <w:rPr>
          <w:rFonts w:ascii="Garamond" w:hAnsi="Garamond"/>
          <w:sz w:val="22"/>
          <w:szCs w:val="22"/>
        </w:rPr>
        <w:t xml:space="preserve">rising. In fact, years </w:t>
      </w:r>
      <w:r w:rsidR="004C6EBF" w:rsidRPr="003E5CA0">
        <w:rPr>
          <w:rFonts w:ascii="Garamond" w:hAnsi="Garamond"/>
          <w:sz w:val="22"/>
          <w:szCs w:val="22"/>
        </w:rPr>
        <w:t xml:space="preserve">18 to 65 (0.50%; CI 95%, 0.48 to 0.53) </w:t>
      </w:r>
      <w:r w:rsidR="00047CDA" w:rsidRPr="003E5CA0">
        <w:rPr>
          <w:rFonts w:ascii="Garamond" w:hAnsi="Garamond"/>
          <w:sz w:val="22"/>
          <w:szCs w:val="22"/>
        </w:rPr>
        <w:t xml:space="preserve">have a </w:t>
      </w:r>
      <w:r w:rsidR="004C6EBF" w:rsidRPr="003E5CA0">
        <w:rPr>
          <w:rFonts w:ascii="Garamond" w:hAnsi="Garamond"/>
          <w:sz w:val="22"/>
          <w:szCs w:val="22"/>
        </w:rPr>
        <w:t xml:space="preserve">38% </w:t>
      </w:r>
      <w:r w:rsidR="00047CDA" w:rsidRPr="000A7D82">
        <w:rPr>
          <w:rFonts w:ascii="Garamond" w:hAnsi="Garamond"/>
          <w:sz w:val="22"/>
          <w:szCs w:val="22"/>
        </w:rPr>
        <w:t>higher marginal increase in being</w:t>
      </w:r>
      <w:r w:rsidR="004C6EBF" w:rsidRPr="00CB1A11">
        <w:rPr>
          <w:rFonts w:ascii="Garamond" w:hAnsi="Garamond"/>
          <w:sz w:val="22"/>
          <w:szCs w:val="22"/>
        </w:rPr>
        <w:t xml:space="preserve"> discharged </w:t>
      </w:r>
      <w:r w:rsidR="00047CDA" w:rsidRPr="00E9145A">
        <w:rPr>
          <w:rFonts w:ascii="Garamond" w:hAnsi="Garamond"/>
          <w:sz w:val="22"/>
          <w:szCs w:val="22"/>
        </w:rPr>
        <w:t>compared with</w:t>
      </w:r>
      <w:r w:rsidR="004C6EBF" w:rsidRPr="00A61074">
        <w:rPr>
          <w:rFonts w:ascii="Garamond" w:hAnsi="Garamond"/>
          <w:sz w:val="22"/>
          <w:szCs w:val="22"/>
        </w:rPr>
        <w:t xml:space="preserve"> patients aged </w:t>
      </w:r>
      <w:r w:rsidR="003A0121">
        <w:rPr>
          <w:rFonts w:ascii="Garamond" w:hAnsi="Garamond"/>
          <w:sz w:val="22"/>
          <w:szCs w:val="22"/>
        </w:rPr>
        <w:t xml:space="preserve">between </w:t>
      </w:r>
      <w:r w:rsidR="004C6EBF" w:rsidRPr="00A61074">
        <w:rPr>
          <w:rFonts w:ascii="Garamond" w:hAnsi="Garamond"/>
          <w:sz w:val="22"/>
          <w:szCs w:val="22"/>
        </w:rPr>
        <w:t>years 81 to 90 (0.31%; CI 95%, 0.29% to 0.33%). We find similar patterns for patients presenting with c</w:t>
      </w:r>
      <w:r w:rsidR="00644DD9" w:rsidRPr="00A61074">
        <w:rPr>
          <w:rFonts w:ascii="Garamond" w:hAnsi="Garamond"/>
          <w:sz w:val="22"/>
          <w:szCs w:val="22"/>
        </w:rPr>
        <w:t>omorbidities. Patients with no comorbidity</w:t>
      </w:r>
      <w:r w:rsidR="004C6EBF" w:rsidRPr="00A61074">
        <w:rPr>
          <w:rFonts w:ascii="Garamond" w:hAnsi="Garamond"/>
          <w:sz w:val="22"/>
          <w:szCs w:val="22"/>
        </w:rPr>
        <w:t xml:space="preserve"> (0.48%; CI 95%, 0.46% to 0.49%)</w:t>
      </w:r>
      <w:r w:rsidR="00DC2459" w:rsidRPr="00A61074">
        <w:rPr>
          <w:rFonts w:ascii="Garamond" w:hAnsi="Garamond"/>
          <w:sz w:val="22"/>
          <w:szCs w:val="22"/>
        </w:rPr>
        <w:t>, or 1</w:t>
      </w:r>
      <w:r w:rsidR="004C6EBF" w:rsidRPr="00A61074">
        <w:rPr>
          <w:rFonts w:ascii="Garamond" w:hAnsi="Garamond"/>
          <w:sz w:val="22"/>
          <w:szCs w:val="22"/>
        </w:rPr>
        <w:t xml:space="preserve"> comorbidity </w:t>
      </w:r>
      <w:r w:rsidR="004C6EBF" w:rsidRPr="00A61074">
        <w:rPr>
          <w:rFonts w:ascii="Garamond" w:hAnsi="Garamond"/>
          <w:sz w:val="22"/>
          <w:szCs w:val="22"/>
        </w:rPr>
        <w:lastRenderedPageBreak/>
        <w:t xml:space="preserve">(0.42%; CI 95%, 0.41 to 0.44) </w:t>
      </w:r>
      <w:r w:rsidR="003E5CA0" w:rsidRPr="00A61074">
        <w:rPr>
          <w:rFonts w:ascii="Garamond" w:hAnsi="Garamond"/>
          <w:sz w:val="22"/>
          <w:szCs w:val="22"/>
        </w:rPr>
        <w:t>ha</w:t>
      </w:r>
      <w:r w:rsidR="003A0121">
        <w:rPr>
          <w:rFonts w:ascii="Garamond" w:hAnsi="Garamond"/>
          <w:sz w:val="22"/>
          <w:szCs w:val="22"/>
        </w:rPr>
        <w:t>d</w:t>
      </w:r>
      <w:r w:rsidR="003E5CA0" w:rsidRPr="00A61074">
        <w:rPr>
          <w:rFonts w:ascii="Garamond" w:hAnsi="Garamond"/>
          <w:sz w:val="22"/>
          <w:szCs w:val="22"/>
        </w:rPr>
        <w:t xml:space="preserve"> the highest likelihood for being </w:t>
      </w:r>
      <w:r w:rsidR="004C6EBF" w:rsidRPr="00A61074">
        <w:rPr>
          <w:rFonts w:ascii="Garamond" w:hAnsi="Garamond"/>
          <w:sz w:val="22"/>
          <w:szCs w:val="22"/>
        </w:rPr>
        <w:t>discharged wh</w:t>
      </w:r>
      <w:r w:rsidR="00052B78" w:rsidRPr="00A61074">
        <w:rPr>
          <w:rFonts w:ascii="Garamond" w:hAnsi="Garamond"/>
          <w:sz w:val="22"/>
          <w:szCs w:val="22"/>
        </w:rPr>
        <w:t xml:space="preserve">en bed occupancy rates are high. In </w:t>
      </w:r>
      <w:r w:rsidR="00644DD9" w:rsidRPr="00A61074">
        <w:rPr>
          <w:rFonts w:ascii="Garamond" w:hAnsi="Garamond"/>
          <w:sz w:val="22"/>
          <w:szCs w:val="22"/>
        </w:rPr>
        <w:t>comparison</w:t>
      </w:r>
      <w:r w:rsidR="00052B78" w:rsidRPr="00A61074">
        <w:rPr>
          <w:rFonts w:ascii="Garamond" w:hAnsi="Garamond"/>
          <w:sz w:val="22"/>
          <w:szCs w:val="22"/>
        </w:rPr>
        <w:t>,</w:t>
      </w:r>
      <w:r w:rsidR="00644DD9" w:rsidRPr="00A61074">
        <w:rPr>
          <w:rFonts w:ascii="Garamond" w:hAnsi="Garamond"/>
          <w:sz w:val="22"/>
          <w:szCs w:val="22"/>
        </w:rPr>
        <w:t xml:space="preserve"> </w:t>
      </w:r>
      <w:r w:rsidR="004C6EBF" w:rsidRPr="00A61074">
        <w:rPr>
          <w:rFonts w:ascii="Garamond" w:hAnsi="Garamond"/>
          <w:sz w:val="22"/>
          <w:szCs w:val="22"/>
        </w:rPr>
        <w:t xml:space="preserve">patients with more than 3 comorbidities </w:t>
      </w:r>
      <w:r w:rsidR="00775C62">
        <w:rPr>
          <w:rFonts w:ascii="Garamond" w:hAnsi="Garamond"/>
          <w:sz w:val="22"/>
          <w:szCs w:val="22"/>
        </w:rPr>
        <w:t>were</w:t>
      </w:r>
      <w:r w:rsidR="004C6EBF" w:rsidRPr="003E5CA0">
        <w:rPr>
          <w:rFonts w:ascii="Garamond" w:hAnsi="Garamond"/>
          <w:sz w:val="22"/>
          <w:szCs w:val="22"/>
        </w:rPr>
        <w:t xml:space="preserve"> </w:t>
      </w:r>
      <w:r w:rsidR="004D7B8F" w:rsidRPr="003E5CA0">
        <w:rPr>
          <w:rFonts w:ascii="Garamond" w:hAnsi="Garamond"/>
          <w:sz w:val="22"/>
          <w:szCs w:val="22"/>
        </w:rPr>
        <w:t xml:space="preserve">only </w:t>
      </w:r>
      <w:r w:rsidR="00DC2459" w:rsidRPr="003E5CA0">
        <w:rPr>
          <w:rFonts w:ascii="Garamond" w:hAnsi="Garamond"/>
          <w:sz w:val="22"/>
          <w:szCs w:val="22"/>
        </w:rPr>
        <w:t>half as likely to be discharged (e.g.</w:t>
      </w:r>
      <w:r w:rsidR="003A0121">
        <w:rPr>
          <w:rFonts w:ascii="Garamond" w:hAnsi="Garamond"/>
          <w:sz w:val="22"/>
          <w:szCs w:val="22"/>
        </w:rPr>
        <w:t>,</w:t>
      </w:r>
      <w:r w:rsidR="00DC2459" w:rsidRPr="003E5CA0">
        <w:rPr>
          <w:rFonts w:ascii="Garamond" w:hAnsi="Garamond"/>
          <w:sz w:val="22"/>
          <w:szCs w:val="22"/>
        </w:rPr>
        <w:t xml:space="preserve"> coefficient for patients with 4 comorbidities </w:t>
      </w:r>
      <w:r w:rsidR="00644DD9" w:rsidRPr="003E5CA0">
        <w:rPr>
          <w:rFonts w:ascii="Garamond" w:hAnsi="Garamond"/>
          <w:sz w:val="22"/>
          <w:szCs w:val="22"/>
        </w:rPr>
        <w:t xml:space="preserve">was </w:t>
      </w:r>
      <w:r w:rsidR="00DC2459" w:rsidRPr="003E5CA0">
        <w:rPr>
          <w:rFonts w:ascii="Garamond" w:hAnsi="Garamond"/>
          <w:sz w:val="22"/>
          <w:szCs w:val="22"/>
        </w:rPr>
        <w:t xml:space="preserve">equal to 0.19; 95% CI, 0.16 to </w:t>
      </w:r>
      <w:r w:rsidR="00644DD9" w:rsidRPr="000A7D82">
        <w:rPr>
          <w:rFonts w:ascii="Garamond" w:hAnsi="Garamond"/>
          <w:sz w:val="22"/>
          <w:szCs w:val="22"/>
        </w:rPr>
        <w:t>0.23)</w:t>
      </w:r>
      <w:r w:rsidR="004D7B8F" w:rsidRPr="000A7D82">
        <w:rPr>
          <w:rFonts w:ascii="Garamond" w:hAnsi="Garamond"/>
          <w:sz w:val="22"/>
          <w:szCs w:val="22"/>
        </w:rPr>
        <w:t xml:space="preserve"> on the same days</w:t>
      </w:r>
      <w:r w:rsidR="00644DD9" w:rsidRPr="00CB1A11">
        <w:rPr>
          <w:rFonts w:ascii="Garamond" w:hAnsi="Garamond"/>
          <w:sz w:val="22"/>
          <w:szCs w:val="22"/>
        </w:rPr>
        <w:t xml:space="preserve">. </w:t>
      </w:r>
      <w:r w:rsidR="00644DD9" w:rsidRPr="003E5CA0">
        <w:rPr>
          <w:rFonts w:ascii="Garamond" w:hAnsi="Garamond"/>
          <w:sz w:val="22"/>
          <w:szCs w:val="22"/>
        </w:rPr>
        <w:t xml:space="preserve">We find no </w:t>
      </w:r>
      <w:r w:rsidR="003E5CA0" w:rsidRPr="003E5CA0">
        <w:rPr>
          <w:rFonts w:ascii="Garamond" w:hAnsi="Garamond"/>
          <w:sz w:val="22"/>
          <w:szCs w:val="22"/>
        </w:rPr>
        <w:t xml:space="preserve">significant </w:t>
      </w:r>
      <w:r w:rsidR="00644DD9" w:rsidRPr="003E5CA0">
        <w:rPr>
          <w:rFonts w:ascii="Garamond" w:hAnsi="Garamond"/>
          <w:sz w:val="22"/>
          <w:szCs w:val="22"/>
        </w:rPr>
        <w:t>difference</w:t>
      </w:r>
      <w:r w:rsidR="003E5CA0" w:rsidRPr="003E5CA0">
        <w:rPr>
          <w:rFonts w:ascii="Garamond" w:hAnsi="Garamond"/>
          <w:sz w:val="22"/>
          <w:szCs w:val="22"/>
        </w:rPr>
        <w:t>s</w:t>
      </w:r>
      <w:r w:rsidR="00644DD9" w:rsidRPr="003E5CA0">
        <w:rPr>
          <w:rFonts w:ascii="Garamond" w:hAnsi="Garamond"/>
          <w:sz w:val="22"/>
          <w:szCs w:val="22"/>
        </w:rPr>
        <w:t xml:space="preserve"> in discharge rates for patients </w:t>
      </w:r>
      <w:r w:rsidR="00775C62">
        <w:rPr>
          <w:rFonts w:ascii="Garamond" w:hAnsi="Garamond"/>
          <w:sz w:val="22"/>
          <w:szCs w:val="22"/>
        </w:rPr>
        <w:t>with varying</w:t>
      </w:r>
      <w:r w:rsidR="00644DD9" w:rsidRPr="003E5CA0">
        <w:rPr>
          <w:rFonts w:ascii="Garamond" w:hAnsi="Garamond"/>
          <w:sz w:val="22"/>
          <w:szCs w:val="22"/>
        </w:rPr>
        <w:t xml:space="preserve"> </w:t>
      </w:r>
      <w:r w:rsidR="00644DD9" w:rsidRPr="00CB1A11">
        <w:rPr>
          <w:rFonts w:ascii="Garamond" w:hAnsi="Garamond"/>
          <w:sz w:val="22"/>
          <w:szCs w:val="22"/>
        </w:rPr>
        <w:t xml:space="preserve">socioeconomic </w:t>
      </w:r>
      <w:r w:rsidR="003E5CA0" w:rsidRPr="00E9145A">
        <w:rPr>
          <w:rFonts w:ascii="Garamond" w:hAnsi="Garamond"/>
          <w:sz w:val="22"/>
          <w:szCs w:val="22"/>
        </w:rPr>
        <w:t>backgrounds</w:t>
      </w:r>
      <w:r w:rsidR="00644DD9" w:rsidRPr="00A61074">
        <w:rPr>
          <w:rFonts w:ascii="Garamond" w:hAnsi="Garamond"/>
          <w:sz w:val="22"/>
          <w:szCs w:val="22"/>
        </w:rPr>
        <w:t>.</w:t>
      </w:r>
      <w:r w:rsidR="00644DD9" w:rsidRPr="00421563">
        <w:rPr>
          <w:rFonts w:ascii="Garamond" w:hAnsi="Garamond"/>
          <w:sz w:val="22"/>
          <w:szCs w:val="22"/>
        </w:rPr>
        <w:t xml:space="preserve"> </w:t>
      </w:r>
    </w:p>
    <w:p w14:paraId="3A2A73CF" w14:textId="77777777" w:rsidR="00404211" w:rsidRPr="00421563" w:rsidRDefault="00404211" w:rsidP="00421563">
      <w:pPr>
        <w:spacing w:line="360" w:lineRule="auto"/>
        <w:rPr>
          <w:rFonts w:ascii="Garamond" w:hAnsi="Garamond"/>
          <w:sz w:val="22"/>
          <w:szCs w:val="22"/>
        </w:rPr>
      </w:pPr>
    </w:p>
    <w:p w14:paraId="0770BC9D" w14:textId="3B6CA81E" w:rsidR="00A76D46" w:rsidRDefault="00404211" w:rsidP="00A76D46">
      <w:pPr>
        <w:spacing w:line="360" w:lineRule="auto"/>
        <w:rPr>
          <w:rFonts w:ascii="Garamond" w:hAnsi="Garamond"/>
          <w:sz w:val="22"/>
          <w:szCs w:val="22"/>
        </w:rPr>
      </w:pPr>
      <w:r w:rsidRPr="00421563">
        <w:rPr>
          <w:rFonts w:ascii="Garamond" w:hAnsi="Garamond"/>
          <w:sz w:val="22"/>
          <w:szCs w:val="22"/>
        </w:rPr>
        <w:t xml:space="preserve">For the same patient subgroups, we re-estimated our main model to investigate differential impacts of being </w:t>
      </w:r>
      <w:r w:rsidR="00644DD9" w:rsidRPr="00421563">
        <w:rPr>
          <w:rFonts w:ascii="Garamond" w:hAnsi="Garamond"/>
          <w:sz w:val="22"/>
          <w:szCs w:val="22"/>
        </w:rPr>
        <w:t>readmitted</w:t>
      </w:r>
      <w:r w:rsidR="003A0121">
        <w:rPr>
          <w:rFonts w:ascii="Garamond" w:hAnsi="Garamond"/>
          <w:sz w:val="22"/>
          <w:szCs w:val="22"/>
        </w:rPr>
        <w:t xml:space="preserve">, given that readmissions are </w:t>
      </w:r>
      <w:r w:rsidR="00775C62">
        <w:rPr>
          <w:rFonts w:ascii="Garamond" w:hAnsi="Garamond"/>
          <w:sz w:val="22"/>
          <w:szCs w:val="22"/>
        </w:rPr>
        <w:t xml:space="preserve">employed as a measure for </w:t>
      </w:r>
      <w:r w:rsidR="003A0121">
        <w:rPr>
          <w:rFonts w:ascii="Garamond" w:hAnsi="Garamond"/>
          <w:sz w:val="22"/>
          <w:szCs w:val="22"/>
        </w:rPr>
        <w:t>the quality of the discharge process</w:t>
      </w:r>
      <w:r w:rsidRPr="00421563">
        <w:rPr>
          <w:rFonts w:ascii="Garamond" w:hAnsi="Garamond"/>
          <w:sz w:val="22"/>
          <w:szCs w:val="22"/>
        </w:rPr>
        <w:t xml:space="preserve">. We found that </w:t>
      </w:r>
      <w:r w:rsidR="00052B78" w:rsidRPr="00421563">
        <w:rPr>
          <w:rFonts w:ascii="Garamond" w:hAnsi="Garamond"/>
          <w:sz w:val="22"/>
          <w:szCs w:val="22"/>
        </w:rPr>
        <w:t xml:space="preserve">patients who were discharged on days with high bed occupancy rates and </w:t>
      </w:r>
      <w:r w:rsidR="004D7B8F" w:rsidRPr="00421563">
        <w:rPr>
          <w:rFonts w:ascii="Garamond" w:hAnsi="Garamond"/>
          <w:sz w:val="22"/>
          <w:szCs w:val="22"/>
        </w:rPr>
        <w:t>age</w:t>
      </w:r>
      <w:r w:rsidR="00421563" w:rsidRPr="00421563">
        <w:rPr>
          <w:rFonts w:ascii="Garamond" w:hAnsi="Garamond"/>
          <w:sz w:val="22"/>
          <w:szCs w:val="22"/>
        </w:rPr>
        <w:t>d</w:t>
      </w:r>
      <w:r w:rsidR="004D7B8F" w:rsidRPr="00421563">
        <w:rPr>
          <w:rFonts w:ascii="Garamond" w:hAnsi="Garamond"/>
          <w:sz w:val="22"/>
          <w:szCs w:val="22"/>
        </w:rPr>
        <w:t xml:space="preserve"> </w:t>
      </w:r>
      <w:r w:rsidR="00052B78" w:rsidRPr="00421563">
        <w:rPr>
          <w:rFonts w:ascii="Garamond" w:hAnsi="Garamond"/>
          <w:sz w:val="22"/>
          <w:szCs w:val="22"/>
        </w:rPr>
        <w:t>above 65 years were more likely to be readmitted within 30 days (e.g.</w:t>
      </w:r>
      <w:r w:rsidR="00775C62">
        <w:rPr>
          <w:rFonts w:ascii="Garamond" w:hAnsi="Garamond"/>
          <w:sz w:val="22"/>
          <w:szCs w:val="22"/>
        </w:rPr>
        <w:t>,</w:t>
      </w:r>
      <w:r w:rsidR="00052B78" w:rsidRPr="00421563">
        <w:rPr>
          <w:rFonts w:ascii="Garamond" w:hAnsi="Garamond"/>
          <w:sz w:val="22"/>
          <w:szCs w:val="22"/>
        </w:rPr>
        <w:t xml:space="preserve"> coefficient for 81 years </w:t>
      </w:r>
      <w:r w:rsidR="004D7B8F" w:rsidRPr="00421563">
        <w:rPr>
          <w:rFonts w:ascii="Garamond" w:hAnsi="Garamond"/>
          <w:sz w:val="22"/>
          <w:szCs w:val="22"/>
        </w:rPr>
        <w:t xml:space="preserve">to 90 years was equal to 0.09%; </w:t>
      </w:r>
      <w:r w:rsidR="00052B78" w:rsidRPr="00421563">
        <w:rPr>
          <w:rFonts w:ascii="Garamond" w:hAnsi="Garamond"/>
          <w:sz w:val="22"/>
          <w:szCs w:val="22"/>
        </w:rPr>
        <w:t>CI 95%</w:t>
      </w:r>
      <w:r w:rsidR="004D7B8F" w:rsidRPr="00421563">
        <w:rPr>
          <w:rFonts w:ascii="Garamond" w:hAnsi="Garamond"/>
          <w:sz w:val="22"/>
          <w:szCs w:val="22"/>
        </w:rPr>
        <w:t>, 0.08 to 0.11)</w:t>
      </w:r>
      <w:r w:rsidR="00052B78" w:rsidRPr="00421563">
        <w:rPr>
          <w:rFonts w:ascii="Garamond" w:hAnsi="Garamond"/>
          <w:sz w:val="22"/>
          <w:szCs w:val="22"/>
        </w:rPr>
        <w:t xml:space="preserve">. </w:t>
      </w:r>
      <w:r w:rsidR="004D7B8F" w:rsidRPr="00421563">
        <w:rPr>
          <w:rFonts w:ascii="Garamond" w:hAnsi="Garamond"/>
          <w:sz w:val="22"/>
          <w:szCs w:val="22"/>
        </w:rPr>
        <w:t xml:space="preserve">Similarly, the larger the number of comorbidities, the more likely it is that the patient </w:t>
      </w:r>
      <w:r w:rsidR="00775C62">
        <w:rPr>
          <w:rFonts w:ascii="Garamond" w:hAnsi="Garamond"/>
          <w:sz w:val="22"/>
          <w:szCs w:val="22"/>
        </w:rPr>
        <w:t>was</w:t>
      </w:r>
      <w:r w:rsidR="004D7B8F" w:rsidRPr="00421563">
        <w:rPr>
          <w:rFonts w:ascii="Garamond" w:hAnsi="Garamond"/>
          <w:sz w:val="22"/>
          <w:szCs w:val="22"/>
        </w:rPr>
        <w:t xml:space="preserve"> being readmitted when discharged on days with high bed occupancy. While patients with no comorbidity have a slightly reduced risk of readmission (coefficient equal to -0.04%; CI 95%, -0.04 to -0.03) </w:t>
      </w:r>
      <w:r w:rsidR="00421563" w:rsidRPr="00421563">
        <w:rPr>
          <w:rFonts w:ascii="Garamond" w:hAnsi="Garamond"/>
          <w:sz w:val="22"/>
          <w:szCs w:val="22"/>
        </w:rPr>
        <w:t>for every 1% increase in</w:t>
      </w:r>
      <w:r w:rsidR="004D7B8F" w:rsidRPr="00421563">
        <w:rPr>
          <w:rFonts w:ascii="Garamond" w:hAnsi="Garamond"/>
          <w:sz w:val="22"/>
          <w:szCs w:val="22"/>
        </w:rPr>
        <w:t xml:space="preserve"> be</w:t>
      </w:r>
      <w:r w:rsidR="00421563" w:rsidRPr="00421563">
        <w:rPr>
          <w:rFonts w:ascii="Garamond" w:hAnsi="Garamond"/>
          <w:sz w:val="22"/>
          <w:szCs w:val="22"/>
        </w:rPr>
        <w:t xml:space="preserve">d occupancy rate, estimates for patients who present with </w:t>
      </w:r>
      <w:r w:rsidR="004D7B8F" w:rsidRPr="00421563">
        <w:rPr>
          <w:rFonts w:ascii="Garamond" w:hAnsi="Garamond"/>
          <w:sz w:val="22"/>
          <w:szCs w:val="22"/>
        </w:rPr>
        <w:t xml:space="preserve">4 comorbidities </w:t>
      </w:r>
      <w:r w:rsidR="00421563" w:rsidRPr="00421563">
        <w:rPr>
          <w:rFonts w:ascii="Garamond" w:hAnsi="Garamond"/>
          <w:sz w:val="22"/>
          <w:szCs w:val="22"/>
        </w:rPr>
        <w:t xml:space="preserve">showed 0.11% </w:t>
      </w:r>
      <w:r w:rsidR="00544AD0">
        <w:rPr>
          <w:rFonts w:ascii="Garamond" w:hAnsi="Garamond"/>
          <w:sz w:val="22"/>
          <w:szCs w:val="22"/>
        </w:rPr>
        <w:t xml:space="preserve">(CI 95%, 0.04% to 0.17%) </w:t>
      </w:r>
      <w:r w:rsidR="00421563" w:rsidRPr="00421563">
        <w:rPr>
          <w:rFonts w:ascii="Garamond" w:hAnsi="Garamond"/>
          <w:sz w:val="22"/>
          <w:szCs w:val="22"/>
        </w:rPr>
        <w:t xml:space="preserve">increase for every 1% increase in bed occupancy. </w:t>
      </w:r>
      <w:r w:rsidR="00644DD9" w:rsidRPr="00421563">
        <w:rPr>
          <w:rFonts w:ascii="Garamond" w:hAnsi="Garamond"/>
          <w:sz w:val="22"/>
          <w:szCs w:val="22"/>
        </w:rPr>
        <w:t xml:space="preserve">Similar to the discharge rate, we find no substantial difference in </w:t>
      </w:r>
      <w:r w:rsidR="00421563" w:rsidRPr="00421563">
        <w:rPr>
          <w:rFonts w:ascii="Garamond" w:hAnsi="Garamond"/>
          <w:sz w:val="22"/>
          <w:szCs w:val="22"/>
        </w:rPr>
        <w:t xml:space="preserve">readmission rate by </w:t>
      </w:r>
      <w:r w:rsidR="00644DD9" w:rsidRPr="00421563">
        <w:rPr>
          <w:rFonts w:ascii="Garamond" w:hAnsi="Garamond"/>
          <w:sz w:val="22"/>
          <w:szCs w:val="22"/>
        </w:rPr>
        <w:t xml:space="preserve">level of socioeconomic deprivation. </w:t>
      </w:r>
      <w:r w:rsidR="00A76D46">
        <w:rPr>
          <w:rFonts w:ascii="Garamond" w:hAnsi="Garamond"/>
          <w:sz w:val="22"/>
          <w:szCs w:val="22"/>
        </w:rPr>
        <w:t xml:space="preserve"> </w:t>
      </w:r>
    </w:p>
    <w:p w14:paraId="09158E60" w14:textId="77777777" w:rsidR="003A0121" w:rsidRDefault="003A0121" w:rsidP="00A76D46">
      <w:pPr>
        <w:spacing w:line="360" w:lineRule="auto"/>
        <w:rPr>
          <w:rFonts w:ascii="Garamond" w:hAnsi="Garamond"/>
          <w:sz w:val="22"/>
          <w:szCs w:val="22"/>
        </w:rPr>
      </w:pPr>
    </w:p>
    <w:p w14:paraId="667FB6EE" w14:textId="527A642F" w:rsidR="00A76D46" w:rsidRDefault="00A76D46" w:rsidP="00A76D46">
      <w:pPr>
        <w:spacing w:line="360" w:lineRule="auto"/>
        <w:jc w:val="center"/>
        <w:rPr>
          <w:rFonts w:ascii="Garamond" w:hAnsi="Garamond"/>
          <w:sz w:val="23"/>
          <w:szCs w:val="23"/>
        </w:rPr>
      </w:pPr>
      <w:r>
        <w:rPr>
          <w:rFonts w:ascii="Garamond" w:hAnsi="Garamond"/>
          <w:sz w:val="23"/>
          <w:szCs w:val="23"/>
        </w:rPr>
        <w:t>&lt;&lt;&lt;Table 2 HERE&gt;&gt;</w:t>
      </w:r>
    </w:p>
    <w:p w14:paraId="3C623E62" w14:textId="77777777" w:rsidR="00775C62" w:rsidRPr="00A76D46" w:rsidRDefault="00775C62" w:rsidP="00A76D46">
      <w:pPr>
        <w:spacing w:line="360" w:lineRule="auto"/>
        <w:jc w:val="center"/>
        <w:rPr>
          <w:rFonts w:ascii="Garamond" w:hAnsi="Garamond"/>
          <w:sz w:val="22"/>
          <w:szCs w:val="22"/>
        </w:rPr>
      </w:pPr>
    </w:p>
    <w:p w14:paraId="608E02B4" w14:textId="0DEF9864" w:rsidR="008C4294" w:rsidRPr="00C12AFA" w:rsidRDefault="00386B68" w:rsidP="0036336A">
      <w:pPr>
        <w:spacing w:line="360" w:lineRule="auto"/>
        <w:outlineLvl w:val="0"/>
        <w:rPr>
          <w:rFonts w:ascii="Garamond" w:hAnsi="Garamond"/>
          <w:b/>
          <w:i/>
          <w:sz w:val="22"/>
          <w:szCs w:val="22"/>
        </w:rPr>
      </w:pPr>
      <w:r w:rsidRPr="00C12AFA">
        <w:rPr>
          <w:rFonts w:ascii="Garamond" w:hAnsi="Garamond"/>
          <w:b/>
          <w:sz w:val="22"/>
          <w:szCs w:val="22"/>
        </w:rPr>
        <w:t>DISCUSSION</w:t>
      </w:r>
    </w:p>
    <w:p w14:paraId="3C944C81" w14:textId="1D9E15BE" w:rsidR="004D3FCE" w:rsidRDefault="00E25353" w:rsidP="004D086A">
      <w:pPr>
        <w:spacing w:line="360" w:lineRule="auto"/>
        <w:rPr>
          <w:rFonts w:ascii="Garamond" w:hAnsi="Garamond"/>
          <w:sz w:val="22"/>
          <w:szCs w:val="22"/>
        </w:rPr>
      </w:pPr>
      <w:r>
        <w:rPr>
          <w:rFonts w:ascii="Garamond" w:hAnsi="Garamond"/>
          <w:sz w:val="22"/>
          <w:szCs w:val="22"/>
        </w:rPr>
        <w:t xml:space="preserve">Bed occupancy rates in England have been steadily increasing from 84.5% in 2006/07, to an </w:t>
      </w:r>
      <w:r w:rsidRPr="00C12AFA">
        <w:rPr>
          <w:rFonts w:ascii="Garamond" w:hAnsi="Garamond"/>
          <w:sz w:val="22"/>
          <w:szCs w:val="22"/>
        </w:rPr>
        <w:t xml:space="preserve">average of 91.4% </w:t>
      </w:r>
      <w:r w:rsidR="00FC1674">
        <w:rPr>
          <w:rFonts w:ascii="Garamond" w:hAnsi="Garamond"/>
          <w:sz w:val="22"/>
          <w:szCs w:val="22"/>
        </w:rPr>
        <w:t>in the first three months of</w:t>
      </w:r>
      <w:r w:rsidR="00CB3D66">
        <w:rPr>
          <w:rFonts w:ascii="Garamond" w:hAnsi="Garamond"/>
          <w:sz w:val="22"/>
          <w:szCs w:val="22"/>
        </w:rPr>
        <w:t xml:space="preserve"> 2017,</w:t>
      </w:r>
      <w:r>
        <w:rPr>
          <w:rFonts w:ascii="Garamond" w:hAnsi="Garamond"/>
          <w:sz w:val="22"/>
          <w:szCs w:val="22"/>
        </w:rPr>
        <w:fldChar w:fldCharType="begin" w:fldLock="1"/>
      </w:r>
      <w:r w:rsidR="00481CE7">
        <w:rPr>
          <w:rFonts w:ascii="Garamond" w:hAnsi="Garamond"/>
          <w:sz w:val="22"/>
          <w:szCs w:val="22"/>
        </w:rPr>
        <w:instrText>ADDIN CSL_CITATION {"citationItems":[{"id":"ITEM-1","itemData":{"author":[{"dropping-particle":"","family":"NHS England","given":"","non-dropping-particle":"","parse-names":false,"suffix":""}],"id":"ITEM-1","issued":{"date-parts":[["0"]]},"title":"Bed Availability and Occupancy Data – Overnight","type":"webpage"},"uris":["http://www.mendeley.com/documents/?uuid=a1be79fa-9284-4c31-a391-3dfed08baf9a","http://www.mendeley.com/documents/?uuid=21c9d321-d954-4770-8cbf-ef1b4175e2c9"]}],"mendeley":{"formattedCitation":"[1]","plainTextFormattedCitation":"[1]","previouslyFormattedCitation":"[1]"},"properties":{"noteIndex":0},"schema":"https://github.com/citation-style-language/schema/raw/master/csl-citation.json"}</w:instrText>
      </w:r>
      <w:r>
        <w:rPr>
          <w:rFonts w:ascii="Garamond" w:hAnsi="Garamond"/>
          <w:sz w:val="22"/>
          <w:szCs w:val="22"/>
        </w:rPr>
        <w:fldChar w:fldCharType="separate"/>
      </w:r>
      <w:r w:rsidRPr="00A865BB">
        <w:rPr>
          <w:rFonts w:ascii="Garamond" w:hAnsi="Garamond"/>
          <w:noProof/>
          <w:sz w:val="22"/>
          <w:szCs w:val="22"/>
        </w:rPr>
        <w:t>[1]</w:t>
      </w:r>
      <w:r>
        <w:rPr>
          <w:rFonts w:ascii="Garamond" w:hAnsi="Garamond"/>
          <w:sz w:val="22"/>
          <w:szCs w:val="22"/>
        </w:rPr>
        <w:fldChar w:fldCharType="end"/>
      </w:r>
      <w:r>
        <w:rPr>
          <w:rFonts w:ascii="Garamond" w:hAnsi="Garamond"/>
          <w:sz w:val="22"/>
          <w:szCs w:val="22"/>
        </w:rPr>
        <w:t xml:space="preserve"> and it is unknown to what exten</w:t>
      </w:r>
      <w:r w:rsidR="00FC1674">
        <w:rPr>
          <w:rFonts w:ascii="Garamond" w:hAnsi="Garamond"/>
          <w:sz w:val="22"/>
          <w:szCs w:val="22"/>
        </w:rPr>
        <w:t>t</w:t>
      </w:r>
      <w:r>
        <w:rPr>
          <w:rFonts w:ascii="Garamond" w:hAnsi="Garamond"/>
          <w:sz w:val="22"/>
          <w:szCs w:val="22"/>
        </w:rPr>
        <w:t xml:space="preserve"> this </w:t>
      </w:r>
      <w:r w:rsidR="007C52F7">
        <w:rPr>
          <w:rFonts w:ascii="Garamond" w:hAnsi="Garamond"/>
          <w:sz w:val="22"/>
          <w:szCs w:val="22"/>
        </w:rPr>
        <w:t xml:space="preserve">is affecting </w:t>
      </w:r>
      <w:r>
        <w:rPr>
          <w:rFonts w:ascii="Garamond" w:hAnsi="Garamond"/>
          <w:sz w:val="22"/>
          <w:szCs w:val="22"/>
        </w:rPr>
        <w:t xml:space="preserve">the quality and safety of care </w:t>
      </w:r>
      <w:r w:rsidR="007C52F7">
        <w:rPr>
          <w:rFonts w:ascii="Garamond" w:hAnsi="Garamond"/>
          <w:sz w:val="22"/>
          <w:szCs w:val="22"/>
        </w:rPr>
        <w:t>provided to</w:t>
      </w:r>
      <w:r>
        <w:rPr>
          <w:rFonts w:ascii="Garamond" w:hAnsi="Garamond"/>
          <w:sz w:val="22"/>
          <w:szCs w:val="22"/>
        </w:rPr>
        <w:t xml:space="preserve"> patients. </w:t>
      </w:r>
      <w:r w:rsidRPr="00C12AFA">
        <w:rPr>
          <w:rFonts w:ascii="Garamond" w:hAnsi="Garamond"/>
          <w:sz w:val="22"/>
          <w:szCs w:val="22"/>
        </w:rPr>
        <w:t>We examined data for all acute NHS trusts in England and showed that following nights with a greater proportion of beds occupied, a larger proportion of patients are discharged from hospital.</w:t>
      </w:r>
      <w:r>
        <w:rPr>
          <w:rFonts w:ascii="Garamond" w:hAnsi="Garamond"/>
          <w:sz w:val="22"/>
          <w:szCs w:val="22"/>
        </w:rPr>
        <w:t xml:space="preserve"> The individual probability of discharge increase</w:t>
      </w:r>
      <w:r w:rsidR="00F41AF8">
        <w:rPr>
          <w:rFonts w:ascii="Garamond" w:hAnsi="Garamond"/>
          <w:sz w:val="22"/>
          <w:szCs w:val="22"/>
        </w:rPr>
        <w:t>d</w:t>
      </w:r>
      <w:r>
        <w:rPr>
          <w:rFonts w:ascii="Garamond" w:hAnsi="Garamond"/>
          <w:sz w:val="22"/>
          <w:szCs w:val="22"/>
        </w:rPr>
        <w:t xml:space="preserve"> by about 0.49% for each additional 1% of beds occupied (95</w:t>
      </w:r>
      <w:r w:rsidR="00F85529">
        <w:rPr>
          <w:rFonts w:ascii="Garamond" w:hAnsi="Garamond"/>
          <w:sz w:val="22"/>
          <w:szCs w:val="22"/>
        </w:rPr>
        <w:t>%</w:t>
      </w:r>
      <w:r>
        <w:rPr>
          <w:rFonts w:ascii="Garamond" w:hAnsi="Garamond"/>
          <w:sz w:val="22"/>
          <w:szCs w:val="22"/>
        </w:rPr>
        <w:t xml:space="preserve"> CI, </w:t>
      </w:r>
      <w:r w:rsidRPr="009B3828">
        <w:rPr>
          <w:rFonts w:ascii="Garamond" w:hAnsi="Garamond"/>
          <w:sz w:val="22"/>
          <w:szCs w:val="22"/>
        </w:rPr>
        <w:t>0.4</w:t>
      </w:r>
      <w:r>
        <w:rPr>
          <w:rFonts w:ascii="Garamond" w:hAnsi="Garamond"/>
          <w:sz w:val="22"/>
          <w:szCs w:val="22"/>
        </w:rPr>
        <w:t>8</w:t>
      </w:r>
      <w:r w:rsidRPr="009B3828">
        <w:rPr>
          <w:rFonts w:ascii="Garamond" w:hAnsi="Garamond"/>
          <w:sz w:val="22"/>
          <w:szCs w:val="22"/>
        </w:rPr>
        <w:t>% to 0.</w:t>
      </w:r>
      <w:r>
        <w:rPr>
          <w:rFonts w:ascii="Garamond" w:hAnsi="Garamond"/>
          <w:sz w:val="22"/>
          <w:szCs w:val="22"/>
        </w:rPr>
        <w:t xml:space="preserve">50%). </w:t>
      </w:r>
      <w:r w:rsidR="00AD2092">
        <w:rPr>
          <w:rFonts w:ascii="Garamond" w:hAnsi="Garamond"/>
          <w:sz w:val="22"/>
          <w:szCs w:val="22"/>
        </w:rPr>
        <w:t xml:space="preserve">This risk of early discharge was most pronounced in patients who were younger, and with </w:t>
      </w:r>
      <w:r w:rsidR="00BA322D">
        <w:rPr>
          <w:rFonts w:ascii="Garamond" w:hAnsi="Garamond"/>
          <w:sz w:val="22"/>
          <w:szCs w:val="22"/>
        </w:rPr>
        <w:t>less comorbidity</w:t>
      </w:r>
      <w:r w:rsidR="00AD2092">
        <w:rPr>
          <w:rFonts w:ascii="Garamond" w:hAnsi="Garamond"/>
          <w:sz w:val="22"/>
          <w:szCs w:val="22"/>
        </w:rPr>
        <w:t xml:space="preserve">. </w:t>
      </w:r>
      <w:r w:rsidR="004D3FCE">
        <w:rPr>
          <w:rFonts w:ascii="Garamond" w:hAnsi="Garamond"/>
          <w:sz w:val="22"/>
          <w:szCs w:val="22"/>
        </w:rPr>
        <w:t xml:space="preserve">Therefore, it </w:t>
      </w:r>
      <w:r w:rsidR="00775C62">
        <w:rPr>
          <w:rFonts w:ascii="Garamond" w:hAnsi="Garamond"/>
          <w:sz w:val="22"/>
          <w:szCs w:val="22"/>
        </w:rPr>
        <w:t xml:space="preserve">appears </w:t>
      </w:r>
      <w:r w:rsidR="004D3FCE">
        <w:rPr>
          <w:rFonts w:ascii="Garamond" w:hAnsi="Garamond"/>
          <w:sz w:val="22"/>
          <w:szCs w:val="22"/>
        </w:rPr>
        <w:t xml:space="preserve">that patients are discharged earlier when beds are full, though </w:t>
      </w:r>
      <w:r w:rsidR="004D3FCE">
        <w:rPr>
          <w:rFonts w:ascii="Garamond" w:hAnsi="Garamond"/>
          <w:sz w:val="22"/>
          <w:szCs w:val="22"/>
        </w:rPr>
        <w:lastRenderedPageBreak/>
        <w:t>the</w:t>
      </w:r>
      <w:r w:rsidR="004D3FCE" w:rsidRPr="004D3FCE">
        <w:rPr>
          <w:rFonts w:ascii="Garamond" w:hAnsi="Garamond"/>
          <w:sz w:val="22"/>
          <w:szCs w:val="22"/>
        </w:rPr>
        <w:t xml:space="preserve"> additional discharge risk was lower for older </w:t>
      </w:r>
      <w:r w:rsidR="0076275B">
        <w:rPr>
          <w:rFonts w:ascii="Garamond" w:hAnsi="Garamond"/>
          <w:sz w:val="22"/>
          <w:szCs w:val="22"/>
        </w:rPr>
        <w:t xml:space="preserve">and more complex </w:t>
      </w:r>
      <w:r w:rsidR="004D3FCE" w:rsidRPr="004D3FCE">
        <w:rPr>
          <w:rFonts w:ascii="Garamond" w:hAnsi="Garamond"/>
          <w:sz w:val="22"/>
          <w:szCs w:val="22"/>
        </w:rPr>
        <w:t>patients</w:t>
      </w:r>
      <w:r w:rsidR="0076275B">
        <w:rPr>
          <w:rFonts w:ascii="Garamond" w:hAnsi="Garamond"/>
          <w:sz w:val="22"/>
          <w:szCs w:val="22"/>
        </w:rPr>
        <w:t>. This</w:t>
      </w:r>
      <w:r w:rsidR="004D3FCE" w:rsidRPr="004D3FCE">
        <w:rPr>
          <w:rFonts w:ascii="Garamond" w:hAnsi="Garamond"/>
          <w:sz w:val="22"/>
          <w:szCs w:val="22"/>
        </w:rPr>
        <w:t xml:space="preserve"> could indicate that hospitals are allocating scarce beds to the most vulnerable patients, or that it is more challenging to accelerate th</w:t>
      </w:r>
      <w:r w:rsidR="00702A4E">
        <w:rPr>
          <w:rFonts w:ascii="Garamond" w:hAnsi="Garamond"/>
          <w:sz w:val="22"/>
          <w:szCs w:val="22"/>
        </w:rPr>
        <w:t xml:space="preserve">e discharges of older patients, </w:t>
      </w:r>
      <w:r w:rsidR="004D3FCE" w:rsidRPr="004D3FCE">
        <w:rPr>
          <w:rFonts w:ascii="Garamond" w:hAnsi="Garamond"/>
          <w:sz w:val="22"/>
          <w:szCs w:val="22"/>
        </w:rPr>
        <w:t>for example due to limitations in the availability of post-dis</w:t>
      </w:r>
      <w:r w:rsidR="00702A4E">
        <w:rPr>
          <w:rFonts w:ascii="Garamond" w:hAnsi="Garamond"/>
          <w:sz w:val="22"/>
          <w:szCs w:val="22"/>
        </w:rPr>
        <w:t>charge support in the community</w:t>
      </w:r>
      <w:r w:rsidR="004D3FCE" w:rsidRPr="004D3FCE">
        <w:rPr>
          <w:rFonts w:ascii="Garamond" w:hAnsi="Garamond"/>
          <w:sz w:val="22"/>
          <w:szCs w:val="22"/>
        </w:rPr>
        <w:t xml:space="preserve">. </w:t>
      </w:r>
      <w:r w:rsidR="004D3FCE">
        <w:rPr>
          <w:rFonts w:ascii="Garamond" w:hAnsi="Garamond"/>
          <w:sz w:val="22"/>
          <w:szCs w:val="22"/>
        </w:rPr>
        <w:t xml:space="preserve"> </w:t>
      </w:r>
    </w:p>
    <w:p w14:paraId="7BCDFD5B" w14:textId="77777777" w:rsidR="004D3FCE" w:rsidRDefault="004D3FCE" w:rsidP="004D086A">
      <w:pPr>
        <w:spacing w:line="360" w:lineRule="auto"/>
        <w:rPr>
          <w:rFonts w:ascii="Garamond" w:hAnsi="Garamond"/>
          <w:sz w:val="22"/>
          <w:szCs w:val="22"/>
        </w:rPr>
      </w:pPr>
    </w:p>
    <w:p w14:paraId="66B22F85" w14:textId="37EA969E" w:rsidR="004454FB" w:rsidRDefault="0076275B" w:rsidP="00EA5783">
      <w:pPr>
        <w:spacing w:line="360" w:lineRule="auto"/>
        <w:rPr>
          <w:rFonts w:ascii="Garamond" w:hAnsi="Garamond"/>
          <w:sz w:val="22"/>
          <w:szCs w:val="22"/>
        </w:rPr>
      </w:pPr>
      <w:r>
        <w:rPr>
          <w:rFonts w:ascii="Garamond" w:hAnsi="Garamond"/>
          <w:sz w:val="22"/>
          <w:szCs w:val="22"/>
        </w:rPr>
        <w:t>Concerns have been raised that</w:t>
      </w:r>
      <w:r w:rsidR="00EA5783">
        <w:rPr>
          <w:rFonts w:ascii="Garamond" w:hAnsi="Garamond"/>
          <w:sz w:val="22"/>
          <w:szCs w:val="22"/>
        </w:rPr>
        <w:t xml:space="preserve"> pressures on beds might adversely affect the quality of care provided, for example because of the inadequate discharge planning or coordination.</w:t>
      </w:r>
      <w:r w:rsidR="00702A4E" w:rsidRPr="002B3054">
        <w:rPr>
          <w:rFonts w:ascii="Garamond" w:hAnsi="Garamond"/>
          <w:sz w:val="22"/>
          <w:szCs w:val="22"/>
        </w:rPr>
        <w:fldChar w:fldCharType="begin" w:fldLock="1"/>
      </w:r>
      <w:r w:rsidR="00481CE7">
        <w:rPr>
          <w:rFonts w:ascii="Garamond" w:hAnsi="Garamond"/>
          <w:sz w:val="22"/>
          <w:szCs w:val="22"/>
        </w:rPr>
        <w:instrText>ADDIN CSL_CITATION {"citationItems":[{"id":"ITEM-1","itemData":{"author":[{"dropping-particle":"","family":"British Medical Association","given":"","non-dropping-particle":"","parse-names":false,"suffix":""}],"id":"ITEM-1","issued":{"date-parts":[["2017"]]},"number-of-pages":"1-20","publisher-place":"London, England","title":"State of the health system Beds in the NHS: England","type":"report"},"uris":["http://www.mendeley.com/documents/?uuid=84413301-152d-4bbe-afed-b3f750a088e1","http://www.mendeley.com/documents/?uuid=1fd038c4-d514-4e6a-a084-f0789ff4932a"]}],"mendeley":{"formattedCitation":"[7]","plainTextFormattedCitation":"[7]","previouslyFormattedCitation":"[7]"},"properties":{"noteIndex":0},"schema":"https://github.com/citation-style-language/schema/raw/master/csl-citation.json"}</w:instrText>
      </w:r>
      <w:r w:rsidR="00702A4E" w:rsidRPr="002B3054">
        <w:rPr>
          <w:rFonts w:ascii="Garamond" w:hAnsi="Garamond"/>
          <w:sz w:val="22"/>
          <w:szCs w:val="22"/>
        </w:rPr>
        <w:fldChar w:fldCharType="separate"/>
      </w:r>
      <w:r w:rsidR="00702A4E" w:rsidRPr="002B3054">
        <w:rPr>
          <w:rFonts w:ascii="Garamond" w:hAnsi="Garamond"/>
          <w:noProof/>
          <w:sz w:val="22"/>
          <w:szCs w:val="22"/>
        </w:rPr>
        <w:t>[7]</w:t>
      </w:r>
      <w:r w:rsidR="00702A4E" w:rsidRPr="002B3054">
        <w:rPr>
          <w:rFonts w:ascii="Garamond" w:hAnsi="Garamond"/>
          <w:sz w:val="22"/>
          <w:szCs w:val="22"/>
        </w:rPr>
        <w:fldChar w:fldCharType="end"/>
      </w:r>
      <w:r w:rsidR="00EA5783">
        <w:rPr>
          <w:rFonts w:ascii="Garamond" w:hAnsi="Garamond"/>
          <w:sz w:val="22"/>
          <w:szCs w:val="22"/>
        </w:rPr>
        <w:t xml:space="preserve"> We found </w:t>
      </w:r>
      <w:r w:rsidR="00FC1674">
        <w:rPr>
          <w:rFonts w:ascii="Garamond" w:hAnsi="Garamond"/>
          <w:sz w:val="22"/>
          <w:szCs w:val="22"/>
        </w:rPr>
        <w:t xml:space="preserve">that </w:t>
      </w:r>
      <w:r w:rsidR="00EA5783">
        <w:rPr>
          <w:rFonts w:ascii="Garamond" w:hAnsi="Garamond"/>
          <w:sz w:val="22"/>
          <w:szCs w:val="22"/>
        </w:rPr>
        <w:t xml:space="preserve">patients had a higher risk of readmission when they </w:t>
      </w:r>
      <w:r w:rsidR="00775C62">
        <w:rPr>
          <w:rFonts w:ascii="Garamond" w:hAnsi="Garamond"/>
          <w:sz w:val="22"/>
          <w:szCs w:val="22"/>
        </w:rPr>
        <w:t>were</w:t>
      </w:r>
      <w:r w:rsidR="00EA5783">
        <w:rPr>
          <w:rFonts w:ascii="Garamond" w:hAnsi="Garamond"/>
          <w:sz w:val="22"/>
          <w:szCs w:val="22"/>
        </w:rPr>
        <w:t xml:space="preserve"> discharged at times when more beds are full, but the increases were s</w:t>
      </w:r>
      <w:r w:rsidR="00083082">
        <w:rPr>
          <w:rFonts w:ascii="Garamond" w:hAnsi="Garamond"/>
          <w:sz w:val="22"/>
          <w:szCs w:val="22"/>
        </w:rPr>
        <w:t>mall</w:t>
      </w:r>
      <w:r w:rsidR="00EA5783">
        <w:rPr>
          <w:rFonts w:ascii="Garamond" w:hAnsi="Garamond"/>
          <w:sz w:val="22"/>
          <w:szCs w:val="22"/>
        </w:rPr>
        <w:t xml:space="preserve"> in comparison to the usual 30-day readmission </w:t>
      </w:r>
      <w:r w:rsidR="00F47AE3">
        <w:rPr>
          <w:rFonts w:ascii="Garamond" w:hAnsi="Garamond"/>
          <w:sz w:val="22"/>
          <w:szCs w:val="22"/>
        </w:rPr>
        <w:t>rate</w:t>
      </w:r>
      <w:r w:rsidR="00EA5783">
        <w:rPr>
          <w:rFonts w:ascii="Garamond" w:hAnsi="Garamond"/>
          <w:sz w:val="22"/>
          <w:szCs w:val="22"/>
        </w:rPr>
        <w:t xml:space="preserve"> of around 12.5% for the average patient who remains in hospital a minimum of one night</w:t>
      </w:r>
      <w:r w:rsidR="00E25353" w:rsidRPr="00C12AFA">
        <w:rPr>
          <w:rFonts w:ascii="Garamond" w:hAnsi="Garamond"/>
          <w:sz w:val="22"/>
          <w:szCs w:val="22"/>
        </w:rPr>
        <w:t>. For e</w:t>
      </w:r>
      <w:r w:rsidR="00E25353">
        <w:rPr>
          <w:rFonts w:ascii="Garamond" w:hAnsi="Garamond"/>
          <w:sz w:val="22"/>
          <w:szCs w:val="22"/>
        </w:rPr>
        <w:t>ach</w:t>
      </w:r>
      <w:r w:rsidR="00E25353" w:rsidRPr="00C12AFA">
        <w:rPr>
          <w:rFonts w:ascii="Garamond" w:hAnsi="Garamond"/>
          <w:sz w:val="22"/>
          <w:szCs w:val="22"/>
        </w:rPr>
        <w:t xml:space="preserve"> 1% increase in bed occupancy, the </w:t>
      </w:r>
      <w:r w:rsidR="00F47AE3">
        <w:rPr>
          <w:rFonts w:ascii="Garamond" w:hAnsi="Garamond"/>
          <w:sz w:val="22"/>
          <w:szCs w:val="22"/>
        </w:rPr>
        <w:t xml:space="preserve">30-day </w:t>
      </w:r>
      <w:r w:rsidR="00E25353" w:rsidRPr="00C12AFA">
        <w:rPr>
          <w:rFonts w:ascii="Garamond" w:hAnsi="Garamond"/>
          <w:sz w:val="22"/>
          <w:szCs w:val="22"/>
        </w:rPr>
        <w:t>readmission rate increased by 0.0</w:t>
      </w:r>
      <w:r w:rsidR="00E25353">
        <w:rPr>
          <w:rFonts w:ascii="Garamond" w:hAnsi="Garamond"/>
          <w:sz w:val="22"/>
          <w:szCs w:val="22"/>
        </w:rPr>
        <w:t>11</w:t>
      </w:r>
      <w:r w:rsidR="00E25353" w:rsidRPr="00C12AFA">
        <w:rPr>
          <w:rFonts w:ascii="Garamond" w:hAnsi="Garamond"/>
          <w:sz w:val="22"/>
          <w:szCs w:val="22"/>
        </w:rPr>
        <w:t>% (95% CI, 0.00</w:t>
      </w:r>
      <w:r w:rsidR="00E25353">
        <w:rPr>
          <w:rFonts w:ascii="Garamond" w:hAnsi="Garamond"/>
          <w:sz w:val="22"/>
          <w:szCs w:val="22"/>
        </w:rPr>
        <w:t>3</w:t>
      </w:r>
      <w:r w:rsidR="00E25353" w:rsidRPr="00C12AFA">
        <w:rPr>
          <w:rFonts w:ascii="Garamond" w:hAnsi="Garamond"/>
          <w:sz w:val="22"/>
          <w:szCs w:val="22"/>
        </w:rPr>
        <w:t>% to 0.01</w:t>
      </w:r>
      <w:r w:rsidR="00E25353">
        <w:rPr>
          <w:rFonts w:ascii="Garamond" w:hAnsi="Garamond"/>
          <w:sz w:val="22"/>
          <w:szCs w:val="22"/>
        </w:rPr>
        <w:t>9</w:t>
      </w:r>
      <w:r w:rsidR="00EA5783" w:rsidRPr="00C12AFA">
        <w:rPr>
          <w:rFonts w:ascii="Garamond" w:hAnsi="Garamond"/>
          <w:sz w:val="22"/>
          <w:szCs w:val="22"/>
        </w:rPr>
        <w:t>%)</w:t>
      </w:r>
      <w:r w:rsidR="00EA5783">
        <w:rPr>
          <w:rFonts w:ascii="Garamond" w:hAnsi="Garamond"/>
          <w:sz w:val="22"/>
          <w:szCs w:val="22"/>
        </w:rPr>
        <w:t>, though the</w:t>
      </w:r>
      <w:r w:rsidR="00EA5783" w:rsidRPr="00C12AFA">
        <w:rPr>
          <w:rFonts w:ascii="Garamond" w:hAnsi="Garamond"/>
          <w:sz w:val="22"/>
          <w:szCs w:val="22"/>
        </w:rPr>
        <w:t xml:space="preserve"> </w:t>
      </w:r>
      <w:r w:rsidR="00B24714" w:rsidRPr="00C12AFA">
        <w:rPr>
          <w:rFonts w:ascii="Garamond" w:hAnsi="Garamond"/>
          <w:sz w:val="22"/>
          <w:szCs w:val="22"/>
        </w:rPr>
        <w:t xml:space="preserve">association </w:t>
      </w:r>
      <w:r w:rsidR="00F41AF8">
        <w:rPr>
          <w:rFonts w:ascii="Garamond" w:hAnsi="Garamond"/>
          <w:sz w:val="22"/>
          <w:szCs w:val="22"/>
        </w:rPr>
        <w:t>was more</w:t>
      </w:r>
      <w:r w:rsidR="004D086A" w:rsidRPr="00C12AFA">
        <w:rPr>
          <w:rFonts w:ascii="Garamond" w:hAnsi="Garamond"/>
          <w:sz w:val="22"/>
          <w:szCs w:val="22"/>
        </w:rPr>
        <w:t xml:space="preserve"> </w:t>
      </w:r>
      <w:r w:rsidR="005B3EC9" w:rsidRPr="00C12AFA">
        <w:rPr>
          <w:rFonts w:ascii="Garamond" w:hAnsi="Garamond"/>
          <w:sz w:val="22"/>
          <w:szCs w:val="22"/>
        </w:rPr>
        <w:t xml:space="preserve">pronounced </w:t>
      </w:r>
      <w:r w:rsidR="00F41AF8">
        <w:rPr>
          <w:rFonts w:ascii="Garamond" w:hAnsi="Garamond"/>
          <w:sz w:val="22"/>
          <w:szCs w:val="22"/>
        </w:rPr>
        <w:t xml:space="preserve">when </w:t>
      </w:r>
      <w:r w:rsidR="004D086A">
        <w:rPr>
          <w:rFonts w:ascii="Garamond" w:hAnsi="Garamond"/>
          <w:sz w:val="22"/>
          <w:szCs w:val="22"/>
        </w:rPr>
        <w:t xml:space="preserve">the bed occupancy rate </w:t>
      </w:r>
      <w:r w:rsidR="00F41AF8">
        <w:rPr>
          <w:rFonts w:ascii="Garamond" w:hAnsi="Garamond"/>
          <w:sz w:val="22"/>
          <w:szCs w:val="22"/>
        </w:rPr>
        <w:t>reached its highest levels</w:t>
      </w:r>
      <w:r w:rsidR="00EA5783">
        <w:rPr>
          <w:rFonts w:ascii="Garamond" w:hAnsi="Garamond"/>
          <w:sz w:val="22"/>
          <w:szCs w:val="22"/>
        </w:rPr>
        <w:t xml:space="preserve"> and amongst certain population groups</w:t>
      </w:r>
      <w:r w:rsidR="004D086A">
        <w:rPr>
          <w:rFonts w:ascii="Garamond" w:hAnsi="Garamond"/>
          <w:sz w:val="22"/>
          <w:szCs w:val="22"/>
        </w:rPr>
        <w:t>. For example, the association was around four times greater when the bed occupancy rate exceeded</w:t>
      </w:r>
      <w:r w:rsidR="005A2A18">
        <w:rPr>
          <w:rFonts w:ascii="Garamond" w:hAnsi="Garamond"/>
          <w:sz w:val="22"/>
          <w:szCs w:val="22"/>
        </w:rPr>
        <w:t xml:space="preserve"> 9</w:t>
      </w:r>
      <w:r w:rsidR="004D086A">
        <w:rPr>
          <w:rFonts w:ascii="Garamond" w:hAnsi="Garamond"/>
          <w:sz w:val="22"/>
          <w:szCs w:val="22"/>
        </w:rPr>
        <w:t>5</w:t>
      </w:r>
      <w:r w:rsidR="005B3EC9" w:rsidRPr="00C12AFA">
        <w:rPr>
          <w:rFonts w:ascii="Garamond" w:hAnsi="Garamond"/>
          <w:sz w:val="22"/>
          <w:szCs w:val="22"/>
        </w:rPr>
        <w:t xml:space="preserve">%, </w:t>
      </w:r>
      <w:r w:rsidR="004D086A">
        <w:rPr>
          <w:rFonts w:ascii="Garamond" w:hAnsi="Garamond"/>
          <w:sz w:val="22"/>
          <w:szCs w:val="22"/>
        </w:rPr>
        <w:t xml:space="preserve">with readmission risk increasing by </w:t>
      </w:r>
      <w:r w:rsidR="005B3EC9" w:rsidRPr="00C12AFA">
        <w:rPr>
          <w:rFonts w:ascii="Garamond" w:hAnsi="Garamond"/>
          <w:sz w:val="22"/>
          <w:szCs w:val="22"/>
        </w:rPr>
        <w:t xml:space="preserve">0.04% </w:t>
      </w:r>
      <w:r w:rsidR="004D086A">
        <w:rPr>
          <w:rFonts w:ascii="Garamond" w:hAnsi="Garamond"/>
          <w:sz w:val="22"/>
          <w:szCs w:val="22"/>
        </w:rPr>
        <w:t>for each percentage point increase in bed occupancy above that level</w:t>
      </w:r>
      <w:r w:rsidR="005B3EC9" w:rsidRPr="00C12AFA">
        <w:rPr>
          <w:rFonts w:ascii="Garamond" w:hAnsi="Garamond"/>
          <w:sz w:val="22"/>
          <w:szCs w:val="22"/>
        </w:rPr>
        <w:t xml:space="preserve"> (95% CI, 0.0</w:t>
      </w:r>
      <w:r w:rsidR="005A2A18">
        <w:rPr>
          <w:rFonts w:ascii="Garamond" w:hAnsi="Garamond"/>
          <w:sz w:val="22"/>
          <w:szCs w:val="22"/>
        </w:rPr>
        <w:t>03</w:t>
      </w:r>
      <w:r w:rsidR="005B3EC9" w:rsidRPr="00C12AFA">
        <w:rPr>
          <w:rFonts w:ascii="Garamond" w:hAnsi="Garamond"/>
          <w:sz w:val="22"/>
          <w:szCs w:val="22"/>
        </w:rPr>
        <w:t>% to 0.0</w:t>
      </w:r>
      <w:r w:rsidR="005A2A18">
        <w:rPr>
          <w:rFonts w:ascii="Garamond" w:hAnsi="Garamond"/>
          <w:sz w:val="22"/>
          <w:szCs w:val="22"/>
        </w:rPr>
        <w:t>76</w:t>
      </w:r>
      <w:r w:rsidR="005B3EC9" w:rsidRPr="00C12AFA">
        <w:rPr>
          <w:rFonts w:ascii="Garamond" w:hAnsi="Garamond"/>
          <w:sz w:val="22"/>
          <w:szCs w:val="22"/>
        </w:rPr>
        <w:t xml:space="preserve">%). </w:t>
      </w:r>
      <w:r w:rsidR="004D086A">
        <w:rPr>
          <w:rFonts w:ascii="Garamond" w:hAnsi="Garamond"/>
          <w:sz w:val="22"/>
          <w:szCs w:val="22"/>
        </w:rPr>
        <w:t xml:space="preserve">The </w:t>
      </w:r>
      <w:r w:rsidR="00047CDA">
        <w:rPr>
          <w:rFonts w:ascii="Garamond" w:hAnsi="Garamond"/>
          <w:sz w:val="22"/>
          <w:szCs w:val="22"/>
        </w:rPr>
        <w:t xml:space="preserve">association was </w:t>
      </w:r>
      <w:r w:rsidR="004D086A">
        <w:rPr>
          <w:rFonts w:ascii="Garamond" w:hAnsi="Garamond"/>
          <w:sz w:val="22"/>
          <w:szCs w:val="22"/>
        </w:rPr>
        <w:t xml:space="preserve">also </w:t>
      </w:r>
      <w:r w:rsidR="00544AD0">
        <w:rPr>
          <w:rFonts w:ascii="Garamond" w:hAnsi="Garamond"/>
          <w:sz w:val="22"/>
          <w:szCs w:val="22"/>
        </w:rPr>
        <w:t xml:space="preserve">more pronounced </w:t>
      </w:r>
      <w:r w:rsidR="00EA5783">
        <w:rPr>
          <w:rFonts w:ascii="Garamond" w:hAnsi="Garamond"/>
          <w:sz w:val="22"/>
          <w:szCs w:val="22"/>
        </w:rPr>
        <w:t>for</w:t>
      </w:r>
      <w:r w:rsidR="00544AD0">
        <w:rPr>
          <w:rFonts w:ascii="Garamond" w:hAnsi="Garamond"/>
          <w:sz w:val="22"/>
          <w:szCs w:val="22"/>
        </w:rPr>
        <w:t xml:space="preserve"> </w:t>
      </w:r>
      <w:r w:rsidR="004D086A">
        <w:rPr>
          <w:rFonts w:ascii="Garamond" w:hAnsi="Garamond"/>
          <w:sz w:val="22"/>
          <w:szCs w:val="22"/>
        </w:rPr>
        <w:t xml:space="preserve">older </w:t>
      </w:r>
      <w:r w:rsidR="00544AD0">
        <w:rPr>
          <w:rFonts w:ascii="Garamond" w:hAnsi="Garamond"/>
          <w:sz w:val="22"/>
          <w:szCs w:val="22"/>
        </w:rPr>
        <w:t>patients (0.09%</w:t>
      </w:r>
      <w:r w:rsidR="004D086A">
        <w:rPr>
          <w:rFonts w:ascii="Garamond" w:hAnsi="Garamond"/>
          <w:sz w:val="22"/>
          <w:szCs w:val="22"/>
        </w:rPr>
        <w:t xml:space="preserve"> increase in readmission risk for patients aged </w:t>
      </w:r>
      <w:r w:rsidR="00083082">
        <w:rPr>
          <w:rFonts w:ascii="Garamond" w:hAnsi="Garamond"/>
          <w:sz w:val="22"/>
          <w:szCs w:val="22"/>
        </w:rPr>
        <w:t xml:space="preserve">years </w:t>
      </w:r>
      <w:r w:rsidR="004D086A">
        <w:rPr>
          <w:rFonts w:ascii="Garamond" w:hAnsi="Garamond"/>
          <w:sz w:val="22"/>
          <w:szCs w:val="22"/>
        </w:rPr>
        <w:t xml:space="preserve">81 to 90 </w:t>
      </w:r>
      <w:r w:rsidR="007C52F7">
        <w:rPr>
          <w:rFonts w:ascii="Garamond" w:hAnsi="Garamond"/>
          <w:sz w:val="22"/>
          <w:szCs w:val="22"/>
        </w:rPr>
        <w:t>for each additional 1% of beds occupied</w:t>
      </w:r>
      <w:r w:rsidR="00544AD0">
        <w:rPr>
          <w:rFonts w:ascii="Garamond" w:hAnsi="Garamond"/>
          <w:sz w:val="22"/>
          <w:szCs w:val="22"/>
        </w:rPr>
        <w:t xml:space="preserve">; CI 95%, 0.08% to 0.11%), </w:t>
      </w:r>
      <w:r w:rsidR="00771D48">
        <w:rPr>
          <w:rFonts w:ascii="Garamond" w:hAnsi="Garamond"/>
          <w:sz w:val="22"/>
          <w:szCs w:val="22"/>
        </w:rPr>
        <w:t xml:space="preserve">and </w:t>
      </w:r>
      <w:r w:rsidR="004D086A">
        <w:rPr>
          <w:rFonts w:ascii="Garamond" w:hAnsi="Garamond"/>
          <w:sz w:val="22"/>
          <w:szCs w:val="22"/>
        </w:rPr>
        <w:t xml:space="preserve">those with </w:t>
      </w:r>
      <w:r w:rsidR="00F644A2">
        <w:rPr>
          <w:rFonts w:ascii="Garamond" w:hAnsi="Garamond"/>
          <w:sz w:val="22"/>
          <w:szCs w:val="22"/>
        </w:rPr>
        <w:t xml:space="preserve">several </w:t>
      </w:r>
      <w:r w:rsidR="00544AD0">
        <w:rPr>
          <w:rFonts w:ascii="Garamond" w:hAnsi="Garamond"/>
          <w:sz w:val="22"/>
          <w:szCs w:val="22"/>
        </w:rPr>
        <w:t>comorbidities (0.10</w:t>
      </w:r>
      <w:r w:rsidR="004D086A">
        <w:rPr>
          <w:rFonts w:ascii="Garamond" w:hAnsi="Garamond"/>
          <w:sz w:val="22"/>
          <w:szCs w:val="22"/>
        </w:rPr>
        <w:t>% increase or higher</w:t>
      </w:r>
      <w:r w:rsidR="00544AD0">
        <w:rPr>
          <w:rFonts w:ascii="Garamond" w:hAnsi="Garamond"/>
          <w:sz w:val="22"/>
          <w:szCs w:val="22"/>
        </w:rPr>
        <w:t xml:space="preserve">; CI 95%, 0.06 to 0.14). </w:t>
      </w:r>
      <w:r w:rsidR="00EA5783">
        <w:rPr>
          <w:rFonts w:ascii="Garamond" w:hAnsi="Garamond"/>
          <w:sz w:val="22"/>
          <w:szCs w:val="22"/>
        </w:rPr>
        <w:t>However, e</w:t>
      </w:r>
      <w:r w:rsidR="00F41AF8">
        <w:rPr>
          <w:rFonts w:ascii="Garamond" w:hAnsi="Garamond"/>
          <w:sz w:val="22"/>
          <w:szCs w:val="22"/>
        </w:rPr>
        <w:t>ven at the highest levels</w:t>
      </w:r>
      <w:r w:rsidR="00083082">
        <w:rPr>
          <w:rFonts w:ascii="Garamond" w:hAnsi="Garamond"/>
          <w:sz w:val="22"/>
          <w:szCs w:val="22"/>
        </w:rPr>
        <w:t xml:space="preserve"> of bed occupancy</w:t>
      </w:r>
      <w:r w:rsidR="00F41AF8">
        <w:rPr>
          <w:rFonts w:ascii="Garamond" w:hAnsi="Garamond"/>
          <w:sz w:val="22"/>
          <w:szCs w:val="22"/>
        </w:rPr>
        <w:t xml:space="preserve">, the increased readmission risk </w:t>
      </w:r>
      <w:r w:rsidR="00083082">
        <w:rPr>
          <w:rFonts w:ascii="Garamond" w:hAnsi="Garamond"/>
          <w:sz w:val="22"/>
          <w:szCs w:val="22"/>
        </w:rPr>
        <w:t xml:space="preserve">is </w:t>
      </w:r>
      <w:r w:rsidR="00F41AF8">
        <w:rPr>
          <w:rFonts w:ascii="Garamond" w:hAnsi="Garamond"/>
          <w:sz w:val="22"/>
          <w:szCs w:val="22"/>
        </w:rPr>
        <w:t xml:space="preserve">unlikely to be clinically significant. </w:t>
      </w:r>
      <w:r w:rsidR="00771D48">
        <w:rPr>
          <w:rFonts w:ascii="Garamond" w:hAnsi="Garamond"/>
          <w:sz w:val="22"/>
          <w:szCs w:val="22"/>
        </w:rPr>
        <w:t xml:space="preserve">Our </w:t>
      </w:r>
      <w:r w:rsidR="00FC1674">
        <w:rPr>
          <w:rFonts w:ascii="Garamond" w:hAnsi="Garamond"/>
          <w:sz w:val="22"/>
          <w:szCs w:val="22"/>
        </w:rPr>
        <w:t xml:space="preserve">findings suggest that hospitals are managing the additional pressures on hospital beds by discharging the </w:t>
      </w:r>
      <w:r w:rsidR="00FC1674" w:rsidRPr="000D094A">
        <w:rPr>
          <w:rFonts w:ascii="Garamond" w:hAnsi="Garamond"/>
          <w:sz w:val="22"/>
          <w:szCs w:val="22"/>
        </w:rPr>
        <w:t>least vulnerable patients</w:t>
      </w:r>
      <w:r w:rsidR="00FC1674">
        <w:rPr>
          <w:rFonts w:ascii="Garamond" w:hAnsi="Garamond"/>
          <w:sz w:val="22"/>
          <w:szCs w:val="22"/>
        </w:rPr>
        <w:t xml:space="preserve"> in ways that do not lead to additional readmission</w:t>
      </w:r>
      <w:r w:rsidR="00F41AF8">
        <w:rPr>
          <w:rFonts w:ascii="Garamond" w:hAnsi="Garamond"/>
          <w:sz w:val="22"/>
          <w:szCs w:val="22"/>
        </w:rPr>
        <w:t>s</w:t>
      </w:r>
      <w:r w:rsidR="00FC1674">
        <w:rPr>
          <w:rFonts w:ascii="Garamond" w:hAnsi="Garamond"/>
          <w:sz w:val="22"/>
          <w:szCs w:val="22"/>
        </w:rPr>
        <w:t xml:space="preserve">. However, the slight </w:t>
      </w:r>
      <w:r w:rsidR="00E057B6">
        <w:rPr>
          <w:rFonts w:ascii="Garamond" w:hAnsi="Garamond"/>
          <w:sz w:val="22"/>
          <w:szCs w:val="22"/>
        </w:rPr>
        <w:t xml:space="preserve">increases in readmissions </w:t>
      </w:r>
      <w:r w:rsidR="00FC1674">
        <w:rPr>
          <w:rFonts w:ascii="Garamond" w:hAnsi="Garamond"/>
          <w:sz w:val="22"/>
          <w:szCs w:val="22"/>
        </w:rPr>
        <w:t xml:space="preserve">that we detected </w:t>
      </w:r>
      <w:r w:rsidR="00E057B6">
        <w:rPr>
          <w:rFonts w:ascii="Garamond" w:hAnsi="Garamond"/>
          <w:sz w:val="22"/>
          <w:szCs w:val="22"/>
        </w:rPr>
        <w:t xml:space="preserve">might </w:t>
      </w:r>
      <w:r w:rsidR="00FC1674">
        <w:rPr>
          <w:rFonts w:ascii="Garamond" w:hAnsi="Garamond"/>
          <w:sz w:val="22"/>
          <w:szCs w:val="22"/>
        </w:rPr>
        <w:t xml:space="preserve">still </w:t>
      </w:r>
      <w:r w:rsidR="00E057B6">
        <w:rPr>
          <w:rFonts w:ascii="Garamond" w:hAnsi="Garamond"/>
          <w:sz w:val="22"/>
          <w:szCs w:val="22"/>
        </w:rPr>
        <w:t>signal wider</w:t>
      </w:r>
      <w:r w:rsidR="004D086A">
        <w:rPr>
          <w:rFonts w:ascii="Garamond" w:hAnsi="Garamond"/>
          <w:sz w:val="22"/>
          <w:szCs w:val="22"/>
        </w:rPr>
        <w:t xml:space="preserve"> </w:t>
      </w:r>
      <w:r w:rsidR="00E057B6">
        <w:rPr>
          <w:rFonts w:ascii="Garamond" w:hAnsi="Garamond"/>
          <w:sz w:val="22"/>
          <w:szCs w:val="22"/>
        </w:rPr>
        <w:t>impacts on the quality of care</w:t>
      </w:r>
      <w:r w:rsidR="00F85529">
        <w:rPr>
          <w:rFonts w:ascii="Garamond" w:hAnsi="Garamond"/>
          <w:sz w:val="22"/>
          <w:szCs w:val="22"/>
        </w:rPr>
        <w:t>, which warrant further investigation</w:t>
      </w:r>
      <w:r w:rsidR="004D086A">
        <w:rPr>
          <w:rFonts w:ascii="Garamond" w:hAnsi="Garamond"/>
          <w:sz w:val="22"/>
          <w:szCs w:val="22"/>
        </w:rPr>
        <w:t xml:space="preserve">. </w:t>
      </w:r>
      <w:r w:rsidR="00F47AE3">
        <w:rPr>
          <w:rFonts w:ascii="Garamond" w:hAnsi="Garamond"/>
          <w:sz w:val="22"/>
          <w:szCs w:val="22"/>
        </w:rPr>
        <w:t>High bed occupancy rates are likely to remain a concern, not only in the NHS, but also across other health systems that are expected to face rises in demand for their services</w:t>
      </w:r>
      <w:r w:rsidR="00771D48">
        <w:rPr>
          <w:rFonts w:ascii="Garamond" w:hAnsi="Garamond"/>
          <w:sz w:val="22"/>
          <w:szCs w:val="22"/>
        </w:rPr>
        <w:t xml:space="preserve"> in the future</w:t>
      </w:r>
      <w:r w:rsidR="00F47AE3">
        <w:rPr>
          <w:rFonts w:ascii="Garamond" w:hAnsi="Garamond"/>
          <w:sz w:val="22"/>
          <w:szCs w:val="22"/>
        </w:rPr>
        <w:t>.</w:t>
      </w:r>
      <w:r w:rsidR="00F47AE3">
        <w:rPr>
          <w:rFonts w:ascii="Garamond" w:hAnsi="Garamond"/>
          <w:sz w:val="22"/>
          <w:szCs w:val="22"/>
        </w:rPr>
        <w:fldChar w:fldCharType="begin" w:fldLock="1"/>
      </w:r>
      <w:r w:rsidR="00083082">
        <w:rPr>
          <w:rFonts w:ascii="Garamond" w:hAnsi="Garamond"/>
          <w:sz w:val="22"/>
          <w:szCs w:val="22"/>
        </w:rPr>
        <w:instrText>ADDIN CSL_CITATION {"citationItems":[{"id":"ITEM-1","itemData":{"DOI":"10.1093/heapol/czt023","ISBN":"0268-1080","ISSN":"14602237","PMID":"23612847","abstract":"Hospitals compose a large share of total health spending in most countries, and thus have been the target of reforms to improve efficiency and reduce costs. In China, the government implemented national health care reform to improve access to essential services and reduce high out-of-pocket medical spending. A key component is the comprehensive reform of public hospitals on a pilot basis, although it remains one of the least understood aspects of health care reform in China. This article outlines the main goals of the reform of public hospitals in China, progress to date and the direction of reform between now and 2015. Then, we review experiences from industrialized countries and discuss the applicability to the Chinese reform process. Based on the policy directions focusing on efficiency and quality, and reflecting on how hospital systems in other countries have responded, the article concludes that the hospital of the future in China operates at county level. Barriers to realizing this are discussed.","author":[{"dropping-particle":"","family":"Barber","given":"Sarah L.","non-dropping-particle":"","parse-names":false,"suffix":""},{"dropping-particle":"","family":"Borowitz","given":"Michael","non-dropping-particle":"","parse-names":false,"suffix":""},{"dropping-particle":"","family":"Bekedam","given":"Henk","non-dropping-particle":"","parse-names":false,"suffix":""},{"dropping-particle":"","family":"Ma","given":"Jin","non-dropping-particle":"","parse-names":false,"suffix":""}],"container-title":"Health Policy and Planning","id":"ITEM-1","issue":"3","issued":{"date-parts":[["2014"]]},"page":"367-378","title":"The hospital of the future in China: China's reform of public hospitals and trends from industrialized countries","type":"article-journal","volume":"29"},"uris":["http://www.mendeley.com/documents/?uuid=b1706614-aa89-4af2-8bc9-26e5e1921521","http://www.mendeley.com/documents/?uuid=f2ec9357-34ed-4f32-b5a8-65a28f62d0c0"]}],"mendeley":{"formattedCitation":"[37]","plainTextFormattedCitation":"[37]","previouslyFormattedCitation":"[37]"},"properties":{"noteIndex":0},"schema":"https://github.com/citation-style-language/schema/raw/master/csl-citation.json"}</w:instrText>
      </w:r>
      <w:r w:rsidR="00F47AE3">
        <w:rPr>
          <w:rFonts w:ascii="Garamond" w:hAnsi="Garamond"/>
          <w:sz w:val="22"/>
          <w:szCs w:val="22"/>
        </w:rPr>
        <w:fldChar w:fldCharType="separate"/>
      </w:r>
      <w:r w:rsidR="009D62D3" w:rsidRPr="009D62D3">
        <w:rPr>
          <w:rFonts w:ascii="Garamond" w:hAnsi="Garamond"/>
          <w:noProof/>
          <w:sz w:val="22"/>
          <w:szCs w:val="22"/>
        </w:rPr>
        <w:t>[37]</w:t>
      </w:r>
      <w:r w:rsidR="00F47AE3">
        <w:rPr>
          <w:rFonts w:ascii="Garamond" w:hAnsi="Garamond"/>
          <w:sz w:val="22"/>
          <w:szCs w:val="22"/>
        </w:rPr>
        <w:fldChar w:fldCharType="end"/>
      </w:r>
    </w:p>
    <w:p w14:paraId="1619BE9E" w14:textId="77777777" w:rsidR="004454FB" w:rsidRDefault="004454FB" w:rsidP="004D086A">
      <w:pPr>
        <w:spacing w:line="360" w:lineRule="auto"/>
        <w:rPr>
          <w:rFonts w:ascii="Garamond" w:hAnsi="Garamond"/>
          <w:sz w:val="22"/>
          <w:szCs w:val="22"/>
        </w:rPr>
      </w:pPr>
    </w:p>
    <w:p w14:paraId="24646773" w14:textId="66A0B059" w:rsidR="00386B68" w:rsidRPr="00C12AFA" w:rsidRDefault="006E002E" w:rsidP="0036336A">
      <w:pPr>
        <w:spacing w:line="360" w:lineRule="auto"/>
        <w:outlineLvl w:val="0"/>
        <w:rPr>
          <w:rFonts w:ascii="Garamond" w:hAnsi="Garamond"/>
          <w:b/>
          <w:i/>
          <w:sz w:val="22"/>
          <w:szCs w:val="22"/>
        </w:rPr>
      </w:pPr>
      <w:r>
        <w:rPr>
          <w:rFonts w:ascii="Garamond" w:hAnsi="Garamond"/>
          <w:b/>
          <w:i/>
          <w:sz w:val="22"/>
          <w:szCs w:val="22"/>
        </w:rPr>
        <w:t xml:space="preserve">Prior research </w:t>
      </w:r>
    </w:p>
    <w:p w14:paraId="20AA4785" w14:textId="4E60B3EA" w:rsidR="002913FF" w:rsidRDefault="00F47AE3" w:rsidP="00F47AE3">
      <w:pPr>
        <w:spacing w:line="360" w:lineRule="auto"/>
        <w:rPr>
          <w:rFonts w:ascii="Garamond" w:hAnsi="Garamond"/>
          <w:sz w:val="22"/>
          <w:szCs w:val="22"/>
        </w:rPr>
      </w:pPr>
      <w:r>
        <w:rPr>
          <w:rFonts w:ascii="Garamond" w:hAnsi="Garamond"/>
          <w:sz w:val="22"/>
          <w:szCs w:val="22"/>
        </w:rPr>
        <w:lastRenderedPageBreak/>
        <w:t>P</w:t>
      </w:r>
      <w:r w:rsidR="00F41AF8">
        <w:rPr>
          <w:rFonts w:ascii="Garamond" w:hAnsi="Garamond"/>
          <w:sz w:val="22"/>
          <w:szCs w:val="22"/>
        </w:rPr>
        <w:t xml:space="preserve">revious research </w:t>
      </w:r>
      <w:r>
        <w:rPr>
          <w:rFonts w:ascii="Garamond" w:hAnsi="Garamond"/>
          <w:sz w:val="22"/>
          <w:szCs w:val="22"/>
        </w:rPr>
        <w:t>using</w:t>
      </w:r>
      <w:r w:rsidR="00F41AF8">
        <w:rPr>
          <w:rFonts w:ascii="Garamond" w:hAnsi="Garamond"/>
          <w:sz w:val="22"/>
          <w:szCs w:val="22"/>
        </w:rPr>
        <w:t xml:space="preserve"> data from </w:t>
      </w:r>
      <w:r w:rsidR="00775C62">
        <w:rPr>
          <w:rFonts w:ascii="Garamond" w:hAnsi="Garamond"/>
          <w:sz w:val="22"/>
          <w:szCs w:val="22"/>
        </w:rPr>
        <w:t>one</w:t>
      </w:r>
      <w:r w:rsidR="00F41AF8">
        <w:rPr>
          <w:rFonts w:ascii="Garamond" w:hAnsi="Garamond"/>
          <w:sz w:val="22"/>
          <w:szCs w:val="22"/>
        </w:rPr>
        <w:t xml:space="preserve"> </w:t>
      </w:r>
      <w:r w:rsidR="00F41AF8" w:rsidRPr="00E724B5">
        <w:rPr>
          <w:rFonts w:ascii="Garamond" w:hAnsi="Garamond"/>
          <w:sz w:val="22"/>
          <w:szCs w:val="22"/>
        </w:rPr>
        <w:t>420-bed emergency</w:t>
      </w:r>
      <w:r w:rsidR="00F41AF8">
        <w:rPr>
          <w:rFonts w:ascii="Garamond" w:hAnsi="Garamond"/>
          <w:sz w:val="22"/>
          <w:szCs w:val="22"/>
        </w:rPr>
        <w:t xml:space="preserve"> hospital in Sweden found </w:t>
      </w:r>
      <w:r>
        <w:rPr>
          <w:rFonts w:ascii="Garamond" w:hAnsi="Garamond"/>
          <w:sz w:val="22"/>
          <w:szCs w:val="22"/>
        </w:rPr>
        <w:t xml:space="preserve">that </w:t>
      </w:r>
      <w:r w:rsidR="00F41AF8" w:rsidRPr="00E724B5">
        <w:rPr>
          <w:rFonts w:ascii="Garamond" w:hAnsi="Garamond"/>
          <w:sz w:val="22"/>
          <w:szCs w:val="22"/>
        </w:rPr>
        <w:t xml:space="preserve">patients discharged on days with high bed occupancy rates </w:t>
      </w:r>
      <w:r w:rsidR="00F85529">
        <w:rPr>
          <w:rFonts w:ascii="Garamond" w:hAnsi="Garamond"/>
          <w:sz w:val="22"/>
          <w:szCs w:val="22"/>
        </w:rPr>
        <w:t xml:space="preserve">were </w:t>
      </w:r>
      <w:r w:rsidR="00F41AF8" w:rsidRPr="00E724B5">
        <w:rPr>
          <w:rFonts w:ascii="Garamond" w:hAnsi="Garamond"/>
          <w:sz w:val="22"/>
          <w:szCs w:val="22"/>
        </w:rPr>
        <w:t>at higher risk of readmission</w:t>
      </w:r>
      <w:r w:rsidR="00775C62">
        <w:rPr>
          <w:rFonts w:ascii="Garamond" w:hAnsi="Garamond"/>
          <w:sz w:val="22"/>
          <w:szCs w:val="22"/>
        </w:rPr>
        <w:t>, and the authors attributed this to poor quality discharge processes</w:t>
      </w:r>
      <w:r w:rsidR="00F41AF8" w:rsidRPr="00E724B5">
        <w:rPr>
          <w:rFonts w:ascii="Garamond" w:hAnsi="Garamond"/>
          <w:sz w:val="22"/>
          <w:szCs w:val="22"/>
        </w:rPr>
        <w:t>.</w:t>
      </w:r>
      <w:r w:rsidR="00F41AF8" w:rsidRPr="00E724B5">
        <w:rPr>
          <w:rFonts w:ascii="Garamond" w:hAnsi="Garamond"/>
          <w:sz w:val="22"/>
          <w:szCs w:val="22"/>
        </w:rPr>
        <w:fldChar w:fldCharType="begin" w:fldLock="1"/>
      </w:r>
      <w:r w:rsidR="00481CE7">
        <w:rPr>
          <w:rFonts w:ascii="Garamond" w:hAnsi="Garamond"/>
          <w:sz w:val="22"/>
          <w:szCs w:val="22"/>
        </w:rPr>
        <w:instrText>ADDIN CSL_CITATION {"citationItems":[{"id":"ITEM-1","itemData":{"DOI":"10.1186/s12873-015-0067-9","ISBN":"1471-227X","ISSN":"1471-227X","PMID":"26666221","abstract":"BACKGROUND: Previous work has suggested that given a hospital's need to admit more patients from the emergency department (ED), high inpatient bed occupancy may encourage premature hospital discharges that favor the hospital's need for beds over patients' medical interests. We argue that the effects of such action would be measurable as a greater proportion of unplanned hospital readmissions among patients discharged when the hospital was full than when not. In response, the present study tested this hypothesis by investigating the association between inpatient bed occupancy at the time of hospital discharge and the 30-day readmission rate.\\n\\nMETHODS: The sample included all inpatient admissions from the ED at a 420-bed emergency hospital in southern Sweden during 2011-2012 that resulted in discharge before 1 December 2012. The share of unplanned readmissions within 30 days was computed for levels of inpatient bed occupancy of &lt;95%, 95-100%, 100-105% and &gt;105% at the hour of discharge. A binary logistic regression model was constructed to adjust for age, time of discharge, and other factors that could affect the outcome.\\n\\nRESULTS: In all, 32,811 visits were included in the study, 9.9% of which resulted in an unplanned readmission within 30 days of discharge. The proportion of readmissions was 9.0% for occupancy levels of &lt;95% at the patient's discharge, 10.2% for 95-100% occupancy, 10.8% for 100-105% occupancy, and 10.5% for &gt;105% occupancy (p</w:instrText>
      </w:r>
      <w:r w:rsidR="00481CE7">
        <w:rPr>
          <w:rFonts w:ascii="Times New Roman" w:hAnsi="Times New Roman" w:cs="Times New Roman"/>
          <w:sz w:val="22"/>
          <w:szCs w:val="22"/>
        </w:rPr>
        <w:instrText> </w:instrText>
      </w:r>
      <w:r w:rsidR="00481CE7">
        <w:rPr>
          <w:rFonts w:ascii="Garamond" w:hAnsi="Garamond"/>
          <w:sz w:val="22"/>
          <w:szCs w:val="22"/>
        </w:rPr>
        <w:instrText>=</w:instrText>
      </w:r>
      <w:r w:rsidR="00481CE7">
        <w:rPr>
          <w:rFonts w:ascii="Times New Roman" w:hAnsi="Times New Roman" w:cs="Times New Roman"/>
          <w:sz w:val="22"/>
          <w:szCs w:val="22"/>
        </w:rPr>
        <w:instrText> </w:instrText>
      </w:r>
      <w:r w:rsidR="00481CE7">
        <w:rPr>
          <w:rFonts w:ascii="Garamond" w:hAnsi="Garamond"/>
          <w:sz w:val="22"/>
          <w:szCs w:val="22"/>
        </w:rPr>
        <w:instrText>0.0001). Results from the multivariate models show that the OR (95% CI) of readmission was 1.11 (1.01-1.22) for patients discharged at 95-100% occupancy, 1.17 (1.06-1.29) at 100-105% occupancy, and 1.15 (0.99-1.34) at &gt;105% occupancy.\\n\\nCONCLUSIONS: Results indicate that patients discharged from inpatient wards at times of high inpatient bed occupancy experience an increased risk of unplanned readmission within 30 days of discharge.","author":[{"dropping-particle":"","family":"Blom","given":"Mathias C.","non-dropping-particle":"","parse-names":false,"suffix":""},{"dropping-particle":"","family":"Erwander","given":"Karin","non-dropping-particle":"","parse-names":false,"suffix":""},{"dropping-particle":"","family":"Gustafsson","given":"Lars","non-dropping-particle":"","parse-names":false,"suffix":""},{"dropping-particle":"","family":"Landin-Olsson","given":"Mona","non-dropping-particle":"","parse-names":false,"suffix":""},{"dropping-particle":"","family":"Jonsson","given":"Fredrik","non-dropping-particle":"","parse-names":false,"suffix":""},{"dropping-particle":"","family":"Ivarsson","given":"Kjell","non-dropping-particle":"","parse-names":false,"suffix":""}],"container-title":"BMC Emergency Medicine","id":"ITEM-1","issue":"1","issued":{"date-parts":[["2015"]]},"page":"37","publisher":"BMC Emergency Medicine","title":"The probability of readmission within 30 days of hospital discharge is positively associated with inpatient bed occupancy at discharge – a retrospective cohort study","type":"article-journal","volume":"15"},"uris":["http://www.mendeley.com/documents/?uuid=47088912-8053-4568-85cd-dd06dd4b977c","http://www.mendeley.com/documents/?uuid=d8e6bfa3-7879-4218-9011-f9b5d55f2e53"]}],"mendeley":{"formattedCitation":"[16]","plainTextFormattedCitation":"[16]","previouslyFormattedCitation":"[16]"},"properties":{"noteIndex":0},"schema":"https://github.com/citation-style-language/schema/raw/master/csl-citation.json"}</w:instrText>
      </w:r>
      <w:r w:rsidR="00F41AF8" w:rsidRPr="00E724B5">
        <w:rPr>
          <w:rFonts w:ascii="Garamond" w:hAnsi="Garamond"/>
          <w:sz w:val="22"/>
          <w:szCs w:val="22"/>
        </w:rPr>
        <w:fldChar w:fldCharType="separate"/>
      </w:r>
      <w:r w:rsidR="00F41AF8" w:rsidRPr="002B3054">
        <w:rPr>
          <w:rFonts w:ascii="Garamond" w:hAnsi="Garamond"/>
          <w:noProof/>
          <w:sz w:val="22"/>
          <w:szCs w:val="22"/>
        </w:rPr>
        <w:t>[16]</w:t>
      </w:r>
      <w:r w:rsidR="00F41AF8" w:rsidRPr="00E724B5">
        <w:rPr>
          <w:rFonts w:ascii="Garamond" w:hAnsi="Garamond"/>
          <w:sz w:val="22"/>
          <w:szCs w:val="22"/>
        </w:rPr>
        <w:fldChar w:fldCharType="end"/>
      </w:r>
      <w:r w:rsidR="00F41AF8" w:rsidRPr="00E724B5">
        <w:rPr>
          <w:rFonts w:ascii="Garamond" w:hAnsi="Garamond"/>
          <w:sz w:val="22"/>
          <w:szCs w:val="22"/>
        </w:rPr>
        <w:t xml:space="preserve"> </w:t>
      </w:r>
      <w:r w:rsidR="00F41AF8">
        <w:rPr>
          <w:rFonts w:ascii="Garamond" w:hAnsi="Garamond"/>
          <w:sz w:val="22"/>
          <w:szCs w:val="22"/>
        </w:rPr>
        <w:t>T</w:t>
      </w:r>
      <w:r w:rsidR="00F41AF8" w:rsidRPr="00E724B5">
        <w:rPr>
          <w:rFonts w:ascii="Garamond" w:hAnsi="Garamond"/>
          <w:sz w:val="22"/>
          <w:szCs w:val="22"/>
        </w:rPr>
        <w:t xml:space="preserve">he </w:t>
      </w:r>
      <w:r w:rsidR="00E44A53">
        <w:rPr>
          <w:rFonts w:ascii="Garamond" w:hAnsi="Garamond"/>
          <w:sz w:val="22"/>
          <w:szCs w:val="22"/>
        </w:rPr>
        <w:t>effect size from th</w:t>
      </w:r>
      <w:r w:rsidR="00775C62">
        <w:rPr>
          <w:rFonts w:ascii="Garamond" w:hAnsi="Garamond"/>
          <w:sz w:val="22"/>
          <w:szCs w:val="22"/>
        </w:rPr>
        <w:t>e</w:t>
      </w:r>
      <w:r w:rsidR="00E44A53">
        <w:rPr>
          <w:rFonts w:ascii="Garamond" w:hAnsi="Garamond"/>
          <w:sz w:val="22"/>
          <w:szCs w:val="22"/>
        </w:rPr>
        <w:t xml:space="preserve"> study was larger than our</w:t>
      </w:r>
      <w:r w:rsidR="00775C62">
        <w:rPr>
          <w:rFonts w:ascii="Garamond" w:hAnsi="Garamond"/>
          <w:sz w:val="22"/>
          <w:szCs w:val="22"/>
        </w:rPr>
        <w:t xml:space="preserve"> findings</w:t>
      </w:r>
      <w:r w:rsidR="00E44A53">
        <w:rPr>
          <w:rFonts w:ascii="Garamond" w:hAnsi="Garamond"/>
          <w:sz w:val="22"/>
          <w:szCs w:val="22"/>
        </w:rPr>
        <w:t xml:space="preserve">, equivalent to an </w:t>
      </w:r>
      <w:r w:rsidR="00E10A23">
        <w:rPr>
          <w:rFonts w:ascii="Garamond" w:hAnsi="Garamond"/>
          <w:sz w:val="22"/>
          <w:szCs w:val="22"/>
        </w:rPr>
        <w:t xml:space="preserve">absolute </w:t>
      </w:r>
      <w:r w:rsidR="00E44A53">
        <w:rPr>
          <w:rFonts w:ascii="Garamond" w:hAnsi="Garamond"/>
          <w:sz w:val="22"/>
          <w:szCs w:val="22"/>
        </w:rPr>
        <w:t>increase in the</w:t>
      </w:r>
      <w:r w:rsidR="00F41AF8">
        <w:rPr>
          <w:rFonts w:ascii="Garamond" w:hAnsi="Garamond"/>
          <w:sz w:val="22"/>
          <w:szCs w:val="22"/>
        </w:rPr>
        <w:t xml:space="preserve"> </w:t>
      </w:r>
      <w:r>
        <w:rPr>
          <w:rFonts w:ascii="Garamond" w:hAnsi="Garamond"/>
          <w:sz w:val="22"/>
          <w:szCs w:val="22"/>
        </w:rPr>
        <w:t xml:space="preserve">30-day </w:t>
      </w:r>
      <w:r w:rsidR="00F41AF8">
        <w:rPr>
          <w:rFonts w:ascii="Garamond" w:hAnsi="Garamond"/>
          <w:sz w:val="22"/>
          <w:szCs w:val="22"/>
        </w:rPr>
        <w:t xml:space="preserve">readmission </w:t>
      </w:r>
      <w:r>
        <w:rPr>
          <w:rFonts w:ascii="Garamond" w:hAnsi="Garamond"/>
          <w:sz w:val="22"/>
          <w:szCs w:val="22"/>
        </w:rPr>
        <w:t xml:space="preserve">rate </w:t>
      </w:r>
      <w:r w:rsidR="00E44A53">
        <w:rPr>
          <w:rFonts w:ascii="Garamond" w:hAnsi="Garamond"/>
          <w:sz w:val="22"/>
          <w:szCs w:val="22"/>
        </w:rPr>
        <w:t xml:space="preserve">of around 1.3% </w:t>
      </w:r>
      <w:r w:rsidR="00F41AF8">
        <w:rPr>
          <w:rFonts w:ascii="Garamond" w:hAnsi="Garamond"/>
          <w:sz w:val="22"/>
          <w:szCs w:val="22"/>
        </w:rPr>
        <w:t>(95% CI, 0.</w:t>
      </w:r>
      <w:r w:rsidR="00E10A23">
        <w:rPr>
          <w:rFonts w:ascii="Garamond" w:hAnsi="Garamond"/>
          <w:sz w:val="22"/>
          <w:szCs w:val="22"/>
        </w:rPr>
        <w:t>4</w:t>
      </w:r>
      <w:r w:rsidR="00BA322D">
        <w:rPr>
          <w:rFonts w:ascii="Garamond" w:hAnsi="Garamond"/>
          <w:sz w:val="22"/>
          <w:szCs w:val="22"/>
        </w:rPr>
        <w:t>%</w:t>
      </w:r>
      <w:r w:rsidR="00F41AF8">
        <w:rPr>
          <w:rFonts w:ascii="Garamond" w:hAnsi="Garamond"/>
          <w:sz w:val="22"/>
          <w:szCs w:val="22"/>
        </w:rPr>
        <w:t xml:space="preserve"> to </w:t>
      </w:r>
      <w:r w:rsidR="00E10A23">
        <w:rPr>
          <w:rFonts w:ascii="Garamond" w:hAnsi="Garamond"/>
          <w:sz w:val="22"/>
          <w:szCs w:val="22"/>
        </w:rPr>
        <w:t>2.2</w:t>
      </w:r>
      <w:r w:rsidR="00BA322D">
        <w:rPr>
          <w:rFonts w:ascii="Garamond" w:hAnsi="Garamond"/>
          <w:sz w:val="22"/>
          <w:szCs w:val="22"/>
        </w:rPr>
        <w:t>%</w:t>
      </w:r>
      <w:r w:rsidR="00F41AF8">
        <w:rPr>
          <w:rFonts w:ascii="Garamond" w:hAnsi="Garamond"/>
          <w:sz w:val="22"/>
          <w:szCs w:val="22"/>
        </w:rPr>
        <w:t xml:space="preserve">) </w:t>
      </w:r>
      <w:r w:rsidR="00E10A23">
        <w:rPr>
          <w:rFonts w:ascii="Garamond" w:hAnsi="Garamond"/>
          <w:sz w:val="22"/>
          <w:szCs w:val="22"/>
        </w:rPr>
        <w:t xml:space="preserve">when </w:t>
      </w:r>
      <w:r w:rsidR="00F41AF8" w:rsidRPr="00C12AFA">
        <w:rPr>
          <w:rFonts w:ascii="Garamond" w:hAnsi="Garamond"/>
          <w:sz w:val="22"/>
          <w:szCs w:val="22"/>
        </w:rPr>
        <w:t xml:space="preserve">bed occupancy </w:t>
      </w:r>
      <w:r w:rsidR="00E10A23">
        <w:rPr>
          <w:rFonts w:ascii="Garamond" w:hAnsi="Garamond"/>
          <w:sz w:val="22"/>
          <w:szCs w:val="22"/>
        </w:rPr>
        <w:t>was between</w:t>
      </w:r>
      <w:r w:rsidR="00F41AF8" w:rsidRPr="00C12AFA">
        <w:rPr>
          <w:rFonts w:ascii="Garamond" w:hAnsi="Garamond"/>
          <w:sz w:val="22"/>
          <w:szCs w:val="22"/>
        </w:rPr>
        <w:t xml:space="preserve"> 95% to 100%</w:t>
      </w:r>
      <w:r w:rsidR="00F41AF8">
        <w:rPr>
          <w:rFonts w:ascii="Garamond" w:hAnsi="Garamond"/>
          <w:sz w:val="22"/>
          <w:szCs w:val="22"/>
        </w:rPr>
        <w:t xml:space="preserve">, </w:t>
      </w:r>
      <w:r w:rsidR="00E10A23">
        <w:rPr>
          <w:rFonts w:ascii="Garamond" w:hAnsi="Garamond"/>
          <w:sz w:val="22"/>
          <w:szCs w:val="22"/>
        </w:rPr>
        <w:t>compared with under 9</w:t>
      </w:r>
      <w:r w:rsidR="004D3FCE">
        <w:rPr>
          <w:rFonts w:ascii="Garamond" w:hAnsi="Garamond"/>
          <w:sz w:val="22"/>
          <w:szCs w:val="22"/>
        </w:rPr>
        <w:t>5</w:t>
      </w:r>
      <w:r w:rsidR="00E10A23">
        <w:rPr>
          <w:rFonts w:ascii="Garamond" w:hAnsi="Garamond"/>
          <w:sz w:val="22"/>
          <w:szCs w:val="22"/>
        </w:rPr>
        <w:t xml:space="preserve">%. </w:t>
      </w:r>
      <w:r w:rsidR="00775C62">
        <w:rPr>
          <w:rFonts w:ascii="Garamond" w:hAnsi="Garamond"/>
          <w:sz w:val="22"/>
          <w:szCs w:val="22"/>
        </w:rPr>
        <w:t>W</w:t>
      </w:r>
      <w:r w:rsidR="00E10A23">
        <w:rPr>
          <w:rFonts w:ascii="Garamond" w:hAnsi="Garamond"/>
          <w:sz w:val="22"/>
          <w:szCs w:val="22"/>
        </w:rPr>
        <w:t xml:space="preserve">e found an increase of </w:t>
      </w:r>
      <w:r w:rsidR="00F41AF8">
        <w:rPr>
          <w:rFonts w:ascii="Garamond" w:hAnsi="Garamond"/>
          <w:sz w:val="22"/>
          <w:szCs w:val="22"/>
        </w:rPr>
        <w:t>0.0</w:t>
      </w:r>
      <w:r w:rsidR="00443254">
        <w:rPr>
          <w:rFonts w:ascii="Garamond" w:hAnsi="Garamond"/>
          <w:sz w:val="22"/>
          <w:szCs w:val="22"/>
        </w:rPr>
        <w:t>4</w:t>
      </w:r>
      <w:r w:rsidR="00BA322D">
        <w:rPr>
          <w:rFonts w:ascii="Garamond" w:hAnsi="Garamond"/>
          <w:sz w:val="22"/>
          <w:szCs w:val="22"/>
        </w:rPr>
        <w:t>%</w:t>
      </w:r>
      <w:r w:rsidR="00E10A23">
        <w:rPr>
          <w:rFonts w:ascii="Garamond" w:hAnsi="Garamond"/>
          <w:sz w:val="22"/>
          <w:szCs w:val="22"/>
        </w:rPr>
        <w:t xml:space="preserve"> for each percentage increase in bed occupancy</w:t>
      </w:r>
      <w:r>
        <w:rPr>
          <w:rFonts w:ascii="Garamond" w:hAnsi="Garamond"/>
          <w:sz w:val="22"/>
          <w:szCs w:val="22"/>
        </w:rPr>
        <w:t xml:space="preserve"> above 95%</w:t>
      </w:r>
      <w:r w:rsidR="00F41AF8">
        <w:rPr>
          <w:rFonts w:ascii="Garamond" w:hAnsi="Garamond"/>
          <w:sz w:val="22"/>
          <w:szCs w:val="22"/>
        </w:rPr>
        <w:t>. We cannot be definitive about why the association was smaller in England, but it may be that hospitals are more effectively managing the pressures associated with high bed occupancy rates.</w:t>
      </w:r>
      <w:r>
        <w:rPr>
          <w:rFonts w:ascii="Garamond" w:hAnsi="Garamond"/>
          <w:sz w:val="22"/>
          <w:szCs w:val="22"/>
        </w:rPr>
        <w:t xml:space="preserve"> </w:t>
      </w:r>
      <w:r w:rsidR="00775C62">
        <w:rPr>
          <w:rFonts w:ascii="Garamond" w:hAnsi="Garamond"/>
          <w:sz w:val="22"/>
          <w:szCs w:val="22"/>
        </w:rPr>
        <w:t>U</w:t>
      </w:r>
      <w:r>
        <w:rPr>
          <w:rFonts w:ascii="Garamond" w:hAnsi="Garamond"/>
          <w:sz w:val="22"/>
          <w:szCs w:val="22"/>
        </w:rPr>
        <w:t>nlike the previous study, we</w:t>
      </w:r>
      <w:r w:rsidR="00BB3EAE">
        <w:rPr>
          <w:rFonts w:ascii="Garamond" w:hAnsi="Garamond"/>
          <w:sz w:val="22"/>
          <w:szCs w:val="22"/>
        </w:rPr>
        <w:t xml:space="preserve"> examine</w:t>
      </w:r>
      <w:r>
        <w:rPr>
          <w:rFonts w:ascii="Garamond" w:hAnsi="Garamond"/>
          <w:sz w:val="22"/>
          <w:szCs w:val="22"/>
        </w:rPr>
        <w:t>d</w:t>
      </w:r>
      <w:r w:rsidR="00BB3EAE">
        <w:rPr>
          <w:rFonts w:ascii="Garamond" w:hAnsi="Garamond"/>
          <w:sz w:val="22"/>
          <w:szCs w:val="22"/>
        </w:rPr>
        <w:t xml:space="preserve"> the </w:t>
      </w:r>
      <w:r w:rsidR="00EA5783">
        <w:rPr>
          <w:rFonts w:ascii="Garamond" w:hAnsi="Garamond"/>
          <w:sz w:val="22"/>
          <w:szCs w:val="22"/>
        </w:rPr>
        <w:t>association between</w:t>
      </w:r>
      <w:r w:rsidR="00BB3EAE">
        <w:rPr>
          <w:rFonts w:ascii="Garamond" w:hAnsi="Garamond"/>
          <w:sz w:val="22"/>
          <w:szCs w:val="22"/>
        </w:rPr>
        <w:t xml:space="preserve"> high bed occupancy rates </w:t>
      </w:r>
      <w:r w:rsidR="00EA5783">
        <w:rPr>
          <w:rFonts w:ascii="Garamond" w:hAnsi="Garamond"/>
          <w:sz w:val="22"/>
          <w:szCs w:val="22"/>
        </w:rPr>
        <w:t xml:space="preserve">and </w:t>
      </w:r>
      <w:r w:rsidR="00BB3EAE">
        <w:rPr>
          <w:rFonts w:ascii="Garamond" w:hAnsi="Garamond"/>
          <w:sz w:val="22"/>
          <w:szCs w:val="22"/>
        </w:rPr>
        <w:t xml:space="preserve">readmission rates </w:t>
      </w:r>
      <w:r>
        <w:rPr>
          <w:rFonts w:ascii="Garamond" w:hAnsi="Garamond"/>
          <w:sz w:val="22"/>
          <w:szCs w:val="22"/>
        </w:rPr>
        <w:t xml:space="preserve">across </w:t>
      </w:r>
      <w:r w:rsidR="00EA5783">
        <w:rPr>
          <w:rFonts w:ascii="Garamond" w:hAnsi="Garamond"/>
          <w:sz w:val="22"/>
          <w:szCs w:val="22"/>
        </w:rPr>
        <w:t>a re</w:t>
      </w:r>
      <w:r>
        <w:rPr>
          <w:rFonts w:ascii="Garamond" w:hAnsi="Garamond"/>
          <w:sz w:val="22"/>
          <w:szCs w:val="22"/>
        </w:rPr>
        <w:t>presentative sample of patients nationally</w:t>
      </w:r>
      <w:r w:rsidR="00775C62">
        <w:rPr>
          <w:rFonts w:ascii="Garamond" w:hAnsi="Garamond"/>
          <w:sz w:val="22"/>
          <w:szCs w:val="22"/>
        </w:rPr>
        <w:t>, which included patients admitted as an emergency and planned elective</w:t>
      </w:r>
      <w:r>
        <w:rPr>
          <w:rFonts w:ascii="Garamond" w:hAnsi="Garamond"/>
          <w:sz w:val="22"/>
          <w:szCs w:val="22"/>
        </w:rPr>
        <w:t>.</w:t>
      </w:r>
      <w:r w:rsidR="00EA5783">
        <w:rPr>
          <w:rFonts w:ascii="Garamond" w:hAnsi="Garamond"/>
          <w:sz w:val="22"/>
          <w:szCs w:val="22"/>
        </w:rPr>
        <w:t xml:space="preserve"> </w:t>
      </w:r>
      <w:r w:rsidR="00775C62">
        <w:rPr>
          <w:rFonts w:ascii="Garamond" w:hAnsi="Garamond"/>
          <w:sz w:val="22"/>
          <w:szCs w:val="22"/>
        </w:rPr>
        <w:t xml:space="preserve">This </w:t>
      </w:r>
      <w:r>
        <w:rPr>
          <w:rFonts w:ascii="Garamond" w:hAnsi="Garamond"/>
          <w:sz w:val="22"/>
          <w:szCs w:val="22"/>
        </w:rPr>
        <w:t xml:space="preserve">is the first national study in the area, </w:t>
      </w:r>
      <w:r w:rsidR="00F41AF8">
        <w:rPr>
          <w:rFonts w:ascii="Garamond" w:hAnsi="Garamond"/>
          <w:sz w:val="22"/>
          <w:szCs w:val="22"/>
        </w:rPr>
        <w:t xml:space="preserve">though other </w:t>
      </w:r>
      <w:r w:rsidR="002913FF">
        <w:rPr>
          <w:rFonts w:ascii="Garamond" w:hAnsi="Garamond"/>
          <w:sz w:val="22"/>
          <w:szCs w:val="22"/>
        </w:rPr>
        <w:t xml:space="preserve">research also explored the relationship between hospital demand and discharge rates, and </w:t>
      </w:r>
      <w:r w:rsidR="002913FF" w:rsidRPr="00C12AFA">
        <w:rPr>
          <w:rFonts w:ascii="Garamond" w:hAnsi="Garamond"/>
          <w:sz w:val="22"/>
          <w:szCs w:val="22"/>
        </w:rPr>
        <w:t>found that long-stay patients are more likely to be discharged on days of high demand in the Australian health care system</w:t>
      </w:r>
      <w:r w:rsidR="00771D48">
        <w:rPr>
          <w:rFonts w:ascii="Garamond" w:hAnsi="Garamond"/>
          <w:sz w:val="22"/>
          <w:szCs w:val="22"/>
        </w:rPr>
        <w:t>.</w:t>
      </w:r>
      <w:r w:rsidR="00771D48">
        <w:rPr>
          <w:rFonts w:ascii="Garamond" w:hAnsi="Garamond"/>
          <w:sz w:val="22"/>
          <w:szCs w:val="22"/>
        </w:rPr>
        <w:fldChar w:fldCharType="begin" w:fldLock="1"/>
      </w:r>
      <w:r w:rsidR="00481CE7">
        <w:rPr>
          <w:rFonts w:ascii="Garamond" w:hAnsi="Garamond"/>
          <w:sz w:val="22"/>
          <w:szCs w:val="22"/>
        </w:rPr>
        <w:instrText>ADDIN CSL_CITATION {"citationItems":[{"id":"ITEM-1","itemData":{"DOI":"https://doi.org/10.1071/AH12012","author":[{"dropping-particle":"","family":"Harrison","given":"Gary","non-dropping-particle":"","parse-names":false,"suffix":""},{"dropping-particle":"","family":"Zeitz","given":"Kathryn","non-dropping-particle":"","parse-names":false,"suffix":""},{"dropping-particle":"","family":"Adams","given":"Robert","non-dropping-particle":"","parse-names":false,"suffix":""},{"dropping-particle":"","family":"Mackay","given":"Mark","non-dropping-particle":"","parse-names":false,"suffix":""}],"container-title":"Australian Health Review","id":"ITEM-1","issue":"4","issued":{"date-parts":[["2013"]]},"page":"458-466","title":"Does hospital occupancy impact discharge rates?","type":"article-journal","volume":"37"},"uris":["http://www.mendeley.com/documents/?uuid=5a9ea295-57d3-4fc3-aac7-e287982ed3b8","http://www.mendeley.com/documents/?uuid=f8a1be09-bd72-4608-bcb4-cedf57e9246d"]}],"mendeley":{"formattedCitation":"[11]","plainTextFormattedCitation":"[11]","previouslyFormattedCitation":"[11]"},"properties":{"noteIndex":0},"schema":"https://github.com/citation-style-language/schema/raw/master/csl-citation.json"}</w:instrText>
      </w:r>
      <w:r w:rsidR="00771D48">
        <w:rPr>
          <w:rFonts w:ascii="Garamond" w:hAnsi="Garamond"/>
          <w:sz w:val="22"/>
          <w:szCs w:val="22"/>
        </w:rPr>
        <w:fldChar w:fldCharType="separate"/>
      </w:r>
      <w:r w:rsidR="00752790" w:rsidRPr="00752790">
        <w:rPr>
          <w:rFonts w:ascii="Garamond" w:hAnsi="Garamond"/>
          <w:noProof/>
          <w:sz w:val="22"/>
          <w:szCs w:val="22"/>
        </w:rPr>
        <w:t>[11]</w:t>
      </w:r>
      <w:r w:rsidR="00771D48">
        <w:rPr>
          <w:rFonts w:ascii="Garamond" w:hAnsi="Garamond"/>
          <w:sz w:val="22"/>
          <w:szCs w:val="22"/>
        </w:rPr>
        <w:fldChar w:fldCharType="end"/>
      </w:r>
      <w:r w:rsidR="002913FF">
        <w:rPr>
          <w:rFonts w:ascii="Garamond" w:hAnsi="Garamond"/>
          <w:sz w:val="22"/>
          <w:szCs w:val="22"/>
        </w:rPr>
        <w:t xml:space="preserve"> </w:t>
      </w:r>
      <w:r w:rsidR="00771D48">
        <w:rPr>
          <w:rFonts w:ascii="Garamond" w:hAnsi="Garamond"/>
          <w:sz w:val="22"/>
          <w:szCs w:val="22"/>
        </w:rPr>
        <w:t xml:space="preserve">Finally, we note that </w:t>
      </w:r>
      <w:r w:rsidR="00083082">
        <w:rPr>
          <w:rFonts w:ascii="Garamond" w:hAnsi="Garamond"/>
          <w:sz w:val="22"/>
          <w:szCs w:val="22"/>
        </w:rPr>
        <w:t xml:space="preserve">a </w:t>
      </w:r>
      <w:r w:rsidR="002913FF">
        <w:rPr>
          <w:rFonts w:ascii="Garamond" w:hAnsi="Garamond"/>
          <w:sz w:val="22"/>
          <w:szCs w:val="22"/>
        </w:rPr>
        <w:t xml:space="preserve">study based on one teaching hospital in Canada </w:t>
      </w:r>
      <w:r w:rsidR="00083082">
        <w:rPr>
          <w:rFonts w:ascii="Garamond" w:hAnsi="Garamond"/>
          <w:sz w:val="22"/>
          <w:szCs w:val="22"/>
        </w:rPr>
        <w:t xml:space="preserve">established a </w:t>
      </w:r>
      <w:r w:rsidR="002913FF">
        <w:rPr>
          <w:rFonts w:ascii="Garamond" w:hAnsi="Garamond"/>
          <w:sz w:val="22"/>
          <w:szCs w:val="22"/>
        </w:rPr>
        <w:t>link</w:t>
      </w:r>
      <w:r w:rsidR="00083082">
        <w:rPr>
          <w:rFonts w:ascii="Garamond" w:hAnsi="Garamond"/>
          <w:sz w:val="22"/>
          <w:szCs w:val="22"/>
        </w:rPr>
        <w:t xml:space="preserve"> between</w:t>
      </w:r>
      <w:r w:rsidR="002913FF">
        <w:rPr>
          <w:rFonts w:ascii="Garamond" w:hAnsi="Garamond"/>
          <w:sz w:val="22"/>
          <w:szCs w:val="22"/>
        </w:rPr>
        <w:t xml:space="preserve"> bed occupancy rates </w:t>
      </w:r>
      <w:r w:rsidR="00083082">
        <w:rPr>
          <w:rFonts w:ascii="Garamond" w:hAnsi="Garamond"/>
          <w:sz w:val="22"/>
          <w:szCs w:val="22"/>
        </w:rPr>
        <w:t xml:space="preserve">and </w:t>
      </w:r>
      <w:r w:rsidR="002913FF">
        <w:rPr>
          <w:rFonts w:ascii="Garamond" w:hAnsi="Garamond"/>
          <w:sz w:val="22"/>
          <w:szCs w:val="22"/>
        </w:rPr>
        <w:t>readmission risk in the intensive care setting.</w:t>
      </w:r>
      <w:r w:rsidR="002913FF" w:rsidRPr="00E724B5">
        <w:rPr>
          <w:rFonts w:ascii="Garamond" w:hAnsi="Garamond"/>
          <w:sz w:val="22"/>
          <w:szCs w:val="22"/>
        </w:rPr>
        <w:fldChar w:fldCharType="begin" w:fldLock="1"/>
      </w:r>
      <w:r w:rsidR="00083082">
        <w:rPr>
          <w:rFonts w:ascii="Garamond" w:hAnsi="Garamond"/>
          <w:sz w:val="22"/>
          <w:szCs w:val="22"/>
        </w:rPr>
        <w:instrText>ADDIN CSL_CITATION {"citationItems":[{"id":"ITEM-1","itemData":{"DOI":"10.1097/CCM.0b013e3181a57b0c","ISBN":"1530-0293","ISSN":"0090-3493","PMID":"19707139","abstract":"OBJECTIVE: To determine whether a lack of intensive care unit beds was leading to premature patient discharge from the intensive care unit and subsequent early readmission or death. DESIGN: Prospective cohort study. SETTING: A single Canadian tertiary care teaching hospital. PATIENTS: All intensive care unit admissions between January 1, 1989 and December 31, 1996 were collected prospectively for inclusion in a registry database. INTERVENTIONS: None. MEASUREMENTS AND MAIN RESULTS: There was a positive correlation between early readmission or death and average quarterly intensive care unit percent occupancy (p = .001). During the study period, 8693 patients experienced 10,185 admissions to intensive care. Of the 8222 patients remaining under active treatment (patients under palliative care were excluded), there were 455 (5.5%) adverse events (431 intensive care unit readmissions and 24 deaths) in the first 7 days post intensive care unit discharge. Patients requiring a new surgical intervention with postoperative intensive care unit admission were not considered readmissions. In a multivariate analysis, significant risk factors for an adverse event included age &gt;35 yrs, particular diagnoses (respiratory diagnoses, sepsis, neurosurgery, thoracic surgery, and gastrointestinal diagnoses), Acute Physiology and Chronic Health Evaluation II score, and intensive care unit length of stay. Discharge from the intensive care unit at a time of no vacancy was also a significant risk factor for intensive care unit readmission or unexpected death with an adjusted relative risk of 1.56 (95% confidence interval 1.05, 2.31). CONCLUSIONS: Increased patient occupancy within an intensive care unit is associated with an increased risk of early death or intensive care unit readmission post intensive care unit discharge. Overloading the capacity of an intensive care unit to care for critically ill patients may affect physician decision-making, resulting in premature discharge from the intensive care unit.","author":[{"dropping-particle":"","family":"Chrusch","given":"Carla A.","non-dropping-particle":"","parse-names":false,"suffix":""},{"dropping-particle":"","family":"Olafson","given":"Kendiss P.","non-dropping-particle":"","parse-names":false,"suffix":""},{"dropping-particle":"","family":"McMillan","given":"Patricia M.","non-dropping-particle":"","parse-names":false,"suffix":""},{"dropping-particle":"","family":"Roberts","given":"Daniel E.","non-dropping-particle":"","parse-names":false,"suffix":""},{"dropping-particle":"","family":"Gray","given":"Perry R.","non-dropping-particle":"","parse-names":false,"suffix":""}],"container-title":"Critical Care Medicine","id":"ITEM-1","issue":"10","issued":{"date-parts":[["2009"]]},"page":"2753-2758","title":"High occupancy increases the risk of early death or readmission after transfer from intensive care*","type":"article-journal","volume":"37"},"uris":["http://www.mendeley.com/documents/?uuid=fb396f3c-a934-4d66-9b76-80ff5825f4cc","http://www.mendeley.com/documents/?uuid=98e85960-1b9e-4670-83ae-4c80df2ab298"]}],"mendeley":{"formattedCitation":"[38]","plainTextFormattedCitation":"[38]","previouslyFormattedCitation":"[38]"},"properties":{"noteIndex":0},"schema":"https://github.com/citation-style-language/schema/raw/master/csl-citation.json"}</w:instrText>
      </w:r>
      <w:r w:rsidR="002913FF" w:rsidRPr="00E724B5">
        <w:rPr>
          <w:rFonts w:ascii="Garamond" w:hAnsi="Garamond"/>
          <w:sz w:val="22"/>
          <w:szCs w:val="22"/>
        </w:rPr>
        <w:fldChar w:fldCharType="separate"/>
      </w:r>
      <w:r w:rsidR="009D62D3" w:rsidRPr="009D62D3">
        <w:rPr>
          <w:rFonts w:ascii="Garamond" w:hAnsi="Garamond"/>
          <w:noProof/>
          <w:sz w:val="22"/>
          <w:szCs w:val="22"/>
        </w:rPr>
        <w:t>[38]</w:t>
      </w:r>
      <w:r w:rsidR="002913FF" w:rsidRPr="00E724B5">
        <w:rPr>
          <w:rFonts w:ascii="Garamond" w:hAnsi="Garamond"/>
          <w:sz w:val="22"/>
          <w:szCs w:val="22"/>
        </w:rPr>
        <w:fldChar w:fldCharType="end"/>
      </w:r>
      <w:r w:rsidR="002913FF">
        <w:rPr>
          <w:rFonts w:ascii="Garamond" w:hAnsi="Garamond"/>
          <w:sz w:val="22"/>
          <w:szCs w:val="22"/>
        </w:rPr>
        <w:t xml:space="preserve"> </w:t>
      </w:r>
    </w:p>
    <w:p w14:paraId="1ACFAB17" w14:textId="00F7AC1B" w:rsidR="00365461" w:rsidRDefault="005249F6" w:rsidP="0036336A">
      <w:pPr>
        <w:spacing w:line="360" w:lineRule="auto"/>
        <w:outlineLvl w:val="0"/>
        <w:rPr>
          <w:rFonts w:ascii="Garamond" w:hAnsi="Garamond"/>
          <w:sz w:val="22"/>
          <w:szCs w:val="22"/>
        </w:rPr>
      </w:pPr>
      <w:r w:rsidRPr="00C12AFA">
        <w:rPr>
          <w:rFonts w:ascii="Garamond" w:hAnsi="Garamond"/>
          <w:b/>
          <w:i/>
          <w:sz w:val="22"/>
          <w:szCs w:val="22"/>
        </w:rPr>
        <w:t>Strengths and limitations</w:t>
      </w:r>
    </w:p>
    <w:p w14:paraId="5F8AFD38" w14:textId="553BA074" w:rsidR="00DE7451" w:rsidRDefault="006E002E" w:rsidP="00C3766F">
      <w:pPr>
        <w:spacing w:line="360" w:lineRule="auto"/>
        <w:rPr>
          <w:rFonts w:ascii="Garamond" w:hAnsi="Garamond"/>
          <w:sz w:val="22"/>
          <w:szCs w:val="22"/>
        </w:rPr>
      </w:pPr>
      <w:r>
        <w:rPr>
          <w:rFonts w:ascii="Garamond" w:hAnsi="Garamond"/>
          <w:sz w:val="22"/>
          <w:szCs w:val="22"/>
        </w:rPr>
        <w:t>B</w:t>
      </w:r>
      <w:r w:rsidR="00E202EF">
        <w:rPr>
          <w:rFonts w:ascii="Garamond" w:hAnsi="Garamond"/>
          <w:sz w:val="22"/>
          <w:szCs w:val="22"/>
        </w:rPr>
        <w:t xml:space="preserve">ed occupancy rates </w:t>
      </w:r>
      <w:r>
        <w:rPr>
          <w:rFonts w:ascii="Garamond" w:hAnsi="Garamond"/>
          <w:sz w:val="22"/>
          <w:szCs w:val="22"/>
        </w:rPr>
        <w:t xml:space="preserve">only capture one aspect of the pressures that exist on care teams, and </w:t>
      </w:r>
      <w:r w:rsidRPr="00492A71">
        <w:rPr>
          <w:rFonts w:ascii="Garamond" w:hAnsi="Garamond"/>
          <w:sz w:val="22"/>
          <w:szCs w:val="22"/>
        </w:rPr>
        <w:t xml:space="preserve">indeed we measured bed occupancy at midnight when further changes occur during </w:t>
      </w:r>
      <w:r w:rsidR="00E202EF" w:rsidRPr="00492A71">
        <w:rPr>
          <w:rFonts w:ascii="Garamond" w:hAnsi="Garamond"/>
          <w:sz w:val="22"/>
          <w:szCs w:val="22"/>
        </w:rPr>
        <w:t>the day</w:t>
      </w:r>
      <w:r w:rsidRPr="00492A71">
        <w:rPr>
          <w:rFonts w:ascii="Garamond" w:hAnsi="Garamond"/>
          <w:sz w:val="22"/>
          <w:szCs w:val="22"/>
        </w:rPr>
        <w:t>.</w:t>
      </w:r>
      <w:r w:rsidR="00492A71" w:rsidRPr="00492A71">
        <w:rPr>
          <w:rFonts w:ascii="Garamond" w:hAnsi="Garamond"/>
          <w:sz w:val="22"/>
          <w:szCs w:val="22"/>
        </w:rPr>
        <w:t xml:space="preserve"> </w:t>
      </w:r>
      <w:r w:rsidR="00492A71" w:rsidRPr="000B7DE8">
        <w:rPr>
          <w:rFonts w:ascii="Garamond" w:hAnsi="Garamond" w:cs="Calibri"/>
          <w:color w:val="000000" w:themeColor="text1"/>
          <w:sz w:val="22"/>
          <w:szCs w:val="22"/>
        </w:rPr>
        <w:t>Although the NHS has started to report bed occupancy on a daily basis for</w:t>
      </w:r>
      <w:r w:rsidR="007F796C" w:rsidRPr="007F796C">
        <w:rPr>
          <w:rFonts w:ascii="Garamond" w:hAnsi="Garamond" w:cs="Calibri"/>
          <w:color w:val="000000" w:themeColor="text1"/>
          <w:sz w:val="22"/>
          <w:szCs w:val="22"/>
        </w:rPr>
        <w:t xml:space="preserve"> the </w:t>
      </w:r>
      <w:r w:rsidR="007F796C">
        <w:rPr>
          <w:rFonts w:ascii="Garamond" w:hAnsi="Garamond" w:cs="Calibri"/>
          <w:color w:val="000000" w:themeColor="text1"/>
          <w:sz w:val="22"/>
          <w:szCs w:val="22"/>
        </w:rPr>
        <w:t>W</w:t>
      </w:r>
      <w:r w:rsidR="00492A71" w:rsidRPr="000B7DE8">
        <w:rPr>
          <w:rFonts w:ascii="Garamond" w:hAnsi="Garamond" w:cs="Calibri"/>
          <w:color w:val="000000" w:themeColor="text1"/>
          <w:sz w:val="22"/>
          <w:szCs w:val="22"/>
        </w:rPr>
        <w:t>inter months</w:t>
      </w:r>
      <w:r w:rsidR="00321002">
        <w:rPr>
          <w:rFonts w:ascii="Garamond" w:hAnsi="Garamond" w:cs="Calibri"/>
          <w:color w:val="000000" w:themeColor="text1"/>
          <w:sz w:val="22"/>
          <w:szCs w:val="22"/>
        </w:rPr>
        <w:t xml:space="preserve"> i</w:t>
      </w:r>
      <w:r w:rsidR="00492A71" w:rsidRPr="000B7DE8">
        <w:rPr>
          <w:rFonts w:ascii="Garamond" w:hAnsi="Garamond" w:cs="Calibri"/>
          <w:color w:val="000000" w:themeColor="text1"/>
          <w:sz w:val="22"/>
          <w:szCs w:val="22"/>
        </w:rPr>
        <w:t>n 2012</w:t>
      </w:r>
      <w:r w:rsidR="00492A71">
        <w:rPr>
          <w:rFonts w:ascii="Garamond" w:hAnsi="Garamond" w:cs="Calibri"/>
          <w:color w:val="000000" w:themeColor="text1"/>
          <w:sz w:val="22"/>
          <w:szCs w:val="22"/>
        </w:rPr>
        <w:t>,</w:t>
      </w:r>
      <w:r w:rsidR="007F796C">
        <w:rPr>
          <w:rFonts w:ascii="Garamond" w:hAnsi="Garamond" w:cs="Calibri"/>
          <w:color w:val="000000" w:themeColor="text1"/>
          <w:sz w:val="22"/>
          <w:szCs w:val="22"/>
        </w:rPr>
        <w:fldChar w:fldCharType="begin" w:fldLock="1"/>
      </w:r>
      <w:r w:rsidR="00083082">
        <w:rPr>
          <w:rFonts w:ascii="Garamond" w:hAnsi="Garamond" w:cs="Calibri"/>
          <w:color w:val="000000" w:themeColor="text1"/>
          <w:sz w:val="22"/>
          <w:szCs w:val="22"/>
        </w:rPr>
        <w:instrText>ADDIN CSL_CITATION {"citationItems":[{"id":"ITEM-1","itemData":{"author":[{"dropping-particle":"","family":"NHS England and NHS Improvement","given":"","non-dropping-particle":"","parse-names":false,"suffix":""}],"id":"ITEM-1","issued":{"date-parts":[["2012"]]},"title":"Winter Daily SitRep 2012-13 Data","type":"webpage"},"uris":["http://www.mendeley.com/documents/?uuid=0c0a3393-0430-4c24-9040-7195ca6dcc8f","http://www.mendeley.com/documents/?uuid=50bfc398-bfcc-4826-accb-9d6e3b627688"]}],"mendeley":{"formattedCitation":"[39]","plainTextFormattedCitation":"[39]","previouslyFormattedCitation":"[39]"},"properties":{"noteIndex":0},"schema":"https://github.com/citation-style-language/schema/raw/master/csl-citation.json"}</w:instrText>
      </w:r>
      <w:r w:rsidR="007F796C">
        <w:rPr>
          <w:rFonts w:ascii="Garamond" w:hAnsi="Garamond" w:cs="Calibri"/>
          <w:color w:val="000000" w:themeColor="text1"/>
          <w:sz w:val="22"/>
          <w:szCs w:val="22"/>
        </w:rPr>
        <w:fldChar w:fldCharType="separate"/>
      </w:r>
      <w:r w:rsidR="009D62D3" w:rsidRPr="009D62D3">
        <w:rPr>
          <w:rFonts w:ascii="Garamond" w:hAnsi="Garamond" w:cs="Calibri"/>
          <w:noProof/>
          <w:color w:val="000000" w:themeColor="text1"/>
          <w:sz w:val="22"/>
          <w:szCs w:val="22"/>
        </w:rPr>
        <w:t>[39]</w:t>
      </w:r>
      <w:r w:rsidR="007F796C">
        <w:rPr>
          <w:rFonts w:ascii="Garamond" w:hAnsi="Garamond" w:cs="Calibri"/>
          <w:color w:val="000000" w:themeColor="text1"/>
          <w:sz w:val="22"/>
          <w:szCs w:val="22"/>
        </w:rPr>
        <w:fldChar w:fldCharType="end"/>
      </w:r>
      <w:r w:rsidR="007F796C">
        <w:rPr>
          <w:rFonts w:ascii="Garamond" w:hAnsi="Garamond" w:cs="Calibri"/>
          <w:color w:val="000000" w:themeColor="text1"/>
          <w:sz w:val="22"/>
          <w:szCs w:val="22"/>
        </w:rPr>
        <w:t xml:space="preserve"> which</w:t>
      </w:r>
      <w:r w:rsidR="00492A71">
        <w:rPr>
          <w:rFonts w:ascii="Garamond" w:hAnsi="Garamond" w:cs="Calibri"/>
          <w:color w:val="000000" w:themeColor="text1"/>
          <w:sz w:val="22"/>
          <w:szCs w:val="22"/>
        </w:rPr>
        <w:t xml:space="preserve"> </w:t>
      </w:r>
      <w:r w:rsidR="00321002">
        <w:rPr>
          <w:rFonts w:ascii="Garamond" w:hAnsi="Garamond" w:cs="Calibri"/>
          <w:color w:val="000000" w:themeColor="text1"/>
          <w:sz w:val="22"/>
          <w:szCs w:val="22"/>
        </w:rPr>
        <w:t>underlin</w:t>
      </w:r>
      <w:r w:rsidR="007F796C">
        <w:rPr>
          <w:rFonts w:ascii="Garamond" w:hAnsi="Garamond" w:cs="Calibri"/>
          <w:color w:val="000000" w:themeColor="text1"/>
          <w:sz w:val="22"/>
          <w:szCs w:val="22"/>
        </w:rPr>
        <w:t>es</w:t>
      </w:r>
      <w:r w:rsidR="00492A71">
        <w:rPr>
          <w:rFonts w:ascii="Garamond" w:hAnsi="Garamond" w:cs="Calibri"/>
          <w:color w:val="000000" w:themeColor="text1"/>
          <w:sz w:val="22"/>
          <w:szCs w:val="22"/>
        </w:rPr>
        <w:t xml:space="preserve"> the assumed relevance to reflect on </w:t>
      </w:r>
      <w:r w:rsidR="00775C62">
        <w:rPr>
          <w:rFonts w:ascii="Garamond" w:hAnsi="Garamond" w:cs="Calibri"/>
          <w:color w:val="000000" w:themeColor="text1"/>
          <w:sz w:val="22"/>
          <w:szCs w:val="22"/>
        </w:rPr>
        <w:t xml:space="preserve">hospital </w:t>
      </w:r>
      <w:r w:rsidR="00492A71">
        <w:rPr>
          <w:rFonts w:ascii="Garamond" w:hAnsi="Garamond" w:cs="Calibri"/>
          <w:color w:val="000000" w:themeColor="text1"/>
          <w:sz w:val="22"/>
          <w:szCs w:val="22"/>
        </w:rPr>
        <w:t>pressure</w:t>
      </w:r>
      <w:r w:rsidR="00492A71" w:rsidRPr="000B7DE8">
        <w:rPr>
          <w:rFonts w:ascii="Garamond" w:hAnsi="Garamond" w:cs="Calibri"/>
          <w:color w:val="000000" w:themeColor="text1"/>
          <w:sz w:val="22"/>
          <w:szCs w:val="22"/>
        </w:rPr>
        <w:t xml:space="preserve">, the focus on midnight bed occupancy arose as a result of limitations with the hospital administrative data. The data allowed us to measure bed occupancy on a daily basis </w:t>
      </w:r>
      <w:r w:rsidR="00775C62">
        <w:rPr>
          <w:rFonts w:ascii="Garamond" w:hAnsi="Garamond" w:cs="Calibri"/>
          <w:color w:val="000000" w:themeColor="text1"/>
          <w:sz w:val="22"/>
          <w:szCs w:val="22"/>
        </w:rPr>
        <w:t>for</w:t>
      </w:r>
      <w:r w:rsidR="00492A71" w:rsidRPr="000B7DE8">
        <w:rPr>
          <w:rFonts w:ascii="Garamond" w:hAnsi="Garamond" w:cs="Calibri"/>
          <w:color w:val="000000" w:themeColor="text1"/>
          <w:sz w:val="22"/>
          <w:szCs w:val="22"/>
        </w:rPr>
        <w:t xml:space="preserve"> all acute NHS trusts across a two-year period. </w:t>
      </w:r>
      <w:r w:rsidRPr="00492A71">
        <w:rPr>
          <w:rFonts w:ascii="Garamond" w:hAnsi="Garamond"/>
          <w:sz w:val="22"/>
          <w:szCs w:val="22"/>
        </w:rPr>
        <w:t xml:space="preserve"> </w:t>
      </w:r>
      <w:r w:rsidR="0090590D" w:rsidRPr="00492A71">
        <w:rPr>
          <w:rFonts w:ascii="Garamond" w:hAnsi="Garamond"/>
          <w:sz w:val="22"/>
          <w:szCs w:val="22"/>
        </w:rPr>
        <w:t>While</w:t>
      </w:r>
      <w:r w:rsidR="0090590D">
        <w:rPr>
          <w:rFonts w:ascii="Garamond" w:hAnsi="Garamond"/>
          <w:sz w:val="22"/>
          <w:szCs w:val="22"/>
        </w:rPr>
        <w:t xml:space="preserve"> the </w:t>
      </w:r>
      <w:r w:rsidR="005F56B6">
        <w:rPr>
          <w:rFonts w:ascii="Garamond" w:hAnsi="Garamond"/>
          <w:sz w:val="22"/>
          <w:szCs w:val="22"/>
        </w:rPr>
        <w:t xml:space="preserve">numerator </w:t>
      </w:r>
      <w:r w:rsidR="0090590D">
        <w:rPr>
          <w:rFonts w:ascii="Garamond" w:hAnsi="Garamond"/>
          <w:sz w:val="22"/>
          <w:szCs w:val="22"/>
        </w:rPr>
        <w:t xml:space="preserve">for our bed occupancy rate included all patients, </w:t>
      </w:r>
      <w:r>
        <w:rPr>
          <w:rFonts w:ascii="Garamond" w:hAnsi="Garamond"/>
          <w:sz w:val="22"/>
          <w:szCs w:val="22"/>
        </w:rPr>
        <w:t xml:space="preserve">we note that </w:t>
      </w:r>
      <w:r w:rsidR="0090590D">
        <w:rPr>
          <w:rFonts w:ascii="Garamond" w:hAnsi="Garamond"/>
          <w:sz w:val="22"/>
          <w:szCs w:val="22"/>
        </w:rPr>
        <w:t>t</w:t>
      </w:r>
      <w:r w:rsidR="0086280B">
        <w:rPr>
          <w:rFonts w:ascii="Garamond" w:hAnsi="Garamond"/>
          <w:sz w:val="22"/>
          <w:szCs w:val="22"/>
        </w:rPr>
        <w:t xml:space="preserve">he denominator was taken from </w:t>
      </w:r>
      <w:r w:rsidR="00386B68" w:rsidRPr="00C12AFA">
        <w:rPr>
          <w:rFonts w:ascii="Garamond" w:hAnsi="Garamond"/>
          <w:sz w:val="22"/>
          <w:szCs w:val="22"/>
        </w:rPr>
        <w:t xml:space="preserve">publicly available information on the number of overnight beds per </w:t>
      </w:r>
      <w:r w:rsidR="00D37864" w:rsidRPr="00C12AFA">
        <w:rPr>
          <w:rFonts w:ascii="Garamond" w:hAnsi="Garamond"/>
          <w:sz w:val="22"/>
          <w:szCs w:val="22"/>
        </w:rPr>
        <w:t>t</w:t>
      </w:r>
      <w:r w:rsidR="00386B68" w:rsidRPr="00C12AFA">
        <w:rPr>
          <w:rFonts w:ascii="Garamond" w:hAnsi="Garamond"/>
          <w:sz w:val="22"/>
          <w:szCs w:val="22"/>
        </w:rPr>
        <w:t xml:space="preserve">rust. </w:t>
      </w:r>
      <w:r w:rsidR="0086280B">
        <w:rPr>
          <w:rFonts w:ascii="Garamond" w:hAnsi="Garamond"/>
          <w:sz w:val="22"/>
          <w:szCs w:val="22"/>
        </w:rPr>
        <w:t>Since this</w:t>
      </w:r>
      <w:r w:rsidR="00386B68" w:rsidRPr="00C12AFA">
        <w:rPr>
          <w:rFonts w:ascii="Garamond" w:hAnsi="Garamond"/>
          <w:sz w:val="22"/>
          <w:szCs w:val="22"/>
        </w:rPr>
        <w:t xml:space="preserve"> was only available on a quarterly basis, we were not able to account for </w:t>
      </w:r>
      <w:r w:rsidR="0090590D">
        <w:rPr>
          <w:rFonts w:ascii="Garamond" w:hAnsi="Garamond"/>
          <w:sz w:val="22"/>
          <w:szCs w:val="22"/>
        </w:rPr>
        <w:t>some of the ways in which hospitals deal with pressures on beds</w:t>
      </w:r>
      <w:r w:rsidR="00FF2CE6">
        <w:rPr>
          <w:rFonts w:ascii="Garamond" w:hAnsi="Garamond"/>
          <w:sz w:val="22"/>
          <w:szCs w:val="22"/>
        </w:rPr>
        <w:t xml:space="preserve"> such as the temporary extension of bed capacity to deal with peaks in demand. </w:t>
      </w:r>
      <w:r w:rsidR="00321002">
        <w:rPr>
          <w:rFonts w:ascii="Garamond" w:hAnsi="Garamond"/>
          <w:sz w:val="22"/>
          <w:szCs w:val="22"/>
        </w:rPr>
        <w:t xml:space="preserve">High bed occupancy presents as a significant challenge for the NHS because of the limitations associated with absorbing unexpected increases in the number of patients going to the hospital if </w:t>
      </w:r>
      <w:r w:rsidR="00321002">
        <w:rPr>
          <w:rFonts w:ascii="Garamond" w:hAnsi="Garamond"/>
          <w:sz w:val="22"/>
          <w:szCs w:val="22"/>
        </w:rPr>
        <w:lastRenderedPageBreak/>
        <w:t xml:space="preserve">beds are filled.  However, if bed occupancy is lower, then increases in admission rates are easier to deal with provided the staff are also available. </w:t>
      </w:r>
    </w:p>
    <w:p w14:paraId="717D8288" w14:textId="77777777" w:rsidR="00366103" w:rsidRPr="00C12AFA" w:rsidRDefault="00366103" w:rsidP="0059161C">
      <w:pPr>
        <w:spacing w:line="360" w:lineRule="auto"/>
        <w:rPr>
          <w:rFonts w:ascii="Garamond" w:hAnsi="Garamond"/>
          <w:sz w:val="22"/>
          <w:szCs w:val="22"/>
        </w:rPr>
      </w:pPr>
    </w:p>
    <w:p w14:paraId="429B3953" w14:textId="3DA10816" w:rsidR="0086280B" w:rsidRDefault="0086280B" w:rsidP="00677E7B">
      <w:pPr>
        <w:spacing w:line="360" w:lineRule="auto"/>
        <w:rPr>
          <w:rFonts w:ascii="Garamond" w:hAnsi="Garamond"/>
          <w:sz w:val="22"/>
          <w:szCs w:val="22"/>
        </w:rPr>
      </w:pPr>
      <w:r>
        <w:rPr>
          <w:rFonts w:ascii="Garamond" w:hAnsi="Garamond"/>
          <w:sz w:val="22"/>
          <w:szCs w:val="22"/>
        </w:rPr>
        <w:t>We measured quality of care using the 30-day h</w:t>
      </w:r>
      <w:r w:rsidRPr="00C12AFA">
        <w:rPr>
          <w:rFonts w:ascii="Garamond" w:hAnsi="Garamond"/>
          <w:sz w:val="22"/>
          <w:szCs w:val="22"/>
        </w:rPr>
        <w:t xml:space="preserve">ospital </w:t>
      </w:r>
      <w:r w:rsidR="003700C1" w:rsidRPr="00C12AFA">
        <w:rPr>
          <w:rFonts w:ascii="Garamond" w:hAnsi="Garamond"/>
          <w:sz w:val="22"/>
          <w:szCs w:val="22"/>
        </w:rPr>
        <w:t>readmission</w:t>
      </w:r>
      <w:r>
        <w:rPr>
          <w:rFonts w:ascii="Garamond" w:hAnsi="Garamond"/>
          <w:sz w:val="22"/>
          <w:szCs w:val="22"/>
        </w:rPr>
        <w:t xml:space="preserve"> rate,</w:t>
      </w:r>
      <w:r w:rsidR="00E057B6">
        <w:rPr>
          <w:rFonts w:ascii="Garamond" w:hAnsi="Garamond"/>
          <w:sz w:val="22"/>
          <w:szCs w:val="22"/>
        </w:rPr>
        <w:t xml:space="preserve"> which is</w:t>
      </w:r>
      <w:r>
        <w:rPr>
          <w:rFonts w:ascii="Garamond" w:hAnsi="Garamond"/>
          <w:sz w:val="22"/>
          <w:szCs w:val="22"/>
        </w:rPr>
        <w:t xml:space="preserve"> </w:t>
      </w:r>
      <w:r w:rsidR="003700C1" w:rsidRPr="00C12AFA">
        <w:rPr>
          <w:rFonts w:ascii="Garamond" w:hAnsi="Garamond"/>
          <w:sz w:val="22"/>
          <w:szCs w:val="22"/>
        </w:rPr>
        <w:t xml:space="preserve">widely used </w:t>
      </w:r>
      <w:r w:rsidR="00E057B6">
        <w:rPr>
          <w:rFonts w:ascii="Garamond" w:hAnsi="Garamond"/>
          <w:sz w:val="22"/>
          <w:szCs w:val="22"/>
        </w:rPr>
        <w:t>to assess</w:t>
      </w:r>
      <w:r w:rsidR="00366103">
        <w:rPr>
          <w:rFonts w:ascii="Garamond" w:hAnsi="Garamond"/>
          <w:sz w:val="22"/>
          <w:szCs w:val="22"/>
        </w:rPr>
        <w:t xml:space="preserve"> hospital performance</w:t>
      </w:r>
      <w:r w:rsidR="00E057B6">
        <w:rPr>
          <w:rFonts w:ascii="Garamond" w:hAnsi="Garamond"/>
          <w:sz w:val="22"/>
          <w:szCs w:val="22"/>
        </w:rPr>
        <w:t>,</w:t>
      </w:r>
      <w:r w:rsidR="002B753E">
        <w:rPr>
          <w:rFonts w:ascii="Garamond" w:hAnsi="Garamond"/>
          <w:sz w:val="22"/>
          <w:szCs w:val="22"/>
        </w:rPr>
        <w:fldChar w:fldCharType="begin" w:fldLock="1"/>
      </w:r>
      <w:r w:rsidR="00083082">
        <w:rPr>
          <w:rFonts w:ascii="Garamond" w:hAnsi="Garamond"/>
          <w:sz w:val="22"/>
          <w:szCs w:val="22"/>
        </w:rPr>
        <w:instrText>ADDIN CSL_CITATION {"citationItems":[{"id":"ITEM-1","itemData":{"abstract":"The NHS White Paper, Equity and excellence: Liberating the NHS, sets out the Government's long-term vision for the future of the NHS. The vision builds on the core values and principles of the NHS - a comprehensive service, available to all, free at the point of use, based on need, not ability to pay.","author":[{"dropping-particle":"","family":"Department of Health","given":"","non-dropping-particle":"","parse-names":false,"suffix":""}],"container-title":"Department of Health","id":"ITEM-1","issued":{"date-parts":[["2010"]]},"number-of-pages":"1-61","publisher-place":"London, England","title":"Equity and excellence: Liberating the NHS","type":"report"},"uris":["http://www.mendeley.com/documents/?uuid=74e723e9-0c72-43d5-ab1d-2f24c874e328","http://www.mendeley.com/documents/?uuid=0614e05e-6d71-4b70-abf2-92db46589dd1"]},{"id":"ITEM-2","itemData":{"author":[{"dropping-particle":"","family":"Centers for Medicare &amp; Medicaid Services","given":"","non-dropping-particle":"","parse-names":false,"suffix":""}],"id":"ITEM-2","issued":{"date-parts":[["2016"]]},"title":"Readmissions Reduction Program (HRRP)","type":"webpage"},"uris":["http://www.mendeley.com/documents/?uuid=7ba7356f-e370-4a05-aaf0-eae90e9de539","http://www.mendeley.com/documents/?uuid=8c3a2187-8cb0-4dbc-b56b-01a522b99ad5"]},{"id":"ITEM-3","itemData":{"DOI":"10.1002/hec.3630","ISSN":"10991050","PMID":"29282793","author":[{"dropping-particle":"","family":"Friebel","given":"Rocco","non-dropping-particle":"","parse-names":false,"suffix":""},{"dropping-particle":"","family":"Hauck","given":"Katharina","non-dropping-particle":"","parse-names":false,"suffix":""},{"dropping-particle":"","family":"Aylin","given":"Paul","non-dropping-particle":"","parse-names":false,"suffix":""}],"container-title":"Health Economics (United Kingdom)","id":"ITEM-3","issue":"October","issued":{"date-parts":[["2017"]]},"page":"1-11","title":"Centralisation of acute stroke services in London: Impact evaluation using two treatment groups","type":"article-journal"},"uris":["http://www.mendeley.com/documents/?uuid=62451a48-8491-4063-bae0-08d7f483e988","http://www.mendeley.com/documents/?uuid=6735b5f2-61c4-457b-a458-b71581edc147"]},{"id":"ITEM-4","itemData":{"DOI":"10.1136/bmjopen-2017-020325","ISSN":"20446055","abstract":"Objective To assess trends in 30-day emergency readmission rates across England over one decade. Design Retrospective study design. Setting 150 non-specialist hospital trusts in England. Participants 23 069 134 patients above 18 years of age who were readmitted following an initial admission (n=62 584 297) between April 2006 and February 2016. Primary and secondary outcomes We examined emergency admissions that occurred within 30 days of discharge from hospital (a  emergency readmissions') as a measure of healthcare quality. Presented are overall readmission rates, and disaggregated by the nature of the indexed admission, including whether it was elective or emergency, and by clinical health condition recorded. All rates were risk-adjusted for patient age, gender, ethnicity, socioeconomic status, comorbidities and length of stay. Results The average risk-adjusted, 30-day readmission rate increased from 6.56% in 2006/2007 to 6.76% (P&lt;0.01) in 2012/2013, followed by a small decrease to 6.64% (P&lt;0.01) in 2015/2016. Emergency readmissions for patients discharged following elective procedures decreased by 0.13% (P&lt;0.05), whereas those following emergency admission increased by 1.27% (P&lt;0.001). Readmission rates for hip or knee replacements decreased (-1.29%; P&lt;0.001); for acute myocardial infarction (-0.04%; P&lt;0.49), stroke (+0.62%; P&lt;0.05), chronic obstructive pulmonary disease (+0.41%; P&lt;0.05) and heart failure (+0.15%; P&lt;0.05) remained stable; and for pneumonia (+2.72%; P&lt;0.001), diabetes (+7.09%; P&lt;0.001), cholecystectomy (+1.86%; P&lt;0.001) and hysterectomy (+2.54%; P&lt;0.001) increased. Conclusions Overall, emergency readmission rates in England remained relatively stable across the observation period, with trends of slight increases contained post 2012/2013. However, there were large variations in trends across clinical areas, with some experiencing marked increases in readmission rates. This highlights the need to better understand variations in outcomes across clinical subgroups to allow for targeted interventions that will ensure highest standards of care provided for all patients.Copyright © 2018 Article author(s) (or their employer(s) unless otherwise stated in the text of the article). All rights reserved.","author":[{"dropping-particle":"","family":"Friebel","given":"Rocco","non-dropping-particle":"","parse-names":false,"suffix":""},{"dropping-particle":"","family":"Hauck","given":"Katharina","non-dropping-particle":"","parse-names":false,"suffix":""},{"dropping-particle":"","family":"Aylin","given":"Paul","non-dropping-particle":"","parse-names":false,"suffix":""},{"dropping-particle":"","family":"Steventon","given":"Adam","non-dropping-particle":"","parse-names":false,"suffix":""}],"container-title":"BMJ Open","id":"ITEM-4","issue":"3","issued":{"date-parts":[["2018"]]},"page":"1-10","title":"National trends in emergency readmission rates: A longitudinal analysis of administrative data for England between 2006 and 2016","type":"article-journal","volume":"8"},"uris":["http://www.mendeley.com/documents/?uuid=baa76caa-f7ba-4f43-84e1-7243ffee1faa","http://www.mendeley.com/documents/?uuid=cc4462c9-b2ef-4768-bb5f-c14f599ce13f"]}],"mendeley":{"formattedCitation":"[29,40–42]","plainTextFormattedCitation":"[29,40–42]","previouslyFormattedCitation":"[29,40–42]"},"properties":{"noteIndex":0},"schema":"https://github.com/citation-style-language/schema/raw/master/csl-citation.json"}</w:instrText>
      </w:r>
      <w:r w:rsidR="002B753E">
        <w:rPr>
          <w:rFonts w:ascii="Garamond" w:hAnsi="Garamond"/>
          <w:sz w:val="22"/>
          <w:szCs w:val="22"/>
        </w:rPr>
        <w:fldChar w:fldCharType="separate"/>
      </w:r>
      <w:r w:rsidR="009D62D3" w:rsidRPr="009D62D3">
        <w:rPr>
          <w:rFonts w:ascii="Garamond" w:hAnsi="Garamond"/>
          <w:noProof/>
          <w:sz w:val="22"/>
          <w:szCs w:val="22"/>
        </w:rPr>
        <w:t>[29,40–42]</w:t>
      </w:r>
      <w:r w:rsidR="002B753E">
        <w:rPr>
          <w:rFonts w:ascii="Garamond" w:hAnsi="Garamond"/>
          <w:sz w:val="22"/>
          <w:szCs w:val="22"/>
        </w:rPr>
        <w:fldChar w:fldCharType="end"/>
      </w:r>
      <w:r w:rsidR="005A32C2" w:rsidRPr="00C12AFA">
        <w:rPr>
          <w:rFonts w:ascii="Garamond" w:hAnsi="Garamond"/>
          <w:sz w:val="22"/>
          <w:szCs w:val="22"/>
        </w:rPr>
        <w:t xml:space="preserve"> </w:t>
      </w:r>
      <w:r w:rsidR="00424ED1">
        <w:rPr>
          <w:rFonts w:ascii="Garamond" w:hAnsi="Garamond"/>
          <w:sz w:val="22"/>
          <w:szCs w:val="22"/>
        </w:rPr>
        <w:t>since</w:t>
      </w:r>
      <w:r w:rsidR="00424ED1" w:rsidRPr="00C12AFA">
        <w:rPr>
          <w:rFonts w:ascii="Garamond" w:hAnsi="Garamond"/>
          <w:sz w:val="22"/>
          <w:szCs w:val="22"/>
        </w:rPr>
        <w:t xml:space="preserve"> </w:t>
      </w:r>
      <w:r w:rsidR="00E057B6">
        <w:rPr>
          <w:rFonts w:ascii="Garamond" w:hAnsi="Garamond"/>
          <w:sz w:val="22"/>
          <w:szCs w:val="22"/>
        </w:rPr>
        <w:t>readmissions</w:t>
      </w:r>
      <w:r w:rsidR="00E057B6" w:rsidRPr="00C12AFA">
        <w:rPr>
          <w:rFonts w:ascii="Garamond" w:hAnsi="Garamond"/>
          <w:sz w:val="22"/>
          <w:szCs w:val="22"/>
        </w:rPr>
        <w:t xml:space="preserve"> </w:t>
      </w:r>
      <w:r w:rsidR="005A32C2" w:rsidRPr="00C12AFA">
        <w:rPr>
          <w:rFonts w:ascii="Garamond" w:hAnsi="Garamond"/>
          <w:sz w:val="22"/>
          <w:szCs w:val="22"/>
        </w:rPr>
        <w:t>have shown to correlate with quality of care along the patient pathway.</w:t>
      </w:r>
      <w:r w:rsidR="007D158E" w:rsidRPr="00E724B5">
        <w:rPr>
          <w:rFonts w:ascii="Garamond" w:hAnsi="Garamond"/>
          <w:sz w:val="22"/>
          <w:szCs w:val="22"/>
        </w:rPr>
        <w:fldChar w:fldCharType="begin" w:fldLock="1"/>
      </w:r>
      <w:r w:rsidR="00481CE7">
        <w:rPr>
          <w:rFonts w:ascii="Garamond" w:hAnsi="Garamond"/>
          <w:sz w:val="22"/>
          <w:szCs w:val="22"/>
        </w:rPr>
        <w:instrText>ADDIN CSL_CITATION {"citationItems":[{"id":"ITEM-1","itemData":{"author":[{"dropping-particle":"","family":"Lee","given":"Kheng Hock","non-dropping-particle":"","parse-names":false,"suffix":""},{"dropping-particle":"","family":"Low","given":"Lian Leng","non-dropping-particle":"","parse-names":false,"suffix":""},{"dropping-particle":"","family":"Allen","given":"John","non-dropping-particle":"","parse-names":false,"suffix":""},{"dropping-particle":"","family":"Barbier","given":"Sylvaine","non-dropping-particle":"","parse-names":false,"suffix":""},{"dropping-particle":"","family":"Ng","given":"Lee Beng","non-dropping-particle":"","parse-names":false,"suffix":""},{"dropping-particle":"","family":"Ng","given":"Matthew Joo Ming","non-dropping-particle":"","parse-names":false,"suffix":""},{"dropping-particle":"","family":"Tay","given":"Wei Yi","non-dropping-particle":"","parse-names":false,"suffix":""},{"dropping-particle":"","family":"Tan","given":"Yun Shu","non-dropping-particle":"","parse-names":false,"suffix":""}],"container-title":"International Journal of Integrated Care","id":"ITEM-1","issue":"22","issued":{"date-parts":[["2015"]]},"page":"1-10","title":"Transitional care for the highest risk patients: findings of a randomised control study","type":"article-journal","volume":"15"},"uris":["http://www.mendeley.com/documents/?uuid=66706fc9-3803-4cc2-b947-8c3f75836270","http://www.mendeley.com/documents/?uuid=8051f621-6e55-4f51-b960-1e791f12b416"]},{"id":"ITEM-2","itemData":{"DOI":"10.1007/s11606-014-2954-2","ISBN":"1160601429","ISSN":"08848734","PMID":"25103122","abstract":"BACKGROUND: Several care transition interventions propose that post-discharge phone calls can reduce adverse events and decrease costly return visits to the hospital. However, given the multi-faceted nature of most care transitions interventions, the true relationship between post-discharge phone calls and readmissions in a real world setting is uncertain.\\n\\nOBJECTIVE: To determine the effect of receiving a post-discharge telephone call on all-cause 30-day readmission in a general medicine population.\\n\\nDESIGN: Retrospective observational study.\\n\\nPARTICIPANTS: Patients discharged home from the Medicine Service at a tertiary care academic medical center between November 2010 and May 2012.\\n\\nINTERVENTION: Patients received two telephone call attempts by a nurse within 72 h of discharge. Nurses followed a standard script to address issues associated with readmission.\\n\\nMAIN OUTCOME AND MEASURES: Billing data captured readmissions. We used logistic regression-adjusted patient and clinical covariates as well as a propensity score representing likelihood of being called to determine the association between call receipt and risk for readmission.\\n\\nKEY RESULTS: There were 5,507 eligible patients. In unadjusted analyses, patients who received a call and completed the intervention were significantly less likely to be readmitted compared to those who did not [155 (5.8 %) vs 123 (8.6 %), p &lt; 0.01]. In multivariable models adjusting for socio-demographic and clinical covariates alone, completing a post-discharge telephone call intervention was associated with lower odds for readmission (AOR 0.71; 95 % CI: 0.55-0.91). However, when models adjusted for the likelihood of receiving the phone call using the propensity score, no association between call receipt and readmission was observed (AOR 0.91; 95%CI: 0.69-1.20).\\n\\nCONCLUSIONS: Effectiveness of post-discharge phone call programs may be more related to whether patients are able to answer a phone call than to the care delivered by the phone call. Programs would benefit from improving their ability to perform phone outreach while simultaneously improving on the care delivered during the calls.","author":[{"dropping-particle":"","family":"Harrison","given":"James D.","non-dropping-particle":"","parse-names":false,"suffix":""},{"dropping-particle":"","family":"Auerbach","given":"Andrew D.","non-dropping-particle":"","parse-names":false,"suffix":""},{"dropping-particle":"","family":"Quinn","given":"Kathryn","non-dropping-particle":"","parse-names":false,"suffix":""},{"dropping-particle":"","family":"Kynoch","given":"Ellen","non-dropping-particle":"","parse-names":false,"suffix":""},{"dropping-particle":"","family":"Mourad","given":"Michelle","non-dropping-particle":"","parse-names":false,"suffix":""}],"container-title":"Journal of General Internal Medicine","id":"ITEM-2","issue":"11","issued":{"date-parts":[["2014"]]},"page":"1519-1525","title":"Assessing the Impact of Nurse Post-Discharge Telephone Calls on 30-Day Hospital Readmission Rates","type":"article-journal","volume":"29"},"uris":["http://www.mendeley.com/documents/?uuid=85eea175-198b-4c78-b465-c4d77c3e840b","http://www.mendeley.com/documents/?uuid=beb82964-f40d-44c4-abcc-e66f8781d8fc","http://www.mendeley.com/documents/?uuid=2e69869b-4460-43cc-93f6-3ffb2073b098"]},{"id":"ITEM-3","itemData":{"DOI":"10.1097/MLR.0000000000000779","author":[{"dropping-particle":"","family":"Friebel","given":"Rocco","non-dropping-particle":"","parse-names":false,"suffix":""},{"dropping-particle":"","family":"Dharmarajan","given":"Kumar","non-dropping-particle":"","parse-names":false,"suffix":""},{"dropping-particle":"","family":"Krumholz","given":"Harlan M.","non-dropping-particle":"","parse-names":false,"suffix":""},{"dropping-particle":"","family":"Steventon","given":"Adam","non-dropping-particle":"","parse-names":false,"suffix":""}],"container-title":"Medical Care","id":"ITEM-3","issue":"9","issued":{"date-parts":[["2017"]]},"page":"834-840","title":"Reductions in readmission rates are associated with modest improvements in patient-reported health gains following hip and knee replacement in England","type":"article-journal","volume":"55"},"uris":["http://www.mendeley.com/documents/?uuid=92ec8976-72f0-4ce0-9242-61ae9ead41d5","http://www.mendeley.com/documents/?uuid=c43a3952-de20-4ecd-b560-518d94d9d87a","http://www.mendeley.com/documents/?uuid=ae5e605d-5d9b-4d10-8d82-ffdda6e75404"]}],"mendeley":{"formattedCitation":"[20,21,30]","plainTextFormattedCitation":"[20,21,30]","previouslyFormattedCitation":"[20,21,30]"},"properties":{"noteIndex":0},"schema":"https://github.com/citation-style-language/schema/raw/master/csl-citation.json"}</w:instrText>
      </w:r>
      <w:r w:rsidR="007D158E" w:rsidRPr="00E724B5">
        <w:rPr>
          <w:rFonts w:ascii="Garamond" w:hAnsi="Garamond"/>
          <w:sz w:val="22"/>
          <w:szCs w:val="22"/>
        </w:rPr>
        <w:fldChar w:fldCharType="separate"/>
      </w:r>
      <w:r w:rsidR="00D76B38" w:rsidRPr="00D76B38">
        <w:rPr>
          <w:rFonts w:ascii="Garamond" w:hAnsi="Garamond"/>
          <w:noProof/>
          <w:sz w:val="22"/>
          <w:szCs w:val="22"/>
        </w:rPr>
        <w:t>[20,21,30]</w:t>
      </w:r>
      <w:r w:rsidR="007D158E" w:rsidRPr="00E724B5">
        <w:rPr>
          <w:rFonts w:ascii="Garamond" w:hAnsi="Garamond"/>
          <w:sz w:val="22"/>
          <w:szCs w:val="22"/>
        </w:rPr>
        <w:fldChar w:fldCharType="end"/>
      </w:r>
      <w:r w:rsidR="005A32C2" w:rsidRPr="00E724B5">
        <w:rPr>
          <w:rFonts w:ascii="Garamond" w:hAnsi="Garamond"/>
          <w:sz w:val="22"/>
          <w:szCs w:val="22"/>
        </w:rPr>
        <w:t xml:space="preserve"> </w:t>
      </w:r>
      <w:r w:rsidR="00424ED1">
        <w:rPr>
          <w:rFonts w:ascii="Garamond" w:hAnsi="Garamond"/>
          <w:sz w:val="22"/>
          <w:szCs w:val="22"/>
        </w:rPr>
        <w:t>Readmissions are generally</w:t>
      </w:r>
      <w:r w:rsidR="005A32C2" w:rsidRPr="00E724B5">
        <w:rPr>
          <w:rFonts w:ascii="Garamond" w:hAnsi="Garamond"/>
          <w:sz w:val="22"/>
          <w:szCs w:val="22"/>
        </w:rPr>
        <w:t xml:space="preserve"> undesirable for patients</w:t>
      </w:r>
      <w:r w:rsidR="00DE3F96">
        <w:rPr>
          <w:rFonts w:ascii="Garamond" w:hAnsi="Garamond"/>
          <w:sz w:val="22"/>
          <w:szCs w:val="22"/>
        </w:rPr>
        <w:t xml:space="preserve"> </w:t>
      </w:r>
      <w:r w:rsidR="00424ED1">
        <w:rPr>
          <w:rFonts w:ascii="Garamond" w:hAnsi="Garamond"/>
          <w:sz w:val="22"/>
          <w:szCs w:val="22"/>
        </w:rPr>
        <w:t xml:space="preserve">if they can be avoided </w:t>
      </w:r>
      <w:r w:rsidR="00DE3F96">
        <w:rPr>
          <w:rFonts w:ascii="Garamond" w:hAnsi="Garamond"/>
          <w:sz w:val="22"/>
          <w:szCs w:val="22"/>
        </w:rPr>
        <w:t>and</w:t>
      </w:r>
      <w:r w:rsidR="005A32C2" w:rsidRPr="00E724B5">
        <w:rPr>
          <w:rFonts w:ascii="Garamond" w:hAnsi="Garamond"/>
          <w:sz w:val="22"/>
          <w:szCs w:val="22"/>
        </w:rPr>
        <w:t xml:space="preserve"> </w:t>
      </w:r>
      <w:r w:rsidR="00424ED1">
        <w:rPr>
          <w:rFonts w:ascii="Garamond" w:hAnsi="Garamond"/>
          <w:sz w:val="22"/>
          <w:szCs w:val="22"/>
        </w:rPr>
        <w:t>represent</w:t>
      </w:r>
      <w:r w:rsidR="005A32C2" w:rsidRPr="00E724B5">
        <w:rPr>
          <w:rFonts w:ascii="Garamond" w:hAnsi="Garamond"/>
          <w:sz w:val="22"/>
          <w:szCs w:val="22"/>
        </w:rPr>
        <w:t xml:space="preserve"> additional burden for health systems, including downstream pressure</w:t>
      </w:r>
      <w:r w:rsidR="007D158E" w:rsidRPr="00C12AFA">
        <w:rPr>
          <w:rFonts w:ascii="Garamond" w:hAnsi="Garamond"/>
          <w:sz w:val="22"/>
          <w:szCs w:val="22"/>
        </w:rPr>
        <w:t>s on beds and additional costs</w:t>
      </w:r>
      <w:r w:rsidR="00424ED1">
        <w:rPr>
          <w:rFonts w:ascii="Garamond" w:hAnsi="Garamond"/>
          <w:sz w:val="22"/>
          <w:szCs w:val="22"/>
        </w:rPr>
        <w:t>.</w:t>
      </w:r>
      <w:r w:rsidR="000E2215">
        <w:rPr>
          <w:rFonts w:ascii="Garamond" w:hAnsi="Garamond"/>
          <w:sz w:val="22"/>
          <w:szCs w:val="22"/>
        </w:rPr>
        <w:fldChar w:fldCharType="begin" w:fldLock="1"/>
      </w:r>
      <w:r w:rsidR="00083082">
        <w:rPr>
          <w:rFonts w:ascii="Garamond" w:hAnsi="Garamond"/>
          <w:sz w:val="22"/>
          <w:szCs w:val="22"/>
        </w:rPr>
        <w:instrText>ADDIN CSL_CITATION {"citationItems":[{"id":"ITEM-1","itemData":{"DOI":"10.1177/1077558704263799","ISBN":"1077-5587","ISSN":"1077-5587","PMID":"15155053","abstract":"The study estimates the rate and cost of preventable readmissions within 6 months after a first preventable admission, by age-group, and by payer and race within age-group. The descriptive results are contrasted with several hypotheses. The hospital discharge data are for residents of New York, Pennsylvania, Tennessee, and Wisconsin in 1999, from files of the Healthcare Cost and Utilization Project of the Agency for Healthcare Research and Quality. About 19 percent of persons with an initial preventable admission had at least one preventable readmission rate within 6 months. Hospital cost for preventable readmissions during 6 months was about 730 million US dollars. There were substantial differences in readmission rates by payer group and by race. Some evidence suggests that preventable readmissions may partly reflect complexity of underlying problems. Interventions to reduce cost might focus on identifying high-risk patients before discharge and devising new approaches to follow-up.","author":[{"dropping-particle":"","family":"Friedman","given":"Bernard","non-dropping-particle":"","parse-names":false,"suffix":""},{"dropping-particle":"","family":"Basu","given":"Jayasree","non-dropping-particle":"","parse-names":false,"suffix":""}],"container-title":"Medical care research and review","id":"ITEM-1","issue":"2","issued":{"date-parts":[["2004"]]},"page":"225-240","title":"The rate and cost of hospital readmissions for preventable conditions.","type":"article-journal","volume":"61"},"uris":["http://www.mendeley.com/documents/?uuid=f72b2376-e672-4a7e-8279-e13f69f36c79","http://www.mendeley.com/documents/?uuid=ab09d554-f916-4b2b-b79f-869ad29e3ebc"]}],"mendeley":{"formattedCitation":"[43]","plainTextFormattedCitation":"[43]","previouslyFormattedCitation":"[43]"},"properties":{"noteIndex":0},"schema":"https://github.com/citation-style-language/schema/raw/master/csl-citation.json"}</w:instrText>
      </w:r>
      <w:r w:rsidR="000E2215">
        <w:rPr>
          <w:rFonts w:ascii="Garamond" w:hAnsi="Garamond"/>
          <w:sz w:val="22"/>
          <w:szCs w:val="22"/>
        </w:rPr>
        <w:fldChar w:fldCharType="separate"/>
      </w:r>
      <w:r w:rsidR="009D62D3" w:rsidRPr="009D62D3">
        <w:rPr>
          <w:rFonts w:ascii="Garamond" w:hAnsi="Garamond"/>
          <w:noProof/>
          <w:sz w:val="22"/>
          <w:szCs w:val="22"/>
        </w:rPr>
        <w:t>[43]</w:t>
      </w:r>
      <w:r w:rsidR="000E2215">
        <w:rPr>
          <w:rFonts w:ascii="Garamond" w:hAnsi="Garamond"/>
          <w:sz w:val="22"/>
          <w:szCs w:val="22"/>
        </w:rPr>
        <w:fldChar w:fldCharType="end"/>
      </w:r>
      <w:r w:rsidR="007D158E" w:rsidRPr="00C12AFA">
        <w:rPr>
          <w:rFonts w:ascii="Garamond" w:hAnsi="Garamond"/>
          <w:sz w:val="22"/>
          <w:szCs w:val="22"/>
        </w:rPr>
        <w:t xml:space="preserve"> </w:t>
      </w:r>
      <w:r w:rsidR="00424ED1">
        <w:rPr>
          <w:rFonts w:ascii="Garamond" w:hAnsi="Garamond"/>
          <w:sz w:val="22"/>
          <w:szCs w:val="22"/>
        </w:rPr>
        <w:t xml:space="preserve">However, </w:t>
      </w:r>
      <w:r w:rsidR="006250B1">
        <w:rPr>
          <w:rFonts w:ascii="Garamond" w:hAnsi="Garamond"/>
          <w:sz w:val="22"/>
          <w:szCs w:val="22"/>
        </w:rPr>
        <w:t xml:space="preserve">the small increase in readmission risk detected in this study may not place a notable burden on patients or the health system and </w:t>
      </w:r>
      <w:r w:rsidR="00424ED1">
        <w:rPr>
          <w:rFonts w:ascii="Garamond" w:hAnsi="Garamond"/>
          <w:sz w:val="22"/>
          <w:szCs w:val="22"/>
        </w:rPr>
        <w:t xml:space="preserve">it is important to note that </w:t>
      </w:r>
      <w:r w:rsidR="00AB3E99">
        <w:rPr>
          <w:rFonts w:ascii="Garamond" w:hAnsi="Garamond"/>
          <w:sz w:val="22"/>
          <w:szCs w:val="22"/>
        </w:rPr>
        <w:t>the links between readmissions and care quality are not straightforward.</w:t>
      </w:r>
      <w:r w:rsidR="006713ED">
        <w:rPr>
          <w:rFonts w:ascii="Garamond" w:hAnsi="Garamond"/>
          <w:sz w:val="22"/>
          <w:szCs w:val="22"/>
        </w:rPr>
        <w:fldChar w:fldCharType="begin" w:fldLock="1"/>
      </w:r>
      <w:r w:rsidR="00083082">
        <w:rPr>
          <w:rFonts w:ascii="Garamond" w:hAnsi="Garamond"/>
          <w:sz w:val="22"/>
          <w:szCs w:val="22"/>
        </w:rPr>
        <w:instrText>ADDIN CSL_CITATION {"citationItems":[{"id":"ITEM-1","itemData":{"DOI":"10.1371/journal.pone.0112282","ISSN":"19326203","PMID":"25379675","abstract":"INTRODUCTION: Hospital readmission rates are increasingly used for both quality improvement and cost control. However, the validity of readmission rates as a measure of quality of hospital care is not evident. We aimed to give an overview of the different methodological aspects in the definition and measurement of readmission rates that need to be considered when interpreting readmission rates as a reflection of quality of care.\\n\\nMETHODS: We conducted a systematic literature review, using the bibliographic databases Embase, Medline OvidSP, Web-of-Science, Cochrane central and PubMed for the period of January 2001 to May 2013.\\n\\nRESULTS: The search resulted in 102 included papers. We found that definition of the context in which readmissions are used as a quality indicator is crucial. This context includes the patient group and the specific aspects of care of which the quality is aimed to be assessed. Methodological flaws like unreliable data and insufficient case-mix correction may confound the comparison of readmission rates between hospitals. Another problem occurs when the basic distinction between planned and unplanned readmissions cannot be made. Finally, the multi-faceted nature of quality of care and the correlation between readmissions and other outcomes limit the indicator's validity.\\n\\nCONCLUSIONS: Although readmission rates are a promising quality indicator, several methodological concerns identified in this study need to be addressed, especially when the indicator is intended for accountability or pay for performance. We recommend investing resources in accurate data registration, improved indicator description, and bundling outcome measures to provide a more complete picture of hospital care.","author":[{"dropping-particle":"","family":"Fischer","given":"Claudia","non-dropping-particle":"","parse-names":false,"suffix":""},{"dropping-particle":"","family":"Lingsma","given":"Hester F.","non-dropping-particle":"","parse-names":false,"suffix":""},{"dropping-particle":"","family":"Marang-van De Mheen","given":"Perla J.","non-dropping-particle":"","parse-names":false,"suffix":""},{"dropping-particle":"","family":"Kringos","given":"Dionne S.","non-dropping-particle":"","parse-names":false,"suffix":""},{"dropping-particle":"","family":"Klazinga","given":"Niek S.","non-dropping-particle":"","parse-names":false,"suffix":""},{"dropping-particle":"","family":"Steyerberg","given":"Ewout W.","non-dropping-particle":"","parse-names":false,"suffix":""}],"container-title":"PLoS ONE","id":"ITEM-1","issue":"11","issued":{"date-parts":[["2014"]]},"page":"1-9","title":"Is the readmission rate a valid quality indicator? A review of the evidence","type":"article-journal","volume":"9"},"uris":["http://www.mendeley.com/documents/?uuid=577837d0-bfe0-4a5b-a2b0-d56c59c7f533","http://www.mendeley.com/documents/?uuid=e00ce8b4-e3dc-4cf2-9769-1327dcf90992"]}],"mendeley":{"formattedCitation":"[44]","plainTextFormattedCitation":"[44]","previouslyFormattedCitation":"[44]"},"properties":{"noteIndex":0},"schema":"https://github.com/citation-style-language/schema/raw/master/csl-citation.json"}</w:instrText>
      </w:r>
      <w:r w:rsidR="006713ED">
        <w:rPr>
          <w:rFonts w:ascii="Garamond" w:hAnsi="Garamond"/>
          <w:sz w:val="22"/>
          <w:szCs w:val="22"/>
        </w:rPr>
        <w:fldChar w:fldCharType="separate"/>
      </w:r>
      <w:r w:rsidR="009D62D3" w:rsidRPr="009D62D3">
        <w:rPr>
          <w:rFonts w:ascii="Garamond" w:hAnsi="Garamond"/>
          <w:noProof/>
          <w:sz w:val="22"/>
          <w:szCs w:val="22"/>
        </w:rPr>
        <w:t>[44]</w:t>
      </w:r>
      <w:r w:rsidR="006713ED">
        <w:rPr>
          <w:rFonts w:ascii="Garamond" w:hAnsi="Garamond"/>
          <w:sz w:val="22"/>
          <w:szCs w:val="22"/>
        </w:rPr>
        <w:fldChar w:fldCharType="end"/>
      </w:r>
      <w:r w:rsidR="00AB3E99">
        <w:rPr>
          <w:rFonts w:ascii="Garamond" w:hAnsi="Garamond"/>
          <w:sz w:val="22"/>
          <w:szCs w:val="22"/>
        </w:rPr>
        <w:t xml:space="preserve"> For example, some readmissions are</w:t>
      </w:r>
      <w:r w:rsidR="00AB3E99" w:rsidRPr="00E724B5">
        <w:rPr>
          <w:rFonts w:ascii="Garamond" w:hAnsi="Garamond"/>
          <w:sz w:val="22"/>
          <w:szCs w:val="22"/>
        </w:rPr>
        <w:t xml:space="preserve"> clinically appropriate</w:t>
      </w:r>
      <w:r w:rsidR="00AB3E99">
        <w:rPr>
          <w:rFonts w:ascii="Garamond" w:hAnsi="Garamond"/>
          <w:sz w:val="22"/>
          <w:szCs w:val="22"/>
        </w:rPr>
        <w:t xml:space="preserve"> and, </w:t>
      </w:r>
      <w:r w:rsidR="00424ED1" w:rsidRPr="00E724B5">
        <w:rPr>
          <w:rFonts w:ascii="Garamond" w:hAnsi="Garamond"/>
          <w:sz w:val="22"/>
          <w:szCs w:val="22"/>
        </w:rPr>
        <w:t xml:space="preserve">on busy days, consultants may </w:t>
      </w:r>
      <w:r w:rsidR="00DD04C6">
        <w:rPr>
          <w:rFonts w:ascii="Garamond" w:hAnsi="Garamond"/>
          <w:sz w:val="22"/>
          <w:szCs w:val="22"/>
        </w:rPr>
        <w:t>adopt a deliberate strategy to discharge patients earlier with instructions to return</w:t>
      </w:r>
      <w:r w:rsidR="00424ED1" w:rsidRPr="00C12AFA">
        <w:rPr>
          <w:rFonts w:ascii="Garamond" w:hAnsi="Garamond"/>
          <w:sz w:val="22"/>
          <w:szCs w:val="22"/>
        </w:rPr>
        <w:t xml:space="preserve"> </w:t>
      </w:r>
      <w:r w:rsidR="00DD04C6">
        <w:rPr>
          <w:rFonts w:ascii="Garamond" w:hAnsi="Garamond"/>
          <w:sz w:val="22"/>
          <w:szCs w:val="22"/>
        </w:rPr>
        <w:t>should conditions worsen</w:t>
      </w:r>
      <w:r w:rsidR="00424ED1" w:rsidRPr="00C12AFA">
        <w:rPr>
          <w:rFonts w:ascii="Garamond" w:hAnsi="Garamond"/>
          <w:sz w:val="22"/>
          <w:szCs w:val="22"/>
        </w:rPr>
        <w:t xml:space="preserve">. </w:t>
      </w:r>
      <w:r w:rsidR="00CC6A63">
        <w:rPr>
          <w:rFonts w:ascii="Garamond" w:hAnsi="Garamond"/>
          <w:sz w:val="22"/>
          <w:szCs w:val="22"/>
        </w:rPr>
        <w:t xml:space="preserve">These </w:t>
      </w:r>
      <w:r w:rsidR="00DD04C6">
        <w:rPr>
          <w:rFonts w:ascii="Garamond" w:hAnsi="Garamond"/>
          <w:sz w:val="22"/>
          <w:szCs w:val="22"/>
        </w:rPr>
        <w:t>early discharge</w:t>
      </w:r>
      <w:r w:rsidR="00AB3E99">
        <w:rPr>
          <w:rFonts w:ascii="Garamond" w:hAnsi="Garamond"/>
          <w:sz w:val="22"/>
          <w:szCs w:val="22"/>
        </w:rPr>
        <w:t>s</w:t>
      </w:r>
      <w:r w:rsidR="00DD04C6">
        <w:rPr>
          <w:rFonts w:ascii="Garamond" w:hAnsi="Garamond"/>
          <w:sz w:val="22"/>
          <w:szCs w:val="22"/>
        </w:rPr>
        <w:t xml:space="preserve"> might be associated with benefits to patients even if there is an increased readmission risk (for example, because shorter lengths of stay</w:t>
      </w:r>
      <w:r w:rsidR="00DD04C6" w:rsidRPr="00C12AFA">
        <w:rPr>
          <w:rFonts w:ascii="Garamond" w:hAnsi="Garamond"/>
          <w:sz w:val="22"/>
          <w:szCs w:val="22"/>
        </w:rPr>
        <w:t xml:space="preserve"> </w:t>
      </w:r>
      <w:r w:rsidR="00DD04C6">
        <w:rPr>
          <w:rFonts w:ascii="Garamond" w:hAnsi="Garamond"/>
          <w:sz w:val="22"/>
          <w:szCs w:val="22"/>
        </w:rPr>
        <w:t>mean</w:t>
      </w:r>
      <w:r w:rsidR="00DD04C6" w:rsidRPr="00C12AFA">
        <w:rPr>
          <w:rFonts w:ascii="Garamond" w:hAnsi="Garamond"/>
          <w:sz w:val="22"/>
          <w:szCs w:val="22"/>
        </w:rPr>
        <w:t xml:space="preserve"> </w:t>
      </w:r>
      <w:r w:rsidR="00DD04C6">
        <w:rPr>
          <w:rFonts w:ascii="Garamond" w:hAnsi="Garamond"/>
          <w:sz w:val="22"/>
          <w:szCs w:val="22"/>
        </w:rPr>
        <w:t>less</w:t>
      </w:r>
      <w:r w:rsidR="00DD04C6" w:rsidRPr="00C12AFA">
        <w:rPr>
          <w:rFonts w:ascii="Garamond" w:hAnsi="Garamond"/>
          <w:sz w:val="22"/>
          <w:szCs w:val="22"/>
        </w:rPr>
        <w:t xml:space="preserve"> time in </w:t>
      </w:r>
      <w:r w:rsidR="00DD04C6">
        <w:rPr>
          <w:rFonts w:ascii="Garamond" w:hAnsi="Garamond"/>
          <w:sz w:val="22"/>
          <w:szCs w:val="22"/>
        </w:rPr>
        <w:t>hospital settings that are often</w:t>
      </w:r>
      <w:r w:rsidR="00DD04C6" w:rsidRPr="00C12AFA">
        <w:rPr>
          <w:rFonts w:ascii="Garamond" w:hAnsi="Garamond"/>
          <w:sz w:val="22"/>
          <w:szCs w:val="22"/>
        </w:rPr>
        <w:t xml:space="preserve"> </w:t>
      </w:r>
      <w:r w:rsidR="00401612">
        <w:rPr>
          <w:rFonts w:ascii="Garamond" w:hAnsi="Garamond"/>
          <w:sz w:val="22"/>
          <w:szCs w:val="22"/>
        </w:rPr>
        <w:t xml:space="preserve">psychologically </w:t>
      </w:r>
      <w:r w:rsidR="00DD04C6" w:rsidRPr="00C12AFA">
        <w:rPr>
          <w:rFonts w:ascii="Garamond" w:hAnsi="Garamond"/>
          <w:sz w:val="22"/>
          <w:szCs w:val="22"/>
        </w:rPr>
        <w:t>and physiologically straining</w:t>
      </w:r>
      <w:r w:rsidR="00DD04C6">
        <w:rPr>
          <w:rFonts w:ascii="Garamond" w:hAnsi="Garamond"/>
          <w:sz w:val="22"/>
          <w:szCs w:val="22"/>
        </w:rPr>
        <w:t xml:space="preserve"> for patients).</w:t>
      </w:r>
      <w:r w:rsidR="00443254">
        <w:rPr>
          <w:rFonts w:ascii="Garamond" w:hAnsi="Garamond"/>
          <w:sz w:val="22"/>
          <w:szCs w:val="22"/>
        </w:rPr>
        <w:fldChar w:fldCharType="begin" w:fldLock="1"/>
      </w:r>
      <w:r w:rsidR="00083082">
        <w:rPr>
          <w:rFonts w:ascii="Garamond" w:hAnsi="Garamond"/>
          <w:sz w:val="22"/>
          <w:szCs w:val="22"/>
        </w:rPr>
        <w:instrText>ADDIN CSL_CITATION {"citationItems":[{"id":"ITEM-1","itemData":{"DOI":"10.1056/NEJMp1211581","ISSN":"1533-4406","PMID":"23301729","author":[{"dropping-particle":"","family":"Krumholz","given":"Harlan M","non-dropping-particle":"","parse-names":false,"suffix":""}],"container-title":"The New England journal of medicine","id":"ITEM-1","issue":"2","issued":{"date-parts":[["2013","1"]]},"page":"100-102","title":"Post-Hospital Syndrome - An Acquired, Transient Condition of Generalized Risk","type":"article-journal","volume":"368"},"uris":["http://www.mendeley.com/documents/?uuid=460714fe-d946-4f46-9676-344eea08fa4f"]},{"id":"ITEM-2","itemData":{"DOI":"10.1097/MLR.0b013e31822efb09","ISBN":"0025-7079","ISSN":"0025-7079","PMID":"21945976","abstract":"Background: Despite extensive research into adverse events, there is no quantitative estimate for the risk of experiencing adverse events per day spent in hospital. This is important information for hospital managers, because they may consider discharging patients earlier to alternative care providers if this is associated with lower risk, but other costs and benefits are similar. Methods: We model adverse events as a function of patient risk factors, hospital fixed effects, and length of stay. Potential endogeneity of length of stay is addressed with instrumental variable methods, using days and months of discharge as instruments. We use administrative hospital episode data for 206,489 medical inpatients in all public hospitals in the state of Victoria, Australia, for the year 2005/2006. Results: A hospital stay carries a 5.5% risk of an adverse drug reaction, 17.6% risk of infection, and 3.1% risk of ulcer for an average episode, and each additional night in hospital increases the risk by 0.5% for adverse drug reactions, 1.6% for infections, and 0.5% for ulcers. Length of stay is endogenous in models of adverse events, and risks would be underestimated if length of stay was treated as exogenous. Conclusions: The results of our research contribute to assessing the benefits and costs of hospital staysand their alternativesin a quantitative manner. Instead of discharging patients early to alternative care, it would be more desirable to address underlying causes of adverse events. However, this may prove costly, difficult, or impossible, at least in the short run. In such situations, our research supports hospital managers in making informed treatment and discharge decisions.","author":[{"dropping-particle":"","family":"Hauck","given":"Katharina","non-dropping-particle":"","parse-names":false,"suffix":""},{"dropping-particle":"","family":"Zhao","given":"Xueyan","non-dropping-particle":"","parse-names":false,"suffix":""}],"container-title":"Medical Care","id":"ITEM-2","issue":"12","issued":{"date-parts":[["2011"]]},"page":"1068-1075","title":"How Dangerous is a Day in Hospital?","type":"article-journal","volume":"49"},"uris":["http://www.mendeley.com/documents/?uuid=8456abba-4142-4e84-94e7-dd8386316cdb"]}],"mendeley":{"formattedCitation":"[28,45]","plainTextFormattedCitation":"[28,45]","previouslyFormattedCitation":"[28,45]"},"properties":{"noteIndex":0},"schema":"https://github.com/citation-style-language/schema/raw/master/csl-citation.json"}</w:instrText>
      </w:r>
      <w:r w:rsidR="00443254">
        <w:rPr>
          <w:rFonts w:ascii="Garamond" w:hAnsi="Garamond"/>
          <w:sz w:val="22"/>
          <w:szCs w:val="22"/>
        </w:rPr>
        <w:fldChar w:fldCharType="separate"/>
      </w:r>
      <w:r w:rsidR="009D62D3" w:rsidRPr="009D62D3">
        <w:rPr>
          <w:rFonts w:ascii="Garamond" w:hAnsi="Garamond"/>
          <w:noProof/>
          <w:sz w:val="22"/>
          <w:szCs w:val="22"/>
        </w:rPr>
        <w:t>[28,45]</w:t>
      </w:r>
      <w:r w:rsidR="00443254">
        <w:rPr>
          <w:rFonts w:ascii="Garamond" w:hAnsi="Garamond"/>
          <w:sz w:val="22"/>
          <w:szCs w:val="22"/>
        </w:rPr>
        <w:fldChar w:fldCharType="end"/>
      </w:r>
      <w:r w:rsidR="00DD04C6">
        <w:rPr>
          <w:rFonts w:ascii="Garamond" w:hAnsi="Garamond"/>
          <w:sz w:val="22"/>
          <w:szCs w:val="22"/>
        </w:rPr>
        <w:t xml:space="preserve"> </w:t>
      </w:r>
      <w:r w:rsidR="00CC6A63">
        <w:rPr>
          <w:rFonts w:ascii="Garamond" w:hAnsi="Garamond"/>
          <w:sz w:val="22"/>
          <w:szCs w:val="22"/>
        </w:rPr>
        <w:t xml:space="preserve">Further studies are needed to </w:t>
      </w:r>
      <w:r w:rsidR="00083082">
        <w:rPr>
          <w:rFonts w:ascii="Garamond" w:hAnsi="Garamond"/>
          <w:sz w:val="22"/>
          <w:szCs w:val="22"/>
        </w:rPr>
        <w:t xml:space="preserve">provide a more granular </w:t>
      </w:r>
      <w:r w:rsidR="00CC6A63">
        <w:rPr>
          <w:rFonts w:ascii="Garamond" w:hAnsi="Garamond"/>
          <w:sz w:val="22"/>
          <w:szCs w:val="22"/>
        </w:rPr>
        <w:t xml:space="preserve">picture, and these could examine metrics that relate to </w:t>
      </w:r>
      <w:r w:rsidR="00083082">
        <w:rPr>
          <w:rFonts w:ascii="Garamond" w:hAnsi="Garamond"/>
          <w:sz w:val="22"/>
          <w:szCs w:val="22"/>
        </w:rPr>
        <w:t xml:space="preserve">processes in other parts of the clinical pathway, </w:t>
      </w:r>
      <w:r w:rsidR="00CC6A63">
        <w:rPr>
          <w:rFonts w:ascii="Garamond" w:hAnsi="Garamond"/>
          <w:sz w:val="22"/>
          <w:szCs w:val="22"/>
        </w:rPr>
        <w:t>safety, clinical and patient-focussed outcomes and experience of care.</w:t>
      </w:r>
      <w:r w:rsidR="00775C62">
        <w:rPr>
          <w:rFonts w:ascii="Garamond" w:hAnsi="Garamond"/>
          <w:sz w:val="22"/>
          <w:szCs w:val="22"/>
        </w:rPr>
        <w:fldChar w:fldCharType="begin" w:fldLock="1"/>
      </w:r>
      <w:r w:rsidR="00775C62">
        <w:rPr>
          <w:rFonts w:ascii="Garamond" w:hAnsi="Garamond"/>
          <w:sz w:val="22"/>
          <w:szCs w:val="22"/>
        </w:rPr>
        <w:instrText>ADDIN CSL_CITATION {"citationItems":[{"id":"ITEM-1","itemData":{"DOI":"10.1136/bmjqs-2018-008280","author":[{"dropping-particle":"","family":"Friebel","given":"Rocco","non-dropping-particle":"","parse-names":false,"suffix":""},{"dropping-particle":"","family":"Steventon","given":"Adam","non-dropping-particle":"","parse-names":false,"suffix":""}],"container-title":"BMJ Quality &amp; Safety","id":"ITEM-1","issued":{"date-parts":[["2019"]]},"page":"85-88","title":"Composite measures of healthcare quality : sensible in theory , problematic in practice","type":"article-journal","volume":"28"},"uris":["http://www.mendeley.com/documents/?uuid=b35603ee-735e-4aa7-839e-8bd726545979"]}],"mendeley":{"formattedCitation":"[46]","plainTextFormattedCitation":"[46]","previouslyFormattedCitation":"[46]"},"properties":{"noteIndex":0},"schema":"https://github.com/citation-style-language/schema/raw/master/csl-citation.json"}</w:instrText>
      </w:r>
      <w:r w:rsidR="00775C62">
        <w:rPr>
          <w:rFonts w:ascii="Garamond" w:hAnsi="Garamond"/>
          <w:sz w:val="22"/>
          <w:szCs w:val="22"/>
        </w:rPr>
        <w:fldChar w:fldCharType="separate"/>
      </w:r>
      <w:r w:rsidR="00775C62" w:rsidRPr="00775C62">
        <w:rPr>
          <w:rFonts w:ascii="Garamond" w:hAnsi="Garamond"/>
          <w:noProof/>
          <w:sz w:val="22"/>
          <w:szCs w:val="22"/>
        </w:rPr>
        <w:t>[46]</w:t>
      </w:r>
      <w:r w:rsidR="00775C62">
        <w:rPr>
          <w:rFonts w:ascii="Garamond" w:hAnsi="Garamond"/>
          <w:sz w:val="22"/>
          <w:szCs w:val="22"/>
        </w:rPr>
        <w:fldChar w:fldCharType="end"/>
      </w:r>
      <w:r w:rsidR="00CC6A63">
        <w:rPr>
          <w:rFonts w:ascii="Garamond" w:hAnsi="Garamond"/>
          <w:sz w:val="22"/>
          <w:szCs w:val="22"/>
        </w:rPr>
        <w:t xml:space="preserve"> </w:t>
      </w:r>
      <w:r>
        <w:rPr>
          <w:rFonts w:ascii="Garamond" w:hAnsi="Garamond"/>
          <w:sz w:val="22"/>
          <w:szCs w:val="22"/>
        </w:rPr>
        <w:t>Studies could also investigate patient groups</w:t>
      </w:r>
      <w:r w:rsidR="005F56B6">
        <w:rPr>
          <w:rFonts w:ascii="Garamond" w:hAnsi="Garamond"/>
          <w:sz w:val="22"/>
          <w:szCs w:val="22"/>
        </w:rPr>
        <w:t xml:space="preserve"> not considered in this paper</w:t>
      </w:r>
      <w:r>
        <w:rPr>
          <w:rFonts w:ascii="Garamond" w:hAnsi="Garamond"/>
          <w:sz w:val="22"/>
          <w:szCs w:val="22"/>
        </w:rPr>
        <w:t>. For consistency with the calculation of the bed occupancy rates, we restricted our study to patients who remained in hospital overnight, yet pressures on beds might also affect the quality of care delivered to patients who are admitted for shorter period of time. High bed occupancy rates might also create problems in other parts of the hospital, since for example they have been associated with longer waiting times in emergency departments,</w:t>
      </w:r>
      <w:r w:rsidRPr="00E724B5">
        <w:rPr>
          <w:rFonts w:ascii="Garamond" w:hAnsi="Garamond"/>
          <w:sz w:val="22"/>
          <w:szCs w:val="22"/>
        </w:rPr>
        <w:fldChar w:fldCharType="begin" w:fldLock="1"/>
      </w:r>
      <w:r w:rsidR="00775C62">
        <w:rPr>
          <w:rFonts w:ascii="Garamond" w:hAnsi="Garamond"/>
          <w:sz w:val="22"/>
          <w:szCs w:val="22"/>
        </w:rPr>
        <w:instrText>ADDIN CSL_CITATION {"citationItems":[{"id":"ITEM-1","itemData":{"DOI":"10.1136/emj.2004.015081","ISBN":"1472-0213","ISSN":"1472-0213","PMID":"15333534","author":[{"dropping-particle":"","family":"Cooke","given":"M W","non-dropping-particle":"","parse-names":false,"suffix":""},{"dropping-particle":"","family":"Wilson","given":"S","non-dropping-particle":"","parse-names":false,"suffix":""},{"dropping-particle":"","family":"Halsall","given":"J","non-dropping-particle":"","parse-names":false,"suffix":""},{"dropping-particle":"","family":"Roalfe","given":"A","non-dropping-particle":"","parse-names":false,"suffix":""}],"container-title":"Emergency medicine journal : EMJ","id":"ITEM-1","issue":"5","issued":{"date-parts":[["2004"]]},"page":"575-6","title":"Total time in English accident and emergency departments is related to bed occupancy.","type":"article-journal","volume":"21"},"uris":["http://www.mendeley.com/documents/?uuid=db2780dd-f9f5-4db7-b3f5-9cc087676abb","http://www.mendeley.com/documents/?uuid=1f327eb0-7a25-42de-9301-76236d366971"]}],"mendeley":{"formattedCitation":"[47]","plainTextFormattedCitation":"[47]","previouslyFormattedCitation":"[47]"},"properties":{"noteIndex":0},"schema":"https://github.com/citation-style-language/schema/raw/master/csl-citation.json"}</w:instrText>
      </w:r>
      <w:r w:rsidRPr="00E724B5">
        <w:rPr>
          <w:rFonts w:ascii="Garamond" w:hAnsi="Garamond"/>
          <w:sz w:val="22"/>
          <w:szCs w:val="22"/>
        </w:rPr>
        <w:fldChar w:fldCharType="separate"/>
      </w:r>
      <w:r w:rsidR="00775C62" w:rsidRPr="00775C62">
        <w:rPr>
          <w:rFonts w:ascii="Garamond" w:hAnsi="Garamond"/>
          <w:noProof/>
          <w:sz w:val="22"/>
          <w:szCs w:val="22"/>
        </w:rPr>
        <w:t>[47]</w:t>
      </w:r>
      <w:r w:rsidRPr="00E724B5">
        <w:rPr>
          <w:rFonts w:ascii="Garamond" w:hAnsi="Garamond"/>
          <w:sz w:val="22"/>
          <w:szCs w:val="22"/>
        </w:rPr>
        <w:fldChar w:fldCharType="end"/>
      </w:r>
      <w:r>
        <w:rPr>
          <w:rFonts w:ascii="Garamond" w:hAnsi="Garamond"/>
          <w:sz w:val="22"/>
          <w:szCs w:val="22"/>
        </w:rPr>
        <w:t xml:space="preserve"> as well as longer waits for beds.</w:t>
      </w:r>
      <w:r w:rsidRPr="00E724B5">
        <w:rPr>
          <w:rFonts w:ascii="Garamond" w:hAnsi="Garamond"/>
          <w:sz w:val="22"/>
          <w:szCs w:val="22"/>
        </w:rPr>
        <w:fldChar w:fldCharType="begin" w:fldLock="1"/>
      </w:r>
      <w:r w:rsidR="00775C62">
        <w:rPr>
          <w:rFonts w:ascii="Garamond" w:hAnsi="Garamond"/>
          <w:sz w:val="22"/>
          <w:szCs w:val="22"/>
        </w:rPr>
        <w:instrText>ADDIN CSL_CITATION {"citationItems":[{"id":"ITEM-1","itemData":{"ISSN":"1936-900X","PMID":"19561827","abstract":"Objective: Determine the effect that increased medical surgical (med/surg) bed occupancy has on the time interval from admission order to arrival in the bed for the patients admitted from the emergency department (ED). Methods: This retrospective observational study compares the total hospital bed occupancy rate and the medical surgical inpatient bed occupancy rate to daily averages for the time interval from admission order (patient posting for admission) to the patients arrival in the inpatient bed. Medical surgical inpatient bed occupancy of 92% was chosen because beyond that rate we observed more frequent extended daily transfer times. The data is from a single large tertiary care institute with 590 beds and an annual ED census of 80,000. Results: Group 1 includes 38 days with (med/surg) inpatient bed occupancy rate of less than 92%, with an average ED daily wait of 2.5 hrs (95% confidence interval 2.232.96) for transfer from the ED to the appropriate hospital bed. Group 2 includes 68 days with med/surg census greater than 92% with an average ED daily wait of 4.1 hours (95% confidence interval 3.74.5). Minimum daily average for the two groups was 1.2 hrs and 1.3 hrs, respectively. The maximum average was 5.6 hrs for group 1 and 8.6 hrs for group 2. Comparison of group 1 to 2 for wait time to hospital bed yielded p &lt;0.01. Total reported hospital occupied capacity shows a correlation coefficient of 0.16 to transfer time interval, which indicates a weak relationship between total occupancy and transfer time into the hospital. Med/surg occupancy, the beds typically used by ED patients, has a 0.62 correlation coefficient for a moderately strong relationship. Conclusions: Med/surg bed occupancy has a better correlation to extended transfer times, and occupancy over 92% at 5 AM in our institution corresponds to an increased frequency of extended transfer times from the ED. The process of ED evaluation, hospital admission, and subsequent transfer into the hospital are all complex processes. This study begins to demonstrate one variable, med/surg occupancy, as one of the intervals that can be followed to evaluate the process of ED admission and hospital flow.","author":[{"dropping-particle":"","family":"Krall","given":"Scott","non-dropping-particle":"","parse-names":false,"suffix":""},{"dropping-particle":"","family":"O’Connor","given":"Robert E","non-dropping-particle":"","parse-names":false,"suffix":""},{"dropping-particle":"","family":"Maercks","given":"Lisa","non-dropping-particle":"","parse-names":false,"suffix":""}],"container-title":"The western journal of emergency medicine","id":"ITEM-1","issue":"2","issued":{"date-parts":[["2009"]]},"page":"93-96","title":"Higher Inpatient Medical Surgical Bed Occupancy Extends Admitted Patients’ Stay","type":"article-journal","volume":"10"},"uris":["http://www.mendeley.com/documents/?uuid=955a0286-ecc7-49fc-aab6-6c2251507f40"]}],"mendeley":{"formattedCitation":"[48]","plainTextFormattedCitation":"[48]","previouslyFormattedCitation":"[48]"},"properties":{"noteIndex":0},"schema":"https://github.com/citation-style-language/schema/raw/master/csl-citation.json"}</w:instrText>
      </w:r>
      <w:r w:rsidRPr="00E724B5">
        <w:rPr>
          <w:rFonts w:ascii="Garamond" w:hAnsi="Garamond"/>
          <w:sz w:val="22"/>
          <w:szCs w:val="22"/>
        </w:rPr>
        <w:fldChar w:fldCharType="separate"/>
      </w:r>
      <w:r w:rsidR="00775C62" w:rsidRPr="00775C62">
        <w:rPr>
          <w:rFonts w:ascii="Garamond" w:hAnsi="Garamond"/>
          <w:noProof/>
          <w:sz w:val="22"/>
          <w:szCs w:val="22"/>
        </w:rPr>
        <w:t>[48]</w:t>
      </w:r>
      <w:r w:rsidRPr="00E724B5">
        <w:rPr>
          <w:rFonts w:ascii="Garamond" w:hAnsi="Garamond"/>
          <w:sz w:val="22"/>
          <w:szCs w:val="22"/>
        </w:rPr>
        <w:fldChar w:fldCharType="end"/>
      </w:r>
      <w:r w:rsidRPr="00E724B5">
        <w:rPr>
          <w:rFonts w:ascii="Garamond" w:hAnsi="Garamond"/>
          <w:sz w:val="22"/>
          <w:szCs w:val="22"/>
        </w:rPr>
        <w:t xml:space="preserve"> </w:t>
      </w:r>
    </w:p>
    <w:p w14:paraId="63CAEB72" w14:textId="77777777" w:rsidR="00DD04C6" w:rsidRDefault="00DD04C6" w:rsidP="00DD04C6">
      <w:pPr>
        <w:spacing w:line="360" w:lineRule="auto"/>
        <w:rPr>
          <w:rFonts w:ascii="Garamond" w:hAnsi="Garamond"/>
          <w:sz w:val="22"/>
          <w:szCs w:val="22"/>
        </w:rPr>
      </w:pPr>
    </w:p>
    <w:p w14:paraId="12D425AC" w14:textId="65C001EA" w:rsidR="00677E7B" w:rsidRDefault="00DD04C6" w:rsidP="00677E7B">
      <w:pPr>
        <w:spacing w:line="360" w:lineRule="auto"/>
        <w:rPr>
          <w:rFonts w:ascii="Garamond" w:hAnsi="Garamond"/>
          <w:sz w:val="22"/>
          <w:szCs w:val="22"/>
        </w:rPr>
      </w:pPr>
      <w:r>
        <w:rPr>
          <w:rFonts w:ascii="Garamond" w:hAnsi="Garamond"/>
          <w:sz w:val="22"/>
          <w:szCs w:val="22"/>
        </w:rPr>
        <w:t xml:space="preserve">Another consideration regarding the use of readmission rates is that they can be affected by the quality of post-discharge care, which may not be under the control of the hospital, or indeed </w:t>
      </w:r>
      <w:r w:rsidRPr="00C12AFA">
        <w:rPr>
          <w:rFonts w:ascii="Garamond" w:hAnsi="Garamond"/>
          <w:sz w:val="22"/>
          <w:szCs w:val="22"/>
        </w:rPr>
        <w:t xml:space="preserve">factors outside the </w:t>
      </w:r>
      <w:r>
        <w:rPr>
          <w:rFonts w:ascii="Garamond" w:hAnsi="Garamond"/>
          <w:sz w:val="22"/>
          <w:szCs w:val="22"/>
        </w:rPr>
        <w:t xml:space="preserve">direct </w:t>
      </w:r>
      <w:r w:rsidRPr="00C12AFA">
        <w:rPr>
          <w:rFonts w:ascii="Garamond" w:hAnsi="Garamond"/>
          <w:sz w:val="22"/>
          <w:szCs w:val="22"/>
        </w:rPr>
        <w:t>control of health system</w:t>
      </w:r>
      <w:r>
        <w:rPr>
          <w:rFonts w:ascii="Garamond" w:hAnsi="Garamond"/>
          <w:sz w:val="22"/>
          <w:szCs w:val="22"/>
        </w:rPr>
        <w:t>s, such as</w:t>
      </w:r>
      <w:r w:rsidRPr="00C12AFA">
        <w:rPr>
          <w:rFonts w:ascii="Garamond" w:hAnsi="Garamond"/>
          <w:sz w:val="22"/>
          <w:szCs w:val="22"/>
        </w:rPr>
        <w:t xml:space="preserve"> socioeconomic s</w:t>
      </w:r>
      <w:r>
        <w:rPr>
          <w:rFonts w:ascii="Garamond" w:hAnsi="Garamond"/>
          <w:sz w:val="22"/>
          <w:szCs w:val="22"/>
        </w:rPr>
        <w:t>t</w:t>
      </w:r>
      <w:r w:rsidRPr="00C12AFA">
        <w:rPr>
          <w:rFonts w:ascii="Garamond" w:hAnsi="Garamond"/>
          <w:sz w:val="22"/>
          <w:szCs w:val="22"/>
        </w:rPr>
        <w:t>atus.</w:t>
      </w:r>
      <w:r w:rsidR="00083082">
        <w:rPr>
          <w:rFonts w:ascii="Garamond" w:hAnsi="Garamond"/>
          <w:sz w:val="22"/>
          <w:szCs w:val="22"/>
        </w:rPr>
        <w:fldChar w:fldCharType="begin" w:fldLock="1"/>
      </w:r>
      <w:r w:rsidR="00775C62">
        <w:rPr>
          <w:rFonts w:ascii="Garamond" w:hAnsi="Garamond"/>
          <w:sz w:val="22"/>
          <w:szCs w:val="22"/>
        </w:rPr>
        <w:instrText>ADDIN CSL_CITATION {"citationItems":[{"id":"ITEM-1","itemData":{"DOI":"10.1371/journal.pone.0112282","ISSN":"19326203","PMID":"25379675","abstract":"INTRODUCTION: Hospital readmission rates are increasingly used for both quality improvement and cost control. However, the validity of readmission rates as a measure of quality of hospital care is not evident. We aimed to give an overview of the different methodological aspects in the definition and measurement of readmission rates that need to be considered when interpreting readmission rates as a reflection of quality of care.\\n\\nMETHODS: We conducted a systematic literature review, using the bibliographic databases Embase, Medline OvidSP, Web-of-Science, Cochrane central and PubMed for the period of January 2001 to May 2013.\\n\\nRESULTS: The search resulted in 102 included papers. We found that definition of the context in which readmissions are used as a quality indicator is crucial. This context includes the patient group and the specific aspects of care of which the quality is aimed to be assessed. Methodological flaws like unreliable data and insufficient case-mix correction may confound the comparison of readmission rates between hospitals. Another problem occurs when the basic distinction between planned and unplanned readmissions cannot be made. Finally, the multi-faceted nature of quality of care and the correlation between readmissions and other outcomes limit the indicator's validity.\\n\\nCONCLUSIONS: Although readmission rates are a promising quality indicator, several methodological concerns identified in this study need to be addressed, especially when the indicator is intended for accountability or pay for performance. We recommend investing resources in accurate data registration, improved indicator description, and bundling outcome measures to provide a more complete picture of hospital care.","author":[{"dropping-particle":"","family":"Fischer","given":"Claudia","non-dropping-particle":"","parse-names":false,"suffix":""},{"dropping-particle":"","family":"Lingsma","given":"Hester F.","non-dropping-particle":"","parse-names":false,"suffix":""},{"dropping-particle":"","family":"Marang-van De Mheen","given":"Perla J.","non-dropping-particle":"","parse-names":false,"suffix":""},{"dropping-particle":"","family":"Kringos","given":"Dionne S.","non-dropping-particle":"","parse-names":false,"suffix":""},{"dropping-particle":"","family":"Klazinga","given":"Niek S.","non-dropping-particle":"","parse-names":false,"suffix":""},{"dropping-particle":"","family":"Steyerberg","given":"Ewout W.","non-dropping-particle":"","parse-names":false,"suffix":""}],"container-title":"PLoS ONE","id":"ITEM-1","issue":"11","issued":{"date-parts":[["2014"]]},"page":"1-9","title":"Is the readmission rate a valid quality indicator? A review of the evidence","type":"article-journal","volume":"9"},"uris":["http://www.mendeley.com/documents/?uuid=e00ce8b4-e3dc-4cf2-9769-1327dcf90992","http://www.mendeley.com/documents/?uuid=577837d0-bfe0-4a5b-a2b0-d56c59c7f533"]},{"id":"ITEM-2","itemData":{"DOI":"10.1136/bmjqs-2016-005392","author":[{"dropping-particle":"","family":"Friebel","given":"Rocco","non-dropping-particle":"","parse-names":false,"suffix":""},{"dropping-particle":"","family":"Steventon","given":"Adam","non-dropping-particle":"","parse-names":false,"suffix":""}],"container-title":"BMJ Quality &amp; Safety","id":"ITEM-2","issued":{"date-parts":[["2016"]]},"number-of-pages":"827-831","title":"The multiple aims of pay-for- performance and the risk of unintended consequences","type":"report","volume":"25"},"uris":["http://www.mendeley.com/documents/?uuid=17a640a4-4b1d-4d43-a1fb-58ab63139aca"]}],"mendeley":{"formattedCitation":"[44,49]","plainTextFormattedCitation":"[44,49]","previouslyFormattedCitation":"[44,49]"},"properties":{"noteIndex":0},"schema":"https://github.com/citation-style-language/schema/raw/master/csl-citation.json"}</w:instrText>
      </w:r>
      <w:r w:rsidR="00083082">
        <w:rPr>
          <w:rFonts w:ascii="Garamond" w:hAnsi="Garamond"/>
          <w:sz w:val="22"/>
          <w:szCs w:val="22"/>
        </w:rPr>
        <w:fldChar w:fldCharType="separate"/>
      </w:r>
      <w:r w:rsidR="00775C62" w:rsidRPr="00775C62">
        <w:rPr>
          <w:rFonts w:ascii="Garamond" w:hAnsi="Garamond"/>
          <w:noProof/>
          <w:sz w:val="22"/>
          <w:szCs w:val="22"/>
        </w:rPr>
        <w:t>[44,49]</w:t>
      </w:r>
      <w:r w:rsidR="00083082">
        <w:rPr>
          <w:rFonts w:ascii="Garamond" w:hAnsi="Garamond"/>
          <w:sz w:val="22"/>
          <w:szCs w:val="22"/>
        </w:rPr>
        <w:fldChar w:fldCharType="end"/>
      </w:r>
      <w:r>
        <w:rPr>
          <w:rFonts w:ascii="Garamond" w:hAnsi="Garamond"/>
          <w:sz w:val="22"/>
          <w:szCs w:val="22"/>
        </w:rPr>
        <w:t xml:space="preserve"> Our study design aimed to </w:t>
      </w:r>
      <w:r w:rsidR="00677E7B">
        <w:rPr>
          <w:rFonts w:ascii="Garamond" w:hAnsi="Garamond"/>
          <w:sz w:val="22"/>
          <w:szCs w:val="22"/>
        </w:rPr>
        <w:t>adjust for these and other factors by</w:t>
      </w:r>
      <w:r w:rsidR="005F56B6">
        <w:rPr>
          <w:rFonts w:ascii="Garamond" w:hAnsi="Garamond"/>
          <w:sz w:val="22"/>
          <w:szCs w:val="22"/>
        </w:rPr>
        <w:t xml:space="preserve"> using a panel data model, which examined fluctuations</w:t>
      </w:r>
      <w:r w:rsidR="00677E7B">
        <w:rPr>
          <w:rFonts w:ascii="Garamond" w:hAnsi="Garamond"/>
          <w:sz w:val="22"/>
          <w:szCs w:val="22"/>
        </w:rPr>
        <w:t xml:space="preserve"> in bed occupancy rates over time</w:t>
      </w:r>
      <w:r w:rsidR="005F56B6">
        <w:rPr>
          <w:rFonts w:ascii="Garamond" w:hAnsi="Garamond"/>
          <w:sz w:val="22"/>
          <w:szCs w:val="22"/>
        </w:rPr>
        <w:t xml:space="preserve"> and </w:t>
      </w:r>
      <w:r w:rsidR="00771D48">
        <w:rPr>
          <w:rFonts w:ascii="Garamond" w:hAnsi="Garamond"/>
          <w:sz w:val="22"/>
          <w:szCs w:val="22"/>
        </w:rPr>
        <w:lastRenderedPageBreak/>
        <w:t xml:space="preserve">tested </w:t>
      </w:r>
      <w:r w:rsidR="005F56B6">
        <w:rPr>
          <w:rFonts w:ascii="Garamond" w:hAnsi="Garamond"/>
          <w:sz w:val="22"/>
          <w:szCs w:val="22"/>
        </w:rPr>
        <w:t>whether these were associated with contemporaneous changes in readmission rates</w:t>
      </w:r>
      <w:r w:rsidR="00677E7B">
        <w:rPr>
          <w:rFonts w:ascii="Garamond" w:hAnsi="Garamond"/>
          <w:sz w:val="22"/>
          <w:szCs w:val="22"/>
        </w:rPr>
        <w:t xml:space="preserve"> </w:t>
      </w:r>
      <w:r w:rsidR="00771D48">
        <w:rPr>
          <w:rFonts w:ascii="Garamond" w:hAnsi="Garamond"/>
          <w:sz w:val="22"/>
          <w:szCs w:val="22"/>
        </w:rPr>
        <w:t>within</w:t>
      </w:r>
      <w:r w:rsidR="005F56B6">
        <w:rPr>
          <w:rFonts w:ascii="Garamond" w:hAnsi="Garamond"/>
          <w:sz w:val="22"/>
          <w:szCs w:val="22"/>
        </w:rPr>
        <w:t xml:space="preserve"> </w:t>
      </w:r>
      <w:r w:rsidR="00677E7B">
        <w:rPr>
          <w:rFonts w:ascii="Garamond" w:hAnsi="Garamond"/>
          <w:sz w:val="22"/>
          <w:szCs w:val="22"/>
        </w:rPr>
        <w:t>the same hospital</w:t>
      </w:r>
      <w:r w:rsidR="00771D48">
        <w:rPr>
          <w:rFonts w:ascii="Garamond" w:hAnsi="Garamond"/>
          <w:sz w:val="22"/>
          <w:szCs w:val="22"/>
        </w:rPr>
        <w:t xml:space="preserve"> trusts</w:t>
      </w:r>
      <w:r w:rsidR="00775C62">
        <w:rPr>
          <w:rFonts w:ascii="Garamond" w:hAnsi="Garamond"/>
          <w:sz w:val="22"/>
          <w:szCs w:val="22"/>
        </w:rPr>
        <w:t>, instigated through poorer quality of discharge processes</w:t>
      </w:r>
      <w:r w:rsidR="006E002E" w:rsidRPr="00C12AFA">
        <w:rPr>
          <w:rFonts w:ascii="Garamond" w:hAnsi="Garamond"/>
          <w:sz w:val="22"/>
          <w:szCs w:val="22"/>
        </w:rPr>
        <w:t xml:space="preserve">. </w:t>
      </w:r>
      <w:r w:rsidR="00677E7B">
        <w:rPr>
          <w:rFonts w:ascii="Garamond" w:hAnsi="Garamond"/>
          <w:sz w:val="22"/>
          <w:szCs w:val="22"/>
        </w:rPr>
        <w:t>Th</w:t>
      </w:r>
      <w:r w:rsidR="005F56B6">
        <w:rPr>
          <w:rFonts w:ascii="Garamond" w:hAnsi="Garamond"/>
          <w:sz w:val="22"/>
          <w:szCs w:val="22"/>
        </w:rPr>
        <w:t>e</w:t>
      </w:r>
      <w:r w:rsidR="00677E7B">
        <w:rPr>
          <w:rFonts w:ascii="Garamond" w:hAnsi="Garamond"/>
          <w:sz w:val="22"/>
          <w:szCs w:val="22"/>
        </w:rPr>
        <w:t xml:space="preserve"> approach enabled us</w:t>
      </w:r>
      <w:r w:rsidR="006E002E" w:rsidRPr="00C12AFA">
        <w:rPr>
          <w:rFonts w:ascii="Garamond" w:hAnsi="Garamond"/>
          <w:sz w:val="22"/>
          <w:szCs w:val="22"/>
        </w:rPr>
        <w:t xml:space="preserve"> to account for </w:t>
      </w:r>
      <w:r w:rsidR="00083082">
        <w:rPr>
          <w:rFonts w:ascii="Garamond" w:hAnsi="Garamond"/>
          <w:sz w:val="22"/>
          <w:szCs w:val="22"/>
        </w:rPr>
        <w:t xml:space="preserve">one form of endogeneity, the unobserved heterogeneity </w:t>
      </w:r>
      <w:r w:rsidR="006E002E">
        <w:rPr>
          <w:rFonts w:ascii="Garamond" w:hAnsi="Garamond"/>
          <w:sz w:val="22"/>
          <w:szCs w:val="22"/>
        </w:rPr>
        <w:t>in the characteristics of trusts</w:t>
      </w:r>
      <w:r w:rsidR="006E002E" w:rsidRPr="00C12AFA">
        <w:rPr>
          <w:rFonts w:ascii="Garamond" w:hAnsi="Garamond"/>
          <w:sz w:val="22"/>
          <w:szCs w:val="22"/>
        </w:rPr>
        <w:t xml:space="preserve"> provided </w:t>
      </w:r>
      <w:r w:rsidR="006E002E">
        <w:rPr>
          <w:rFonts w:ascii="Garamond" w:hAnsi="Garamond"/>
          <w:sz w:val="22"/>
          <w:szCs w:val="22"/>
        </w:rPr>
        <w:t xml:space="preserve">their relationship with the outcome </w:t>
      </w:r>
      <w:r w:rsidR="006E002E" w:rsidRPr="00C12AFA">
        <w:rPr>
          <w:rFonts w:ascii="Garamond" w:hAnsi="Garamond"/>
          <w:sz w:val="22"/>
          <w:szCs w:val="22"/>
        </w:rPr>
        <w:t xml:space="preserve">remained </w:t>
      </w:r>
      <w:r w:rsidR="006E002E">
        <w:rPr>
          <w:rFonts w:ascii="Garamond" w:hAnsi="Garamond"/>
          <w:sz w:val="22"/>
          <w:szCs w:val="22"/>
        </w:rPr>
        <w:t>the same</w:t>
      </w:r>
      <w:r w:rsidR="006E002E" w:rsidRPr="00C12AFA">
        <w:rPr>
          <w:rFonts w:ascii="Garamond" w:hAnsi="Garamond"/>
          <w:sz w:val="22"/>
          <w:szCs w:val="22"/>
        </w:rPr>
        <w:t xml:space="preserve"> across the obser</w:t>
      </w:r>
      <w:r w:rsidR="006E002E">
        <w:rPr>
          <w:rFonts w:ascii="Garamond" w:hAnsi="Garamond"/>
          <w:sz w:val="22"/>
          <w:szCs w:val="22"/>
        </w:rPr>
        <w:t xml:space="preserve">vation period. </w:t>
      </w:r>
      <w:r w:rsidR="00677E7B">
        <w:rPr>
          <w:rFonts w:ascii="Garamond" w:hAnsi="Garamond"/>
          <w:sz w:val="22"/>
          <w:szCs w:val="22"/>
        </w:rPr>
        <w:t xml:space="preserve">We also adjusted for changes in patient demographic and clinical characteristics over time through our risk-adjustment method. Still, there is a residual risk of bias, </w:t>
      </w:r>
      <w:r w:rsidR="00FD5D17">
        <w:rPr>
          <w:rFonts w:ascii="Garamond" w:hAnsi="Garamond"/>
          <w:sz w:val="22"/>
          <w:szCs w:val="22"/>
        </w:rPr>
        <w:t>since pressures on post-discharge services might coincide with pressures on the local hospitals (</w:t>
      </w:r>
      <w:r w:rsidR="005A7E75">
        <w:rPr>
          <w:rFonts w:ascii="Garamond" w:hAnsi="Garamond"/>
          <w:sz w:val="22"/>
          <w:szCs w:val="22"/>
        </w:rPr>
        <w:t>e.g.</w:t>
      </w:r>
      <w:r w:rsidR="00FD5D17">
        <w:rPr>
          <w:rFonts w:ascii="Garamond" w:hAnsi="Garamond"/>
          <w:sz w:val="22"/>
          <w:szCs w:val="22"/>
        </w:rPr>
        <w:t xml:space="preserve">, if there are sudden adverse changes to weather), </w:t>
      </w:r>
      <w:r w:rsidR="00677E7B">
        <w:rPr>
          <w:rFonts w:ascii="Garamond" w:hAnsi="Garamond"/>
          <w:sz w:val="22"/>
          <w:szCs w:val="22"/>
        </w:rPr>
        <w:t>and</w:t>
      </w:r>
      <w:r w:rsidR="006E002E" w:rsidRPr="00C12AFA">
        <w:rPr>
          <w:rFonts w:ascii="Garamond" w:hAnsi="Garamond"/>
          <w:sz w:val="22"/>
          <w:szCs w:val="22"/>
        </w:rPr>
        <w:t xml:space="preserve"> our findings may be </w:t>
      </w:r>
      <w:r w:rsidR="00677E7B">
        <w:rPr>
          <w:rFonts w:ascii="Garamond" w:hAnsi="Garamond"/>
          <w:sz w:val="22"/>
          <w:szCs w:val="22"/>
        </w:rPr>
        <w:t>affected by changes in care management over time such as</w:t>
      </w:r>
      <w:r w:rsidR="006E002E" w:rsidRPr="00C12AFA">
        <w:rPr>
          <w:rFonts w:ascii="Garamond" w:hAnsi="Garamond"/>
          <w:sz w:val="22"/>
          <w:szCs w:val="22"/>
        </w:rPr>
        <w:t xml:space="preserve"> the introduction of ‘</w:t>
      </w:r>
      <w:r w:rsidR="00677E7B" w:rsidRPr="00083082">
        <w:rPr>
          <w:rFonts w:ascii="Garamond" w:hAnsi="Garamond"/>
          <w:sz w:val="22"/>
          <w:szCs w:val="22"/>
        </w:rPr>
        <w:t>d</w:t>
      </w:r>
      <w:r w:rsidR="006E002E" w:rsidRPr="00083082">
        <w:rPr>
          <w:rFonts w:ascii="Garamond" w:hAnsi="Garamond"/>
          <w:sz w:val="22"/>
          <w:szCs w:val="22"/>
        </w:rPr>
        <w:t>ischarge-to-</w:t>
      </w:r>
      <w:r w:rsidR="00677E7B" w:rsidRPr="00083082">
        <w:rPr>
          <w:rFonts w:ascii="Garamond" w:hAnsi="Garamond"/>
          <w:sz w:val="22"/>
          <w:szCs w:val="22"/>
        </w:rPr>
        <w:t>a</w:t>
      </w:r>
      <w:r w:rsidR="006E002E" w:rsidRPr="00083082">
        <w:rPr>
          <w:rFonts w:ascii="Garamond" w:hAnsi="Garamond"/>
          <w:sz w:val="22"/>
          <w:szCs w:val="22"/>
        </w:rPr>
        <w:t>ssess’ models,</w:t>
      </w:r>
      <w:r w:rsidR="006E002E" w:rsidRPr="00083082">
        <w:rPr>
          <w:rFonts w:ascii="Garamond" w:hAnsi="Garamond"/>
          <w:sz w:val="22"/>
          <w:szCs w:val="22"/>
        </w:rPr>
        <w:fldChar w:fldCharType="begin" w:fldLock="1"/>
      </w:r>
      <w:r w:rsidR="00775C62">
        <w:rPr>
          <w:rFonts w:ascii="Garamond" w:hAnsi="Garamond"/>
          <w:sz w:val="22"/>
          <w:szCs w:val="22"/>
        </w:rPr>
        <w:instrText>ADDIN CSL_CITATION {"citationItems":[{"id":"ITEM-1","itemData":{"author":[{"dropping-particle":"","family":"Department of Health","given":"","non-dropping-particle":"","parse-names":false,"suffix":""}],"id":"ITEM-1","issued":{"date-parts":[["2015"]]},"title":"Quick Guide: Discharge to Assess","type":"webpage"},"uris":["http://www.mendeley.com/documents/?uuid=8ebede25-e113-4db8-9544-9a82cf0376e3","http://www.mendeley.com/documents/?uuid=b913e4fa-b91a-45bc-9de8-8e341965aced"]}],"mendeley":{"formattedCitation":"[50]","plainTextFormattedCitation":"[50]","previouslyFormattedCitation":"[50]"},"properties":{"noteIndex":0},"schema":"https://github.com/citation-style-language/schema/raw/master/csl-citation.json"}</w:instrText>
      </w:r>
      <w:r w:rsidR="006E002E" w:rsidRPr="00083082">
        <w:rPr>
          <w:rFonts w:ascii="Garamond" w:hAnsi="Garamond"/>
          <w:sz w:val="22"/>
          <w:szCs w:val="22"/>
        </w:rPr>
        <w:fldChar w:fldCharType="separate"/>
      </w:r>
      <w:r w:rsidR="00775C62" w:rsidRPr="00775C62">
        <w:rPr>
          <w:rFonts w:ascii="Garamond" w:hAnsi="Garamond"/>
          <w:noProof/>
          <w:sz w:val="22"/>
          <w:szCs w:val="22"/>
        </w:rPr>
        <w:t>[50]</w:t>
      </w:r>
      <w:r w:rsidR="006E002E" w:rsidRPr="00083082">
        <w:rPr>
          <w:rFonts w:ascii="Garamond" w:hAnsi="Garamond"/>
          <w:sz w:val="22"/>
          <w:szCs w:val="22"/>
        </w:rPr>
        <w:fldChar w:fldCharType="end"/>
      </w:r>
      <w:r w:rsidR="006E002E" w:rsidRPr="00083082">
        <w:rPr>
          <w:rFonts w:ascii="Garamond" w:hAnsi="Garamond"/>
          <w:sz w:val="22"/>
          <w:szCs w:val="22"/>
        </w:rPr>
        <w:t xml:space="preserve"> or trusts investing into additional social care capacity.</w:t>
      </w:r>
      <w:r w:rsidR="006E002E" w:rsidRPr="00083082">
        <w:rPr>
          <w:rFonts w:ascii="Garamond" w:hAnsi="Garamond"/>
          <w:sz w:val="22"/>
          <w:szCs w:val="22"/>
        </w:rPr>
        <w:fldChar w:fldCharType="begin" w:fldLock="1"/>
      </w:r>
      <w:r w:rsidR="00775C62">
        <w:rPr>
          <w:rFonts w:ascii="Garamond" w:hAnsi="Garamond"/>
          <w:sz w:val="22"/>
          <w:szCs w:val="22"/>
        </w:rPr>
        <w:instrText>ADDIN CSL_CITATION {"citationItems":[{"id":"ITEM-1","itemData":{"author":[{"dropping-particle":"","family":"Care","given":"Community","non-dropping-particle":"","parse-names":false,"suffix":""}],"id":"ITEM-1","issued":{"date-parts":[["2016"]]},"title":"NHS should employ more social workers, says chief social worker for adults","type":"webpage"},"uris":["http://www.mendeley.com/documents/?uuid=9153565a-f500-4f2a-90ba-f53f60464dbe","http://www.mendeley.com/documents/?uuid=13ef4dee-e782-46e4-9b51-e6d85e9c3478"]}],"mendeley":{"formattedCitation":"[51]","plainTextFormattedCitation":"[51]","previouslyFormattedCitation":"[51]"},"properties":{"noteIndex":0},"schema":"https://github.com/citation-style-language/schema/raw/master/csl-citation.json"}</w:instrText>
      </w:r>
      <w:r w:rsidR="006E002E" w:rsidRPr="00083082">
        <w:rPr>
          <w:rFonts w:ascii="Garamond" w:hAnsi="Garamond"/>
          <w:sz w:val="22"/>
          <w:szCs w:val="22"/>
        </w:rPr>
        <w:fldChar w:fldCharType="separate"/>
      </w:r>
      <w:r w:rsidR="00775C62" w:rsidRPr="00775C62">
        <w:rPr>
          <w:rFonts w:ascii="Garamond" w:hAnsi="Garamond"/>
          <w:noProof/>
          <w:sz w:val="22"/>
          <w:szCs w:val="22"/>
        </w:rPr>
        <w:t>[51]</w:t>
      </w:r>
      <w:r w:rsidR="006E002E" w:rsidRPr="00083082">
        <w:rPr>
          <w:rFonts w:ascii="Garamond" w:hAnsi="Garamond"/>
          <w:sz w:val="22"/>
          <w:szCs w:val="22"/>
        </w:rPr>
        <w:fldChar w:fldCharType="end"/>
      </w:r>
      <w:r w:rsidR="006E002E" w:rsidRPr="005A7E75" w:rsidDel="00933237">
        <w:rPr>
          <w:rFonts w:ascii="Garamond" w:hAnsi="Garamond"/>
          <w:sz w:val="22"/>
          <w:szCs w:val="22"/>
        </w:rPr>
        <w:t xml:space="preserve"> </w:t>
      </w:r>
      <w:r w:rsidR="005A7E75">
        <w:rPr>
          <w:rFonts w:ascii="Garamond" w:hAnsi="Garamond"/>
          <w:sz w:val="22"/>
          <w:szCs w:val="22"/>
        </w:rPr>
        <w:t xml:space="preserve">Our method also carries a risk relating to simultaneity in the relationship </w:t>
      </w:r>
      <w:r w:rsidR="00775C62">
        <w:rPr>
          <w:rFonts w:ascii="Garamond" w:hAnsi="Garamond"/>
          <w:sz w:val="22"/>
          <w:szCs w:val="22"/>
        </w:rPr>
        <w:t xml:space="preserve">between </w:t>
      </w:r>
      <w:r w:rsidR="005A7E75">
        <w:rPr>
          <w:rFonts w:ascii="Garamond" w:hAnsi="Garamond"/>
          <w:sz w:val="22"/>
          <w:szCs w:val="22"/>
        </w:rPr>
        <w:t xml:space="preserve">bed occupancy rates and discharge rates. However, the study findings </w:t>
      </w:r>
      <w:r w:rsidR="00775C62">
        <w:rPr>
          <w:rFonts w:ascii="Garamond" w:hAnsi="Garamond"/>
          <w:sz w:val="22"/>
          <w:szCs w:val="22"/>
        </w:rPr>
        <w:t xml:space="preserve">offer </w:t>
      </w:r>
      <w:r w:rsidR="005A7E75">
        <w:rPr>
          <w:rFonts w:ascii="Garamond" w:hAnsi="Garamond"/>
          <w:sz w:val="22"/>
          <w:szCs w:val="22"/>
        </w:rPr>
        <w:t xml:space="preserve">quantitative support for </w:t>
      </w:r>
      <w:r w:rsidR="00775C62">
        <w:rPr>
          <w:rFonts w:ascii="Garamond" w:hAnsi="Garamond"/>
          <w:sz w:val="22"/>
          <w:szCs w:val="22"/>
        </w:rPr>
        <w:t>this</w:t>
      </w:r>
      <w:r w:rsidR="005A7E75">
        <w:rPr>
          <w:rFonts w:ascii="Garamond" w:hAnsi="Garamond"/>
          <w:sz w:val="22"/>
          <w:szCs w:val="22"/>
        </w:rPr>
        <w:t xml:space="preserve"> relationship previously suggested by clinical leaders and the </w:t>
      </w:r>
      <w:r w:rsidR="00775C62">
        <w:rPr>
          <w:rFonts w:ascii="Garamond" w:hAnsi="Garamond"/>
          <w:sz w:val="22"/>
          <w:szCs w:val="22"/>
        </w:rPr>
        <w:t>P</w:t>
      </w:r>
      <w:r w:rsidR="005A7E75">
        <w:rPr>
          <w:rFonts w:ascii="Garamond" w:hAnsi="Garamond"/>
          <w:sz w:val="22"/>
          <w:szCs w:val="22"/>
        </w:rPr>
        <w:t xml:space="preserve">arliamentary </w:t>
      </w:r>
      <w:r w:rsidR="00775C62">
        <w:rPr>
          <w:rFonts w:ascii="Garamond" w:hAnsi="Garamond"/>
          <w:sz w:val="22"/>
          <w:szCs w:val="22"/>
        </w:rPr>
        <w:t>O</w:t>
      </w:r>
      <w:r w:rsidR="005A7E75">
        <w:rPr>
          <w:rFonts w:ascii="Garamond" w:hAnsi="Garamond"/>
          <w:sz w:val="22"/>
          <w:szCs w:val="22"/>
        </w:rPr>
        <w:t>mbudsman.</w:t>
      </w:r>
      <w:r w:rsidR="00775C62">
        <w:rPr>
          <w:rFonts w:ascii="Garamond" w:hAnsi="Garamond"/>
          <w:sz w:val="22"/>
          <w:szCs w:val="22"/>
        </w:rPr>
        <w:fldChar w:fldCharType="begin" w:fldLock="1"/>
      </w:r>
      <w:r w:rsidR="00775C62">
        <w:rPr>
          <w:rFonts w:ascii="Garamond" w:hAnsi="Garamond"/>
          <w:sz w:val="22"/>
          <w:szCs w:val="22"/>
        </w:rPr>
        <w:instrText>ADDIN CSL_CITATION {"citationItems":[{"id":"ITEM-1","itemData":{"author":[{"dropping-particle":"","family":"British Medical Association","given":"","non-dropping-particle":"","parse-names":false,"suffix":""}],"id":"ITEM-1","issued":{"date-parts":[["2017"]]},"number-of-pages":"1-20","publisher-place":"London, England","title":"State of the health system Beds in the NHS: England","type":"report"},"uris":["http://www.mendeley.com/documents/?uuid=1fd038c4-d514-4e6a-a084-f0789ff4932a","http://www.mendeley.com/documents/?uuid=84413301-152d-4bbe-afed-b3f750a088e1"]},{"id":"ITEM-2","itemData":{"author":[{"dropping-particle":"","family":"Parliamentary and Health Service Ombudsman","given":"","non-dropping-particle":"","parse-names":false,"suffix":""}],"id":"ITEM-2","issued":{"date-parts":[["2016"]]},"number-of-pages":"1-26","publisher-place":"London, England","title":"A report of investigations into unsafe discharge from hospital","type":"report"},"uris":["http://www.mendeley.com/documents/?uuid=2bd9de3a-0175-4b4f-94c0-ba9a77d9f04a","http://www.mendeley.com/documents/?uuid=0a581b6b-b24d-4b4c-91bd-d561a60d6f17"]}],"mendeley":{"formattedCitation":"[7,12]","plainTextFormattedCitation":"[7,12]"},"properties":{"noteIndex":0},"schema":"https://github.com/citation-style-language/schema/raw/master/csl-citation.json"}</w:instrText>
      </w:r>
      <w:r w:rsidR="00775C62">
        <w:rPr>
          <w:rFonts w:ascii="Garamond" w:hAnsi="Garamond"/>
          <w:sz w:val="22"/>
          <w:szCs w:val="22"/>
        </w:rPr>
        <w:fldChar w:fldCharType="separate"/>
      </w:r>
      <w:r w:rsidR="00775C62" w:rsidRPr="00775C62">
        <w:rPr>
          <w:rFonts w:ascii="Garamond" w:hAnsi="Garamond"/>
          <w:noProof/>
          <w:sz w:val="22"/>
          <w:szCs w:val="22"/>
        </w:rPr>
        <w:t>[7,12]</w:t>
      </w:r>
      <w:r w:rsidR="00775C62">
        <w:rPr>
          <w:rFonts w:ascii="Garamond" w:hAnsi="Garamond"/>
          <w:sz w:val="22"/>
          <w:szCs w:val="22"/>
        </w:rPr>
        <w:fldChar w:fldCharType="end"/>
      </w:r>
    </w:p>
    <w:p w14:paraId="14859785" w14:textId="77777777" w:rsidR="005A7E75" w:rsidRDefault="005A7E75" w:rsidP="002040B9">
      <w:pPr>
        <w:spacing w:line="360" w:lineRule="auto"/>
        <w:rPr>
          <w:rFonts w:ascii="Garamond" w:hAnsi="Garamond"/>
          <w:sz w:val="22"/>
          <w:szCs w:val="22"/>
        </w:rPr>
      </w:pPr>
    </w:p>
    <w:p w14:paraId="5843B5FC" w14:textId="38A95805" w:rsidR="00693353" w:rsidRPr="00693353" w:rsidRDefault="00693353" w:rsidP="0036336A">
      <w:pPr>
        <w:spacing w:line="360" w:lineRule="auto"/>
        <w:outlineLvl w:val="0"/>
        <w:rPr>
          <w:rFonts w:ascii="Garamond" w:hAnsi="Garamond"/>
          <w:i/>
          <w:sz w:val="22"/>
          <w:szCs w:val="22"/>
        </w:rPr>
      </w:pPr>
      <w:r w:rsidRPr="00693353">
        <w:rPr>
          <w:rFonts w:ascii="Garamond" w:hAnsi="Garamond"/>
          <w:i/>
          <w:sz w:val="22"/>
          <w:szCs w:val="22"/>
        </w:rPr>
        <w:t>Implications</w:t>
      </w:r>
    </w:p>
    <w:p w14:paraId="0B6EB58E" w14:textId="69DF42DC" w:rsidR="00F41AF8" w:rsidRDefault="00677E7B" w:rsidP="0051490F">
      <w:pPr>
        <w:spacing w:line="360" w:lineRule="auto"/>
        <w:rPr>
          <w:rFonts w:ascii="Garamond" w:hAnsi="Garamond"/>
          <w:sz w:val="22"/>
          <w:szCs w:val="22"/>
        </w:rPr>
      </w:pPr>
      <w:r>
        <w:rPr>
          <w:rFonts w:ascii="Garamond" w:hAnsi="Garamond"/>
          <w:sz w:val="22"/>
          <w:szCs w:val="22"/>
        </w:rPr>
        <w:t>This study provides evidence that high bed occupancy is associated with</w:t>
      </w:r>
      <w:r w:rsidR="006250B1">
        <w:rPr>
          <w:rFonts w:ascii="Garamond" w:hAnsi="Garamond"/>
          <w:sz w:val="22"/>
          <w:szCs w:val="22"/>
        </w:rPr>
        <w:t xml:space="preserve"> a small but statistically significant increase in</w:t>
      </w:r>
      <w:r>
        <w:rPr>
          <w:rFonts w:ascii="Garamond" w:hAnsi="Garamond"/>
          <w:sz w:val="22"/>
          <w:szCs w:val="22"/>
        </w:rPr>
        <w:t xml:space="preserve"> </w:t>
      </w:r>
      <w:r w:rsidR="006250B1">
        <w:rPr>
          <w:rFonts w:ascii="Garamond" w:hAnsi="Garamond"/>
          <w:sz w:val="22"/>
          <w:szCs w:val="22"/>
        </w:rPr>
        <w:t xml:space="preserve">discharge rate and </w:t>
      </w:r>
      <w:r>
        <w:rPr>
          <w:rFonts w:ascii="Garamond" w:hAnsi="Garamond"/>
          <w:sz w:val="22"/>
          <w:szCs w:val="22"/>
        </w:rPr>
        <w:t xml:space="preserve">hospital readmissions. </w:t>
      </w:r>
      <w:r w:rsidR="006250B1">
        <w:rPr>
          <w:rFonts w:ascii="Garamond" w:hAnsi="Garamond"/>
          <w:sz w:val="22"/>
          <w:szCs w:val="22"/>
        </w:rPr>
        <w:t>We observed that the association between bed occupancy and discharge was most pronounced in younger, less complex patients who are at reduced risk of readmission. Therefore, it could be argued hospitals are largely successfully maintaining quality of care under high bed occupancy for the majority of patients</w:t>
      </w:r>
      <w:r w:rsidR="00BB3EAE">
        <w:rPr>
          <w:rFonts w:ascii="Garamond" w:hAnsi="Garamond"/>
          <w:sz w:val="22"/>
          <w:szCs w:val="22"/>
        </w:rPr>
        <w:t>,</w:t>
      </w:r>
      <w:r w:rsidR="00760731">
        <w:rPr>
          <w:rFonts w:ascii="Garamond" w:hAnsi="Garamond"/>
          <w:sz w:val="22"/>
          <w:szCs w:val="22"/>
        </w:rPr>
        <w:t xml:space="preserve"> though</w:t>
      </w:r>
      <w:r w:rsidR="006250B1">
        <w:rPr>
          <w:rFonts w:ascii="Garamond" w:hAnsi="Garamond"/>
          <w:sz w:val="22"/>
          <w:szCs w:val="22"/>
        </w:rPr>
        <w:t xml:space="preserve"> </w:t>
      </w:r>
      <w:r w:rsidR="00760731">
        <w:rPr>
          <w:rFonts w:ascii="Garamond" w:hAnsi="Garamond"/>
          <w:sz w:val="22"/>
          <w:szCs w:val="22"/>
        </w:rPr>
        <w:t xml:space="preserve">there may be implications for other aspects of quality than those considered in this study. </w:t>
      </w:r>
      <w:r w:rsidR="00F41AF8">
        <w:rPr>
          <w:rFonts w:ascii="Garamond" w:hAnsi="Garamond"/>
          <w:sz w:val="22"/>
          <w:szCs w:val="22"/>
        </w:rPr>
        <w:t>Further research is needed so that a</w:t>
      </w:r>
      <w:r w:rsidR="00760731">
        <w:rPr>
          <w:rFonts w:ascii="Garamond" w:hAnsi="Garamond"/>
          <w:sz w:val="22"/>
          <w:szCs w:val="22"/>
        </w:rPr>
        <w:t xml:space="preserve">pproaches to address the impact of bed occupancy </w:t>
      </w:r>
      <w:r w:rsidR="00F41AF8">
        <w:rPr>
          <w:rFonts w:ascii="Garamond" w:hAnsi="Garamond"/>
          <w:sz w:val="22"/>
          <w:szCs w:val="22"/>
        </w:rPr>
        <w:t xml:space="preserve">can </w:t>
      </w:r>
      <w:r>
        <w:rPr>
          <w:rFonts w:ascii="Garamond" w:hAnsi="Garamond"/>
          <w:sz w:val="22"/>
          <w:szCs w:val="22"/>
        </w:rPr>
        <w:t>be grounded in a deeper understanding of the mechanism</w:t>
      </w:r>
      <w:r w:rsidR="00A54A3E">
        <w:rPr>
          <w:rFonts w:ascii="Garamond" w:hAnsi="Garamond"/>
          <w:sz w:val="22"/>
          <w:szCs w:val="22"/>
        </w:rPr>
        <w:t>s</w:t>
      </w:r>
      <w:r>
        <w:rPr>
          <w:rFonts w:ascii="Garamond" w:hAnsi="Garamond"/>
          <w:sz w:val="22"/>
          <w:szCs w:val="22"/>
        </w:rPr>
        <w:t xml:space="preserve"> through </w:t>
      </w:r>
      <w:r w:rsidR="007D0E8A">
        <w:rPr>
          <w:rFonts w:ascii="Garamond" w:hAnsi="Garamond"/>
          <w:sz w:val="22"/>
          <w:szCs w:val="22"/>
        </w:rPr>
        <w:t xml:space="preserve">which </w:t>
      </w:r>
      <w:r>
        <w:rPr>
          <w:rFonts w:ascii="Garamond" w:hAnsi="Garamond"/>
          <w:sz w:val="22"/>
          <w:szCs w:val="22"/>
        </w:rPr>
        <w:t xml:space="preserve">problems with care </w:t>
      </w:r>
      <w:r w:rsidR="00A54A3E">
        <w:rPr>
          <w:rFonts w:ascii="Garamond" w:hAnsi="Garamond"/>
          <w:sz w:val="22"/>
          <w:szCs w:val="22"/>
        </w:rPr>
        <w:t>delivery materialise</w:t>
      </w:r>
      <w:r>
        <w:rPr>
          <w:rFonts w:ascii="Garamond" w:hAnsi="Garamond"/>
          <w:sz w:val="22"/>
          <w:szCs w:val="22"/>
        </w:rPr>
        <w:t>.</w:t>
      </w:r>
    </w:p>
    <w:p w14:paraId="5FD50273" w14:textId="77777777" w:rsidR="00F41AF8" w:rsidRDefault="00F41AF8" w:rsidP="0051490F">
      <w:pPr>
        <w:spacing w:line="360" w:lineRule="auto"/>
        <w:rPr>
          <w:rFonts w:ascii="Garamond" w:hAnsi="Garamond"/>
          <w:sz w:val="22"/>
          <w:szCs w:val="22"/>
        </w:rPr>
      </w:pPr>
    </w:p>
    <w:p w14:paraId="4A7AD6C0" w14:textId="51539138" w:rsidR="002040B9" w:rsidRPr="00E724B5" w:rsidRDefault="00F41AF8" w:rsidP="0051490F">
      <w:pPr>
        <w:spacing w:line="360" w:lineRule="auto"/>
        <w:rPr>
          <w:rFonts w:ascii="Garamond" w:hAnsi="Garamond"/>
          <w:sz w:val="22"/>
          <w:szCs w:val="22"/>
        </w:rPr>
      </w:pPr>
      <w:r>
        <w:rPr>
          <w:rFonts w:ascii="Garamond" w:hAnsi="Garamond"/>
          <w:sz w:val="22"/>
          <w:szCs w:val="22"/>
        </w:rPr>
        <w:t xml:space="preserve">If, following further research, it emerges that approaches are needed to address the implications of high bed occupancy rates for quality of care, then there are several strategies that could be taken. </w:t>
      </w:r>
      <w:r w:rsidR="00A54A3E">
        <w:rPr>
          <w:rFonts w:ascii="Garamond" w:hAnsi="Garamond"/>
          <w:sz w:val="22"/>
          <w:szCs w:val="22"/>
        </w:rPr>
        <w:t xml:space="preserve">One </w:t>
      </w:r>
      <w:r>
        <w:rPr>
          <w:rFonts w:ascii="Garamond" w:hAnsi="Garamond"/>
          <w:sz w:val="22"/>
          <w:szCs w:val="22"/>
        </w:rPr>
        <w:t>strategy</w:t>
      </w:r>
      <w:r w:rsidR="00A54A3E">
        <w:rPr>
          <w:rFonts w:ascii="Garamond" w:hAnsi="Garamond"/>
          <w:sz w:val="22"/>
          <w:szCs w:val="22"/>
        </w:rPr>
        <w:t>, which has featured heavily in national policy in England for some time, is to try to reduce demand on hospital</w:t>
      </w:r>
      <w:r w:rsidR="00760731">
        <w:rPr>
          <w:rFonts w:ascii="Garamond" w:hAnsi="Garamond"/>
          <w:sz w:val="22"/>
          <w:szCs w:val="22"/>
        </w:rPr>
        <w:t>s</w:t>
      </w:r>
      <w:r w:rsidR="00A54A3E">
        <w:rPr>
          <w:rFonts w:ascii="Garamond" w:hAnsi="Garamond"/>
          <w:sz w:val="22"/>
          <w:szCs w:val="22"/>
        </w:rPr>
        <w:t xml:space="preserve"> by strengthening primary and community care.</w:t>
      </w:r>
      <w:r w:rsidR="00EF025F">
        <w:rPr>
          <w:rFonts w:ascii="Garamond" w:hAnsi="Garamond"/>
          <w:sz w:val="22"/>
          <w:szCs w:val="22"/>
        </w:rPr>
        <w:fldChar w:fldCharType="begin" w:fldLock="1"/>
      </w:r>
      <w:r w:rsidR="00775C62">
        <w:rPr>
          <w:rFonts w:ascii="Garamond" w:hAnsi="Garamond"/>
          <w:sz w:val="22"/>
          <w:szCs w:val="22"/>
        </w:rPr>
        <w:instrText>ADDIN CSL_CITATION {"citationItems":[{"id":"ITEM-1","itemData":{"author":[{"dropping-particle":"","family":"Department of Health","given":"","non-dropping-particle":"","parse-names":false,"suffix":""}],"id":"ITEM-1","issue":"April","issued":{"date-parts":[["2014"]]},"publisher":"Department of Health","publisher-place":"London","title":"Transforming Primary Care","type":"report"},"uris":["http://www.mendeley.com/documents/?uuid=737b0f7b-4325-4c87-a22f-2a88ad208202","http://www.mendeley.com/documents/?uuid=ef777e87-becf-4856-86fe-45266767f5f3"]}],"mendeley":{"formattedCitation":"[52]","plainTextFormattedCitation":"[52]","previouslyFormattedCitation":"[52]"},"properties":{"noteIndex":0},"schema":"https://github.com/citation-style-language/schema/raw/master/csl-citation.json"}</w:instrText>
      </w:r>
      <w:r w:rsidR="00EF025F">
        <w:rPr>
          <w:rFonts w:ascii="Garamond" w:hAnsi="Garamond"/>
          <w:sz w:val="22"/>
          <w:szCs w:val="22"/>
        </w:rPr>
        <w:fldChar w:fldCharType="separate"/>
      </w:r>
      <w:r w:rsidR="00775C62" w:rsidRPr="00775C62">
        <w:rPr>
          <w:rFonts w:ascii="Garamond" w:hAnsi="Garamond"/>
          <w:noProof/>
          <w:sz w:val="22"/>
          <w:szCs w:val="22"/>
        </w:rPr>
        <w:t>[52]</w:t>
      </w:r>
      <w:r w:rsidR="00EF025F">
        <w:rPr>
          <w:rFonts w:ascii="Garamond" w:hAnsi="Garamond"/>
          <w:sz w:val="22"/>
          <w:szCs w:val="22"/>
        </w:rPr>
        <w:fldChar w:fldCharType="end"/>
      </w:r>
      <w:r w:rsidR="00A54A3E">
        <w:rPr>
          <w:rFonts w:ascii="Garamond" w:hAnsi="Garamond"/>
          <w:sz w:val="22"/>
          <w:szCs w:val="22"/>
        </w:rPr>
        <w:t xml:space="preserve"> Many </w:t>
      </w:r>
      <w:r w:rsidR="00CC6A63">
        <w:rPr>
          <w:rFonts w:ascii="Garamond" w:hAnsi="Garamond"/>
          <w:sz w:val="22"/>
          <w:szCs w:val="22"/>
        </w:rPr>
        <w:t xml:space="preserve">cross-sectional, observational </w:t>
      </w:r>
      <w:r w:rsidR="00A54A3E">
        <w:rPr>
          <w:rFonts w:ascii="Garamond" w:hAnsi="Garamond"/>
          <w:sz w:val="22"/>
          <w:szCs w:val="22"/>
        </w:rPr>
        <w:t xml:space="preserve">studies have found links </w:t>
      </w:r>
      <w:r w:rsidR="00A54A3E">
        <w:rPr>
          <w:rFonts w:ascii="Garamond" w:hAnsi="Garamond"/>
          <w:sz w:val="22"/>
          <w:szCs w:val="22"/>
        </w:rPr>
        <w:lastRenderedPageBreak/>
        <w:t xml:space="preserve">between </w:t>
      </w:r>
      <w:r w:rsidR="00CC6A63">
        <w:rPr>
          <w:rFonts w:ascii="Garamond" w:hAnsi="Garamond"/>
          <w:sz w:val="22"/>
          <w:szCs w:val="22"/>
        </w:rPr>
        <w:t>markers of the</w:t>
      </w:r>
      <w:r w:rsidR="00A54A3E">
        <w:rPr>
          <w:rFonts w:ascii="Garamond" w:hAnsi="Garamond"/>
          <w:sz w:val="22"/>
          <w:szCs w:val="22"/>
        </w:rPr>
        <w:t xml:space="preserve"> quality of primary and community care </w:t>
      </w:r>
      <w:r w:rsidR="00CC6A63">
        <w:rPr>
          <w:rFonts w:ascii="Garamond" w:hAnsi="Garamond"/>
          <w:sz w:val="22"/>
          <w:szCs w:val="22"/>
        </w:rPr>
        <w:t>and admission rates</w:t>
      </w:r>
      <w:r w:rsidR="00A54A3E">
        <w:rPr>
          <w:rFonts w:ascii="Garamond" w:hAnsi="Garamond"/>
          <w:sz w:val="22"/>
          <w:szCs w:val="22"/>
        </w:rPr>
        <w:t>,</w:t>
      </w:r>
      <w:r w:rsidR="00A54A3E" w:rsidRPr="00E724B5" w:rsidDel="00A54A3E">
        <w:rPr>
          <w:rFonts w:ascii="Garamond" w:hAnsi="Garamond"/>
          <w:sz w:val="22"/>
          <w:szCs w:val="22"/>
        </w:rPr>
        <w:t xml:space="preserve"> </w:t>
      </w:r>
      <w:r w:rsidR="00650E1A">
        <w:rPr>
          <w:rFonts w:ascii="Garamond" w:hAnsi="Garamond"/>
          <w:sz w:val="22"/>
          <w:szCs w:val="22"/>
        </w:rPr>
        <w:fldChar w:fldCharType="begin" w:fldLock="1"/>
      </w:r>
      <w:r w:rsidR="00775C62">
        <w:rPr>
          <w:rFonts w:ascii="Garamond" w:hAnsi="Garamond"/>
          <w:sz w:val="22"/>
          <w:szCs w:val="22"/>
        </w:rPr>
        <w:instrText>ADDIN CSL_CITATION {"citationItems":[{"id":"ITEM-1","itemData":{"author":[{"dropping-particle":"","family":"Barker","given":"Isaac","non-dropping-particle":"","parse-names":false,"suffix":""},{"dropping-particle":"","family":"Steventon","given":"Adam","non-dropping-particle":"","parse-names":false,"suffix":""},{"dropping-particle":"","family":"Deeny","given":"Sarah R","non-dropping-particle":"","parse-names":false,"suffix":""}],"container-title":"BMJ","id":"ITEM-1","issued":{"date-parts":[["2017"]]},"title":"Association between continuity of care in general practice and hospital admissions for ambulatory care sensitive conditions: cross sectional study of routinely collected, person level data","type":"article-journal"},"uris":["http://www.mendeley.com/documents/?uuid=8725aa8d-fedb-47e2-b014-d9a1fa6c52fd"]},{"id":"ITEM-2","itemData":{"DOI":"10.1186/s12875-017-0638-9","ISSN":"1471-2296","PMID":"28545412","abstract":"BACKGROUND Reducing unplanned hospital admissions is a key priority within the UK and other healthcare systems, however it remains uncertain how this can be achieved. This paper explores the relationship between unplanned ambulatory care sensitive condition (ACSC) admission rates and population, general practice and hospital characteristics. Additionally, we investigated if these factors had a differential impact across 28 conditions. METHODS We used the English Hospital Episode Statistics to calculate the number of unplanned ACSC hospital admissions for 28 conditions at 8,029 general practices during 2011/12. We used multilevel negative binomial regression to estimate the influence of population (deprivation), general practice (size, access, continuity, quality, A&amp;E proximity) and hospital (bed availability, % day cases) characteristics on unplanned admission rates after adjusting for age, sex and chronic disease prevalence. RESULTS Practices in deprived areas (at the 90th centile) had 16% (95% confidence interval: 14 to 18) higher admission rates than those in affluent areas (10th centile). Practices with poorer care continuity (9%; 8 to 11), located closest to A&amp;E (8%; 6 to 9), situated in areas with high inpatient bed availability (14%; 10 to 18) or in areas with a larger proportion of day case admissions (17%; 12 to 21) had more admissions. There were smaller associations for primary care access, clinical quality, and practice size. The strength of associations varied by ACSC. For example, deprivation was most strongly associated with alcohol related diseases and COPD admission rates, while continuity of primary care was most strongly associated with admission rates for chronic diseases such as hypertension and iron-deficiency anaemia. CONCLUSIONS The drivers of unplanned ACSC admission rates are complex and include population, practice and hospital factors. The importance of these varies markedly across conditions suggesting that multifaceted interventions are required to avoid hospital admissions and reduce costs. Several of the most important drivers of admissions are largely beyond the control of GPs. However, strategies to improve primary care continuity and avoid unnecessary short-stay admissions could lead to improved efficiency.","author":[{"dropping-particle":"","family":"Busby","given":"John","non-dropping-particle":"","parse-names":false,"suffix":""},{"dropping-particle":"","family":"Purdy","given":"Sarah","non-dropping-particle":"","parse-names":false,"suffix":""},{"dropping-particle":"","family":"Hollingworth","given":"William","non-dropping-particle":"","parse-names":false,"suffix":""}],"container-title":"BMC family practice","id":"ITEM-2","issue":"67","issued":{"date-parts":[["2017"]]},"page":"1-9","title":"How do population, general practice and hospital factors influence ambulatory care sensitive admissions: a cross sectional study","type":"article-journal","volume":"18"},"uris":["http://www.mendeley.com/documents/?uuid=03041bfc-f18f-43c7-b771-e3f7855626a0","http://www.mendeley.com/documents/?uuid=c4911572-8bba-42fa-93dc-50b743f8aa2e"]},{"id":"ITEM-3","itemData":{"DOI":"10.1371/journal.pone.0066699","author":[{"dropping-particle":"","family":"Cowling","given":"Thomas E","non-dropping-particle":"","parse-names":false,"suffix":""},{"dropping-particle":"V","family":"Cecil","given":"Elizabeth","non-dropping-particle":"","parse-names":false,"suffix":""},{"dropping-particle":"","family":"Soljak","given":"Michael A","non-dropping-particle":"","parse-names":false,"suffix":""},{"dropping-particle":"","family":"Lee","given":"John Tayu","non-dropping-particle":"","parse-names":false,"suffix":""},{"dropping-particle":"","family":"Millett","given":"Christopher","non-dropping-particle":"","parse-names":false,"suffix":""},{"dropping-particle":"","family":"Majeed","given":"Azeem","non-dropping-particle":"","parse-names":false,"suffix":""},{"dropping-particle":"","family":"Wachter","given":"Robert M","non-dropping-particle":"","parse-names":false,"suffix":""},{"dropping-particle":"","family":"Harris","given":"Matthew J","non-dropping-particle":"","parse-names":false,"suffix":""}],"id":"ITEM-3","issue":"6","issued":{"date-parts":[["2013"]]},"page":"6-11","title":"Access to Primary Care and Visits to Emergency Departments in England : A Cross-Sectional , Population- Based Study","type":"article-journal","volume":"8"},"uris":["http://www.mendeley.com/documents/?uuid=bb793434-5aeb-4c71-a0f7-ac291f72b444","http://www.mendeley.com/documents/?uuid=097775b0-a4e3-4a0f-8695-d58d35d5df6d"]}],"mendeley":{"formattedCitation":"[53–55]","plainTextFormattedCitation":"[53–55]","previouslyFormattedCitation":"[53–55]"},"properties":{"noteIndex":0},"schema":"https://github.com/citation-style-language/schema/raw/master/csl-citation.json"}</w:instrText>
      </w:r>
      <w:r w:rsidR="00650E1A">
        <w:rPr>
          <w:rFonts w:ascii="Garamond" w:hAnsi="Garamond"/>
          <w:sz w:val="22"/>
          <w:szCs w:val="22"/>
        </w:rPr>
        <w:fldChar w:fldCharType="separate"/>
      </w:r>
      <w:r w:rsidR="00775C62" w:rsidRPr="00775C62">
        <w:rPr>
          <w:rFonts w:ascii="Garamond" w:hAnsi="Garamond"/>
          <w:noProof/>
          <w:sz w:val="22"/>
          <w:szCs w:val="22"/>
        </w:rPr>
        <w:t>[53–55]</w:t>
      </w:r>
      <w:r w:rsidR="00650E1A">
        <w:rPr>
          <w:rFonts w:ascii="Garamond" w:hAnsi="Garamond"/>
          <w:sz w:val="22"/>
          <w:szCs w:val="22"/>
        </w:rPr>
        <w:fldChar w:fldCharType="end"/>
      </w:r>
      <w:r w:rsidR="00650E1A">
        <w:rPr>
          <w:rFonts w:ascii="Garamond" w:hAnsi="Garamond"/>
          <w:sz w:val="22"/>
          <w:szCs w:val="22"/>
        </w:rPr>
        <w:t xml:space="preserve"> </w:t>
      </w:r>
      <w:r w:rsidR="00A54A3E">
        <w:rPr>
          <w:rFonts w:ascii="Garamond" w:hAnsi="Garamond"/>
          <w:sz w:val="22"/>
          <w:szCs w:val="22"/>
        </w:rPr>
        <w:t xml:space="preserve">though it has proven difficult to </w:t>
      </w:r>
      <w:r w:rsidR="00CC6A63">
        <w:rPr>
          <w:rFonts w:ascii="Garamond" w:hAnsi="Garamond"/>
          <w:sz w:val="22"/>
          <w:szCs w:val="22"/>
        </w:rPr>
        <w:t>translate these insights into effective</w:t>
      </w:r>
      <w:r w:rsidR="00A54A3E">
        <w:rPr>
          <w:rFonts w:ascii="Garamond" w:hAnsi="Garamond"/>
          <w:sz w:val="22"/>
          <w:szCs w:val="22"/>
        </w:rPr>
        <w:t xml:space="preserve"> interventions</w:t>
      </w:r>
      <w:r w:rsidR="00CC6A63">
        <w:rPr>
          <w:rFonts w:ascii="Garamond" w:hAnsi="Garamond"/>
          <w:sz w:val="22"/>
          <w:szCs w:val="22"/>
        </w:rPr>
        <w:t>,</w:t>
      </w:r>
      <w:r w:rsidR="006713ED">
        <w:rPr>
          <w:rFonts w:ascii="Garamond" w:hAnsi="Garamond"/>
          <w:sz w:val="22"/>
          <w:szCs w:val="22"/>
        </w:rPr>
        <w:fldChar w:fldCharType="begin" w:fldLock="1"/>
      </w:r>
      <w:r w:rsidR="00775C62">
        <w:rPr>
          <w:rFonts w:ascii="Garamond" w:hAnsi="Garamond"/>
          <w:sz w:val="22"/>
          <w:szCs w:val="22"/>
        </w:rPr>
        <w:instrText>ADDIN CSL_CITATION {"citationItems":[{"id":"ITEM-1","itemData":{"DOI":"10.1136/bmj.39020.413310.55","ISSN":"1756-1833","PMID":"17107984","abstract":"OBJECTIVES: To determine the impact on outcomes in patients of the Evercare approach to case management of elderly people. DESIGN: Practice level before and after analysis of hospital admissions data with control group. SETTING: Nine primary care trusts in England that, in 2003-5, piloted case management of elderly people selected as being at high risk of emergency admission. MAIN OUTCOME MEASURES: Rates of emergency admission, emergency bed days, and mortality from April 2001 to March 2005 in 62 Evercare practices and 6960-7695 control practices in England (depending on the analysis being carried out). RESULTS: The intervention had no significant effect on rates of emergency admission (increase 16.5%, (95% confidence interval -5.7% to 38.7%), emergency bed days (increase 19.0%, -5.3% to 43.2%), and mortality (increase 34.4%, -1.7% to 70.3%) for a high risk population aged &gt;65 with a history of two or more emergency admissions in the preceding 13 months. For the general population aged &gt; or =65 effects on the rates of emergency admission (increase 2.5%, -2.1% to 7.0%), emergency bed days (decrease -4.9%, -10.8% to 1.0%), and mortality (increase 5.5%, -3.5% to 14.5%) were also non-significant. CONCLUSIONS: Case management of frail elderly people introduced an additional range of services into primary care without an associated reduction in hospital admissions. This may have been because of identification of additional cases. Employment of community matrons is now a key feature of case management policy in the NHS in England. Without more radical system redesign this policy is unlikely to reduce hospital admissions.","author":[{"dropping-particle":"","family":"Gravelle","given":"Hugh","non-dropping-particle":"","parse-names":false,"suffix":""},{"dropping-particle":"","family":"Dusheiko","given":"Mark","non-dropping-particle":"","parse-names":false,"suffix":""},{"dropping-particle":"","family":"Sheaff","given":"Rod","non-dropping-particle":"","parse-names":false,"suffix":""},{"dropping-particle":"","family":"Sargent","given":"Penny","non-dropping-particle":"","parse-names":false,"suffix":""},{"dropping-particle":"","family":"Boaden","given":"Ruth","non-dropping-particle":"","parse-names":false,"suffix":""},{"dropping-particle":"","family":"Pickard","given":"Susan","non-dropping-particle":"","parse-names":false,"suffix":""},{"dropping-particle":"","family":"Parker","given":"Stuart","non-dropping-particle":"","parse-names":false,"suffix":""},{"dropping-particle":"","family":"Roland","given":"Martin","non-dropping-particle":"","parse-names":false,"suffix":""}],"container-title":"British Medical Journal","id":"ITEM-1","issue":"7583","issued":{"date-parts":[["2007","1"]]},"page":"1-5","title":"Impact of case management (Evercare) on frail elderly patients: controlled before and after analysis of quantitative outcome data","type":"article-journal","volume":"334"},"uris":["http://www.mendeley.com/documents/?uuid=88b88b89-48f1-4dfa-b8c6-33f8e14a7dee","http://www.mendeley.com/documents/?uuid=26ead5eb-4917-4d25-a148-cdf2f362d226"]},{"id":"ITEM-2","itemData":{"DOI":"10.1177/0272989X15585131","author":[{"dropping-particle":"","family":"Steventon","given":"Adam","non-dropping-particle":"","parse-names":false,"suffix":""},{"dropping-particle":"","family":"Grieve","given":"Richard","non-dropping-particle":"","parse-names":false,"suffix":""},{"dropping-particle":"","family":"Bardsley","given":"Martin","non-dropping-particle":"","parse-names":false,"suffix":""}],"container-title":"Medical Decision Making","id":"ITEM-2","issued":{"date-parts":[["2015"]]},"title":"An approach to assess generalizability in comparative effectiveness research: a case study of the Whole Systems Demonstrator cluster randomized trial comparing telehealth with usual care for patients with chronic health conditions","type":"article-journal"},"uris":["http://www.mendeley.com/documents/?uuid=7775d5f4-e061-46b0-a666-49e384ef6fb2"]},{"id":"ITEM-3","itemData":{"ISBN":"1568-4156","ISSN":"1568-4156","PMID":"23593045","abstract":"INTRODUCTION: In 2009, the English Department of Health appointed 16 integrated care pilots which aimed to provide better integrated care. We report the quantitative results from a multi-method evaluation of six of the demonstration projects which used risk profiling tools to identify older people at risk of emergency hospital admission, combined with intensive case management for people identified as at risk. The interventions focused mainly on delivery system redesign and improved clinical information systems, two key elements of Wagner's Chronic Care Model.\\n\\nMETHODS: Questionnaires to staff and patients. Difference-in-differences analysis of secondary care utilisation using data on 3646 patients and 17,311 matched controls, and changes in overall secondary care utilisation.\\n\\nRESULTS: Most staff thought that care for their patients had improved. More patients reported having a care plan but they found it significantly harder to see a doctor or nurse of their choice and felt less involved in decisions about their care. Case management interventions were associated with a 9% increase in emergency admissions. We found some evidence of imbalance between cases and controls which could have biased this estimate, but simulations of the possible effect of unobserved confounders showed that it was very unlikely that the sites achieved their goal of reducing emergency admissions. However, we found significant reductions of 21% and 22% in elective admissions and outpatient attendance in the six months following an intervention, and overall inpatient and outpatient costs were significantly reduced by 9% during this period. Area level analyses of whole practice populations suggested that overall outpatient attendances were significantly reduced by 5% two years after the start of the case management schemes.\\n\\nCONCLUSION: Case management may result in improvements in some aspects of care and has the potential to reduce secondary care costs. However, to improve patient experience, case management approaches need to be introduced in a way which respects patients' wishes, for example the ability to see a familiar doctor or nurse.","author":[{"dropping-particle":"","family":"Roland","given":"Martin","non-dropping-particle":"","parse-names":false,"suffix":""},{"dropping-particle":"","family":"Lewis","given":"Richard","non-dropping-particle":"","parse-names":false,"suffix":""},{"dropping-particle":"","family":"Llp","given":"Young","non-dropping-particle":"","parse-names":false,"suffix":""},{"dropping-particle":"","family":"Place","given":"More London","non-dropping-particle":"","parse-names":false,"suffix":""},{"dropping-particle":"","family":"Adams","given":"John","non-dropping-particle":"","parse-names":false,"suffix":""},{"dropping-particle":"","family":"Statistician","given":"Senior","non-dropping-particle":"","parse-names":false,"suffix":""},{"dropping-particle":"","family":"Corporation","given":"Rand","non-dropping-particle":"","parse-names":false,"suffix":""},{"dropping-particle":"","family":"Street","given":"Main","non-dropping-particle":"","parse-names":false,"suffix":""},{"dropping-particle":"","family":"Monica","given":"Santa","non-dropping-particle":"","parse-names":false,"suffix":""},{"dropping-particle":"","family":"Brereton","given":"Laura","non-dropping-particle":"","parse-names":false,"suffix":""},{"dropping-particle":"","family":"Europe","given":"Rand","non-dropping-particle":"","parse-names":false,"suffix":""},{"dropping-particle":"","family":"Centre","given":"Westbrook","non-dropping-particle":"","parse-names":false,"suffix":""},{"dropping-particle":"","family":"Road","given":"Milton","non-dropping-particle":"","parse-names":false,"suffix":""},{"dropping-particle":"","family":"Steventon","given":"Adam","non-dropping-particle":"","parse-names":false,"suffix":""},{"dropping-particle":"","family":"Abel","given":"Gary","non-dropping-particle":"","parse-names":false,"suffix":""},{"dropping-particle":"","family":"Adams","given":"John","non-dropping-particle":"","parse-names":false,"suffix":""},{"dropping-particle":"","family":"Bardsley","given":"Martin","non-dropping-particle":"","parse-names":false,"suffix":""},{"dropping-particle":"","family":"Brereton","given":"Laura","non-dropping-particle":"","parse-names":false,"suffix":""},{"dropping-particle":"","family":"Chitnis","given":"Xavier","non-dropping-particle":"","parse-names":false,"suffix":""},{"dropping-particle":"","family":"Conklin","given":"Annalijn","non-dropping-particle":"","parse-names":false,"suffix":""},{"dropping-particle":"","family":"Staetsky","given":"Laura","non-dropping-particle":"","parse-names":false,"suffix":""},{"dropping-particle":"","family":"Tunkel","given":"Sarah","non-dropping-particle":"","parse-names":false,"suffix":""},{"dropping-particle":"","family":"Ling","given":"Tom","non-dropping-particle":"","parse-names":false,"suffix":""}],"container-title":"International journal of integrated care","id":"ITEM-3","issue":"July","issued":{"date-parts":[["2012"]]},"page":"e130","title":"Case management for at-risk elderly patients in the English integrated care pilots : observational study of staff and patient experience and secondary care utilisation","type":"article-journal","volume":"12"},"uris":["http://www.mendeley.com/documents/?uuid=eccb8cc4-0d5a-4803-a541-3a399b3ecf9e","http://www.mendeley.com/documents/?uuid=094f170b-f7e9-467d-956b-1ef70a77aaa6"]}],"mendeley":{"formattedCitation":"[56–58]","plainTextFormattedCitation":"[56–58]","previouslyFormattedCitation":"[56–58]"},"properties":{"noteIndex":0},"schema":"https://github.com/citation-style-language/schema/raw/master/csl-citation.json"}</w:instrText>
      </w:r>
      <w:r w:rsidR="006713ED">
        <w:rPr>
          <w:rFonts w:ascii="Garamond" w:hAnsi="Garamond"/>
          <w:sz w:val="22"/>
          <w:szCs w:val="22"/>
        </w:rPr>
        <w:fldChar w:fldCharType="separate"/>
      </w:r>
      <w:r w:rsidR="00775C62" w:rsidRPr="00775C62">
        <w:rPr>
          <w:rFonts w:ascii="Garamond" w:hAnsi="Garamond"/>
          <w:noProof/>
          <w:sz w:val="22"/>
          <w:szCs w:val="22"/>
        </w:rPr>
        <w:t>[56–58]</w:t>
      </w:r>
      <w:r w:rsidR="006713ED">
        <w:rPr>
          <w:rFonts w:ascii="Garamond" w:hAnsi="Garamond"/>
          <w:sz w:val="22"/>
          <w:szCs w:val="22"/>
        </w:rPr>
        <w:fldChar w:fldCharType="end"/>
      </w:r>
      <w:r w:rsidR="00CC6A63">
        <w:rPr>
          <w:rFonts w:ascii="Garamond" w:hAnsi="Garamond"/>
          <w:sz w:val="22"/>
          <w:szCs w:val="22"/>
        </w:rPr>
        <w:t xml:space="preserve"> </w:t>
      </w:r>
      <w:r w:rsidR="00A54A3E">
        <w:rPr>
          <w:rFonts w:ascii="Garamond" w:hAnsi="Garamond"/>
          <w:sz w:val="22"/>
          <w:szCs w:val="22"/>
        </w:rPr>
        <w:t>with some exceptions</w:t>
      </w:r>
      <w:r w:rsidR="00650E1A">
        <w:rPr>
          <w:rFonts w:ascii="Garamond" w:hAnsi="Garamond"/>
          <w:sz w:val="22"/>
          <w:szCs w:val="22"/>
        </w:rPr>
        <w:t>.</w:t>
      </w:r>
      <w:r w:rsidR="00907EEF">
        <w:rPr>
          <w:rFonts w:ascii="Garamond" w:hAnsi="Garamond"/>
          <w:sz w:val="22"/>
          <w:szCs w:val="22"/>
        </w:rPr>
        <w:fldChar w:fldCharType="begin" w:fldLock="1"/>
      </w:r>
      <w:r w:rsidR="00775C62">
        <w:rPr>
          <w:rFonts w:ascii="Garamond" w:hAnsi="Garamond"/>
          <w:sz w:val="22"/>
          <w:szCs w:val="22"/>
        </w:rPr>
        <w:instrText>ADDIN CSL_CITATION {"citationItems":[{"id":"ITEM-1","itemData":{"abstract":"Emergency admissions – that is, admissions that are not predicted and happen at short notice because of perceived clinical need (NHS Connecting for Health 2010) – represent around 65 per cent of hospital bed days in England (34 million bed days and 4.75 million emergency admissions in 2007/8) (Hospital Episode Statistics 2007/8). Avoiding emergency hospital admissions is a major concern for the National Health Service (NHS), not only because of the high and rising unit costs of emergency admission compared with other forms of care, but also because of the disruption it causes to elective health care – most notably inpatient waiting lists – and to the individuals admitted (Audit Commission 2009). Despite considerable efforts to reduce emergency admissions, only a minority of primary care trusts (PCTs) succeeded in doing so between 2007/8 and 2008/9 (Gillam 2010). The average increase in admissions during this time was 5 per cent across all PCTs, ranging from a 12.7 per cent decrease to a 27.3 per cent increase. In order to successfully reduce avoidable emergency admissions, we need to fully understand which interventions are the most effective. This paper considers the research evidence for a range of interventions to avoid emergency or unplanned hospital admissions. In this paper, we aim to address the following questions: n What interventions work in reducing avoidable admissions? n Who is at risk, and how do we identify them? n Which admissions are potentially avoidable? n Which interventions work in: – primary care – social care – emergency care – discharge from hospital Evidence from the research literature suggests the following. n People from lower socio-economic groups are at higher risk of avoidable emergency admissions. n There are several tools available to help identify people at high risk of future emergency admission, including computer database models and simple questionnaires. There is no clear advantage of using one tool over another. n It is important to be clear which admissions are potentially avoidable and which interventions are likely to be effective. Clarity of disease coding is essential. n In primary care, higher continuity of care with a GP is associated with lower risk of admission. n Integrating health and social care may be effective in reducing admissions. n Integrating primary and secondary care can be effective in reducing admissions. n Telemedicine seems to be effective for patients with heart failure, but there is littl…","author":[{"dropping-particle":"","family":"Purdy","given":"Sarah","non-dropping-particle":"","parse-names":false,"suffix":""}],"container-title":"What does the research evidence say","id":"ITEM-1","issue":"December","issued":{"date-parts":[["2010"]]},"page":"1-28","title":"Avoiding hospital admissions","type":"article-journal"},"uris":["http://www.mendeley.com/documents/?uuid=d2a73dc9-a78b-4140-b386-caffa4492385","http://www.mendeley.com/documents/?uuid=3e8cd3d8-350f-443e-bb54-632721002422"]},{"id":"ITEM-2","itemData":{"DOI":"10.1002/14651858.CD007718.pub2.","abstract":"Researchers analysed ten randomised controlled trials that met specified inclusion criteria. Their objective was to compare usual care and telehealthcare for COPD in terms of effectiveness. The selected trials involved telehealthcare as part of a wider intervention which included, for example, nurse case management. The study found that telehealthcare appeared to contribute to an increase in quality of life in two of the trials. Emergency hospital admissions were also found to be reduced among patients receiving telehealthcare. In terms of morbidity, no significant difference was recorded between the telehealthcare and usual care groups. Researchers concluded that there was evidence to support telehealthcare as a positive treatment method for patients with COPD, but that further research was required into the specific effects of telehealthcare, given that the reviewed trials used a combination of interventions.","author":[{"dropping-particle":"","family":"Mclean","given":"S","non-dropping-particle":"","parse-names":false,"suffix":""},{"dropping-particle":"","family":"Nurmatov","given":"U","non-dropping-particle":"","parse-names":false,"suffix":""},{"dropping-particle":"","family":"Jly","given":"Liu","non-dropping-particle":"","parse-names":false,"suffix":""},{"dropping-particle":"","family":"Pagliari","given":"C","non-dropping-particle":"","parse-names":false,"suffix":""},{"dropping-particle":"","family":"Car","given":"J","non-dropping-particle":"","parse-names":false,"suffix":""},{"dropping-particle":"","family":"Sheikh","given":"A","non-dropping-particle":"","parse-names":false,"suffix":""}],"id":"ITEM-2","issue":"7","issued":{"date-parts":[["2011"]]},"number-of-pages":"1-55","title":"Telehealthcare for chronic obstructive pulmonary disease ( Review )","type":"report"},"uris":["http://www.mendeley.com/documents/?uuid=d9b36ae1-d87f-43d3-9acf-0de8b17f7632","http://www.mendeley.com/documents/?uuid=2738f843-58e9-4474-9c4e-7b2ff2cf113f"]}],"mendeley":{"formattedCitation":"[59,60]","plainTextFormattedCitation":"[59,60]","previouslyFormattedCitation":"[59,60]"},"properties":{"noteIndex":0},"schema":"https://github.com/citation-style-language/schema/raw/master/csl-citation.json"}</w:instrText>
      </w:r>
      <w:r w:rsidR="00907EEF">
        <w:rPr>
          <w:rFonts w:ascii="Garamond" w:hAnsi="Garamond"/>
          <w:sz w:val="22"/>
          <w:szCs w:val="22"/>
        </w:rPr>
        <w:fldChar w:fldCharType="separate"/>
      </w:r>
      <w:r w:rsidR="00775C62" w:rsidRPr="00775C62">
        <w:rPr>
          <w:rFonts w:ascii="Garamond" w:hAnsi="Garamond"/>
          <w:noProof/>
          <w:sz w:val="22"/>
          <w:szCs w:val="22"/>
        </w:rPr>
        <w:t>[59,60]</w:t>
      </w:r>
      <w:r w:rsidR="00907EEF">
        <w:rPr>
          <w:rFonts w:ascii="Garamond" w:hAnsi="Garamond"/>
          <w:sz w:val="22"/>
          <w:szCs w:val="22"/>
        </w:rPr>
        <w:fldChar w:fldCharType="end"/>
      </w:r>
      <w:r w:rsidR="00650E1A">
        <w:rPr>
          <w:rFonts w:ascii="Garamond" w:hAnsi="Garamond"/>
          <w:sz w:val="22"/>
          <w:szCs w:val="22"/>
        </w:rPr>
        <w:t xml:space="preserve"> </w:t>
      </w:r>
      <w:r w:rsidR="003F1F82">
        <w:rPr>
          <w:rFonts w:ascii="Garamond" w:hAnsi="Garamond"/>
          <w:sz w:val="22"/>
          <w:szCs w:val="22"/>
        </w:rPr>
        <w:t xml:space="preserve">Other strategies </w:t>
      </w:r>
      <w:r w:rsidR="00A54A3E">
        <w:rPr>
          <w:rFonts w:ascii="Garamond" w:hAnsi="Garamond"/>
          <w:sz w:val="22"/>
          <w:szCs w:val="22"/>
        </w:rPr>
        <w:t xml:space="preserve">might focus on improving the flow of patients through hospitals, for example by </w:t>
      </w:r>
      <w:r w:rsidR="0051490F">
        <w:rPr>
          <w:rFonts w:ascii="Garamond" w:hAnsi="Garamond"/>
          <w:sz w:val="22"/>
          <w:szCs w:val="22"/>
        </w:rPr>
        <w:t>redesigning processes to ensure</w:t>
      </w:r>
      <w:r w:rsidR="00A54A3E">
        <w:rPr>
          <w:rFonts w:ascii="Garamond" w:hAnsi="Garamond"/>
          <w:sz w:val="22"/>
          <w:szCs w:val="22"/>
        </w:rPr>
        <w:t xml:space="preserve"> that care inputs are available </w:t>
      </w:r>
      <w:r w:rsidR="0051490F">
        <w:rPr>
          <w:rFonts w:ascii="Garamond" w:hAnsi="Garamond"/>
          <w:sz w:val="22"/>
          <w:szCs w:val="22"/>
        </w:rPr>
        <w:t>as soon as patients require them, thereby shortening length of stay.</w:t>
      </w:r>
      <w:r w:rsidR="00160972">
        <w:rPr>
          <w:rFonts w:ascii="Garamond" w:hAnsi="Garamond"/>
          <w:sz w:val="22"/>
          <w:szCs w:val="22"/>
        </w:rPr>
        <w:fldChar w:fldCharType="begin" w:fldLock="1"/>
      </w:r>
      <w:r w:rsidR="00775C62">
        <w:rPr>
          <w:rFonts w:ascii="Garamond" w:hAnsi="Garamond"/>
          <w:sz w:val="22"/>
          <w:szCs w:val="22"/>
        </w:rPr>
        <w:instrText>ADDIN CSL_CITATION {"citationItems":[{"id":"ITEM-1","itemData":{"author":[{"dropping-particle":"","family":"Foundation","given":"The Health","non-dropping-particle":"","parse-names":false,"suffix":""}],"id":"ITEM-1","issue":"April","issued":{"date-parts":[["2013"]]},"number-of-pages":"1 - 52","publisher-place":"London, England","title":"Improving patient flow","type":"report"},"uris":["http://www.mendeley.com/documents/?uuid=63b03130-c194-4cee-8d03-f1f1a04c9069","http://www.mendeley.com/documents/?uuid=8706bef0-d663-4956-838a-5eef1df7534f"]}],"mendeley":{"formattedCitation":"[61]","plainTextFormattedCitation":"[61]","previouslyFormattedCitation":"[61]"},"properties":{"noteIndex":0},"schema":"https://github.com/citation-style-language/schema/raw/master/csl-citation.json"}</w:instrText>
      </w:r>
      <w:r w:rsidR="00160972">
        <w:rPr>
          <w:rFonts w:ascii="Garamond" w:hAnsi="Garamond"/>
          <w:sz w:val="22"/>
          <w:szCs w:val="22"/>
        </w:rPr>
        <w:fldChar w:fldCharType="separate"/>
      </w:r>
      <w:r w:rsidR="00775C62" w:rsidRPr="00775C62">
        <w:rPr>
          <w:rFonts w:ascii="Garamond" w:hAnsi="Garamond"/>
          <w:noProof/>
          <w:sz w:val="22"/>
          <w:szCs w:val="22"/>
        </w:rPr>
        <w:t>[61]</w:t>
      </w:r>
      <w:r w:rsidR="00160972">
        <w:rPr>
          <w:rFonts w:ascii="Garamond" w:hAnsi="Garamond"/>
          <w:sz w:val="22"/>
          <w:szCs w:val="22"/>
        </w:rPr>
        <w:fldChar w:fldCharType="end"/>
      </w:r>
      <w:r w:rsidR="00A54A3E">
        <w:rPr>
          <w:rFonts w:ascii="Garamond" w:hAnsi="Garamond"/>
          <w:sz w:val="22"/>
          <w:szCs w:val="22"/>
        </w:rPr>
        <w:t xml:space="preserve"> </w:t>
      </w:r>
      <w:r w:rsidR="0051490F">
        <w:rPr>
          <w:rFonts w:ascii="Garamond" w:hAnsi="Garamond"/>
          <w:sz w:val="22"/>
          <w:szCs w:val="22"/>
        </w:rPr>
        <w:t>Still other approaches might address the quality of the</w:t>
      </w:r>
      <w:r w:rsidR="003F1F82">
        <w:rPr>
          <w:rFonts w:ascii="Garamond" w:hAnsi="Garamond"/>
          <w:sz w:val="22"/>
          <w:szCs w:val="22"/>
        </w:rPr>
        <w:t xml:space="preserve"> discharge process</w:t>
      </w:r>
      <w:r w:rsidR="0051490F">
        <w:rPr>
          <w:rFonts w:ascii="Garamond" w:hAnsi="Garamond"/>
          <w:sz w:val="22"/>
          <w:szCs w:val="22"/>
        </w:rPr>
        <w:t xml:space="preserve">. Several care models are being developed, including </w:t>
      </w:r>
      <w:r w:rsidR="003640A6">
        <w:rPr>
          <w:rFonts w:ascii="Garamond" w:hAnsi="Garamond"/>
          <w:sz w:val="22"/>
          <w:szCs w:val="22"/>
        </w:rPr>
        <w:t>‘</w:t>
      </w:r>
      <w:r w:rsidR="0051490F">
        <w:rPr>
          <w:rFonts w:ascii="Garamond" w:hAnsi="Garamond"/>
          <w:sz w:val="22"/>
          <w:szCs w:val="22"/>
        </w:rPr>
        <w:t>discharge</w:t>
      </w:r>
      <w:r w:rsidR="00365461">
        <w:rPr>
          <w:rFonts w:ascii="Garamond" w:hAnsi="Garamond"/>
          <w:sz w:val="22"/>
          <w:szCs w:val="22"/>
        </w:rPr>
        <w:t>-</w:t>
      </w:r>
      <w:r w:rsidR="003640A6">
        <w:rPr>
          <w:rFonts w:ascii="Garamond" w:hAnsi="Garamond"/>
          <w:sz w:val="22"/>
          <w:szCs w:val="22"/>
        </w:rPr>
        <w:t>to</w:t>
      </w:r>
      <w:r w:rsidR="00365461">
        <w:rPr>
          <w:rFonts w:ascii="Garamond" w:hAnsi="Garamond"/>
          <w:sz w:val="22"/>
          <w:szCs w:val="22"/>
        </w:rPr>
        <w:t>-</w:t>
      </w:r>
      <w:r w:rsidR="0051490F">
        <w:rPr>
          <w:rFonts w:ascii="Garamond" w:hAnsi="Garamond"/>
          <w:sz w:val="22"/>
          <w:szCs w:val="22"/>
        </w:rPr>
        <w:t>assess’</w:t>
      </w:r>
      <w:r w:rsidR="00FD7EEA">
        <w:rPr>
          <w:rFonts w:ascii="Garamond" w:hAnsi="Garamond"/>
          <w:sz w:val="22"/>
          <w:szCs w:val="22"/>
        </w:rPr>
        <w:t>,</w:t>
      </w:r>
      <w:r w:rsidR="0051490F">
        <w:rPr>
          <w:rFonts w:ascii="Garamond" w:hAnsi="Garamond"/>
          <w:sz w:val="22"/>
          <w:szCs w:val="22"/>
        </w:rPr>
        <w:t xml:space="preserve"> which involves patients being</w:t>
      </w:r>
      <w:r w:rsidR="003640A6">
        <w:rPr>
          <w:rFonts w:ascii="Garamond" w:hAnsi="Garamond"/>
          <w:sz w:val="22"/>
          <w:szCs w:val="22"/>
        </w:rPr>
        <w:t xml:space="preserve"> discharged </w:t>
      </w:r>
      <w:r w:rsidR="0051490F">
        <w:rPr>
          <w:rFonts w:ascii="Garamond" w:hAnsi="Garamond"/>
          <w:sz w:val="22"/>
          <w:szCs w:val="22"/>
        </w:rPr>
        <w:t xml:space="preserve">sooner </w:t>
      </w:r>
      <w:r w:rsidR="003640A6">
        <w:rPr>
          <w:rFonts w:ascii="Garamond" w:hAnsi="Garamond"/>
          <w:sz w:val="22"/>
          <w:szCs w:val="22"/>
        </w:rPr>
        <w:t xml:space="preserve">provided they are medically fit and </w:t>
      </w:r>
      <w:r w:rsidR="0051490F">
        <w:rPr>
          <w:rFonts w:ascii="Garamond" w:hAnsi="Garamond"/>
          <w:sz w:val="22"/>
          <w:szCs w:val="22"/>
        </w:rPr>
        <w:t xml:space="preserve">can be </w:t>
      </w:r>
      <w:r w:rsidR="003640A6">
        <w:rPr>
          <w:rFonts w:ascii="Garamond" w:hAnsi="Garamond"/>
          <w:sz w:val="22"/>
          <w:szCs w:val="22"/>
        </w:rPr>
        <w:t>supported with short-term packages to continue their recovery and rehabilitation at home</w:t>
      </w:r>
      <w:r w:rsidR="0051490F">
        <w:rPr>
          <w:rFonts w:ascii="Garamond" w:hAnsi="Garamond"/>
          <w:sz w:val="22"/>
          <w:szCs w:val="22"/>
        </w:rPr>
        <w:t>;</w:t>
      </w:r>
      <w:r w:rsidR="0051490F">
        <w:rPr>
          <w:rFonts w:ascii="Garamond" w:hAnsi="Garamond"/>
          <w:sz w:val="22"/>
          <w:szCs w:val="22"/>
        </w:rPr>
        <w:fldChar w:fldCharType="begin" w:fldLock="1"/>
      </w:r>
      <w:r w:rsidR="00775C62">
        <w:rPr>
          <w:rFonts w:ascii="Garamond" w:hAnsi="Garamond"/>
          <w:sz w:val="22"/>
          <w:szCs w:val="22"/>
        </w:rPr>
        <w:instrText>ADDIN CSL_CITATION {"citationItems":[{"id":"ITEM-1","itemData":{"author":[{"dropping-particle":"","family":"Department of Health","given":"","non-dropping-particle":"","parse-names":false,"suffix":""}],"id":"ITEM-1","issued":{"date-parts":[["2015"]]},"title":"Quick Guide: Discharge to Assess","type":"webpage"},"uris":["http://www.mendeley.com/documents/?uuid=b913e4fa-b91a-45bc-9de8-8e341965aced","http://www.mendeley.com/documents/?uuid=8ebede25-e113-4db8-9544-9a82cf0376e3"]}],"mendeley":{"formattedCitation":"[50]","plainTextFormattedCitation":"[50]","previouslyFormattedCitation":"[50]"},"properties":{"noteIndex":0},"schema":"https://github.com/citation-style-language/schema/raw/master/csl-citation.json"}</w:instrText>
      </w:r>
      <w:r w:rsidR="0051490F">
        <w:rPr>
          <w:rFonts w:ascii="Garamond" w:hAnsi="Garamond"/>
          <w:sz w:val="22"/>
          <w:szCs w:val="22"/>
        </w:rPr>
        <w:fldChar w:fldCharType="separate"/>
      </w:r>
      <w:r w:rsidR="00775C62" w:rsidRPr="00775C62">
        <w:rPr>
          <w:rFonts w:ascii="Garamond" w:hAnsi="Garamond"/>
          <w:noProof/>
          <w:sz w:val="22"/>
          <w:szCs w:val="22"/>
        </w:rPr>
        <w:t>[50]</w:t>
      </w:r>
      <w:r w:rsidR="0051490F">
        <w:rPr>
          <w:rFonts w:ascii="Garamond" w:hAnsi="Garamond"/>
          <w:sz w:val="22"/>
          <w:szCs w:val="22"/>
        </w:rPr>
        <w:fldChar w:fldCharType="end"/>
      </w:r>
      <w:r w:rsidR="00E75FB6">
        <w:rPr>
          <w:rFonts w:ascii="Garamond" w:hAnsi="Garamond"/>
          <w:sz w:val="22"/>
          <w:szCs w:val="22"/>
        </w:rPr>
        <w:t xml:space="preserve"> </w:t>
      </w:r>
      <w:r w:rsidR="0051490F">
        <w:rPr>
          <w:rFonts w:ascii="Garamond" w:hAnsi="Garamond"/>
          <w:sz w:val="22"/>
          <w:szCs w:val="22"/>
        </w:rPr>
        <w:t>and deploying</w:t>
      </w:r>
      <w:r w:rsidR="003640A6">
        <w:rPr>
          <w:rFonts w:ascii="Garamond" w:hAnsi="Garamond"/>
          <w:sz w:val="22"/>
          <w:szCs w:val="22"/>
        </w:rPr>
        <w:t xml:space="preserve"> trusted assessor</w:t>
      </w:r>
      <w:r w:rsidR="00F763B3">
        <w:rPr>
          <w:rFonts w:ascii="Garamond" w:hAnsi="Garamond"/>
          <w:sz w:val="22"/>
          <w:szCs w:val="22"/>
        </w:rPr>
        <w:t>s</w:t>
      </w:r>
      <w:r w:rsidR="0051490F">
        <w:rPr>
          <w:rFonts w:ascii="Garamond" w:hAnsi="Garamond"/>
          <w:sz w:val="22"/>
          <w:szCs w:val="22"/>
        </w:rPr>
        <w:t xml:space="preserve"> to</w:t>
      </w:r>
      <w:r w:rsidR="003640A6">
        <w:rPr>
          <w:rFonts w:ascii="Garamond" w:hAnsi="Garamond"/>
          <w:sz w:val="22"/>
          <w:szCs w:val="22"/>
        </w:rPr>
        <w:t xml:space="preserve"> carry out </w:t>
      </w:r>
      <w:r w:rsidR="00F763B3">
        <w:rPr>
          <w:rFonts w:ascii="Garamond" w:hAnsi="Garamond"/>
          <w:sz w:val="22"/>
          <w:szCs w:val="22"/>
        </w:rPr>
        <w:t>need-assessments</w:t>
      </w:r>
      <w:r w:rsidR="003640A6">
        <w:rPr>
          <w:rFonts w:ascii="Garamond" w:hAnsi="Garamond"/>
          <w:sz w:val="22"/>
          <w:szCs w:val="22"/>
        </w:rPr>
        <w:t xml:space="preserve"> for post-discharge support on behalf of </w:t>
      </w:r>
      <w:r w:rsidR="00F763B3">
        <w:rPr>
          <w:rFonts w:ascii="Garamond" w:hAnsi="Garamond"/>
          <w:sz w:val="22"/>
          <w:szCs w:val="22"/>
        </w:rPr>
        <w:t xml:space="preserve">all </w:t>
      </w:r>
      <w:r w:rsidR="003640A6">
        <w:rPr>
          <w:rFonts w:ascii="Garamond" w:hAnsi="Garamond"/>
          <w:sz w:val="22"/>
          <w:szCs w:val="22"/>
        </w:rPr>
        <w:t>providers along the clinical pathway (i.e. including the discharging trust, lo</w:t>
      </w:r>
      <w:r w:rsidR="00F763B3">
        <w:rPr>
          <w:rFonts w:ascii="Garamond" w:hAnsi="Garamond"/>
          <w:sz w:val="22"/>
          <w:szCs w:val="22"/>
        </w:rPr>
        <w:t>cal authority and social care).</w:t>
      </w:r>
      <w:r w:rsidR="00E75FB6">
        <w:rPr>
          <w:rFonts w:ascii="Garamond" w:hAnsi="Garamond"/>
          <w:sz w:val="22"/>
          <w:szCs w:val="22"/>
        </w:rPr>
        <w:fldChar w:fldCharType="begin" w:fldLock="1"/>
      </w:r>
      <w:r w:rsidR="00775C62">
        <w:rPr>
          <w:rFonts w:ascii="Garamond" w:hAnsi="Garamond"/>
          <w:sz w:val="22"/>
          <w:szCs w:val="22"/>
        </w:rPr>
        <w:instrText>ADDIN CSL_CITATION {"citationItems":[{"id":"ITEM-1","itemData":{"author":[{"dropping-particle":"","family":"NHS Improvement","given":"","non-dropping-particle":"","parse-names":false,"suffix":""}],"id":"ITEM-1","issue":"March","issued":{"date-parts":[["2017"]]},"title":"Rapid improvement guide to trusted assessors","type":"report"},"uris":["http://www.mendeley.com/documents/?uuid=c913b4f8-07ed-4dff-a32b-50bb3e165dee","http://www.mendeley.com/documents/?uuid=73987c22-1280-4371-bc8e-d6394a753591"]}],"mendeley":{"formattedCitation":"[62]","plainTextFormattedCitation":"[62]","previouslyFormattedCitation":"[62]"},"properties":{"noteIndex":0},"schema":"https://github.com/citation-style-language/schema/raw/master/csl-citation.json"}</w:instrText>
      </w:r>
      <w:r w:rsidR="00E75FB6">
        <w:rPr>
          <w:rFonts w:ascii="Garamond" w:hAnsi="Garamond"/>
          <w:sz w:val="22"/>
          <w:szCs w:val="22"/>
        </w:rPr>
        <w:fldChar w:fldCharType="separate"/>
      </w:r>
      <w:r w:rsidR="00775C62" w:rsidRPr="00775C62">
        <w:rPr>
          <w:rFonts w:ascii="Garamond" w:hAnsi="Garamond"/>
          <w:noProof/>
          <w:sz w:val="22"/>
          <w:szCs w:val="22"/>
        </w:rPr>
        <w:t>[62]</w:t>
      </w:r>
      <w:r w:rsidR="00E75FB6">
        <w:rPr>
          <w:rFonts w:ascii="Garamond" w:hAnsi="Garamond"/>
          <w:sz w:val="22"/>
          <w:szCs w:val="22"/>
        </w:rPr>
        <w:fldChar w:fldCharType="end"/>
      </w:r>
      <w:r w:rsidR="00F763B3">
        <w:rPr>
          <w:rFonts w:ascii="Garamond" w:hAnsi="Garamond"/>
          <w:sz w:val="22"/>
          <w:szCs w:val="22"/>
        </w:rPr>
        <w:t xml:space="preserve"> </w:t>
      </w:r>
      <w:r w:rsidR="0051490F">
        <w:rPr>
          <w:rFonts w:ascii="Garamond" w:hAnsi="Garamond"/>
          <w:sz w:val="22"/>
          <w:szCs w:val="22"/>
        </w:rPr>
        <w:t xml:space="preserve">A final strategy would be </w:t>
      </w:r>
      <w:r w:rsidR="00B526B4">
        <w:rPr>
          <w:rFonts w:ascii="Garamond" w:hAnsi="Garamond"/>
          <w:sz w:val="22"/>
          <w:szCs w:val="22"/>
        </w:rPr>
        <w:t>to increase hospital capacit</w:t>
      </w:r>
      <w:r w:rsidR="0051490F">
        <w:rPr>
          <w:rFonts w:ascii="Garamond" w:hAnsi="Garamond"/>
          <w:sz w:val="22"/>
          <w:szCs w:val="22"/>
        </w:rPr>
        <w:t>y,</w:t>
      </w:r>
      <w:r w:rsidR="00B526B4">
        <w:rPr>
          <w:rFonts w:ascii="Garamond" w:hAnsi="Garamond"/>
          <w:sz w:val="22"/>
          <w:szCs w:val="22"/>
        </w:rPr>
        <w:t xml:space="preserve"> </w:t>
      </w:r>
      <w:r w:rsidR="0051490F">
        <w:rPr>
          <w:rFonts w:ascii="Garamond" w:hAnsi="Garamond"/>
          <w:sz w:val="22"/>
          <w:szCs w:val="22"/>
        </w:rPr>
        <w:t>though we note that</w:t>
      </w:r>
      <w:r w:rsidR="002040B9" w:rsidRPr="00650E1A">
        <w:rPr>
          <w:rFonts w:ascii="Garamond" w:hAnsi="Garamond"/>
          <w:sz w:val="22"/>
          <w:szCs w:val="22"/>
        </w:rPr>
        <w:t xml:space="preserve"> </w:t>
      </w:r>
      <w:r w:rsidR="00B526B4">
        <w:rPr>
          <w:rFonts w:ascii="Garamond" w:hAnsi="Garamond"/>
          <w:sz w:val="22"/>
          <w:szCs w:val="22"/>
        </w:rPr>
        <w:t xml:space="preserve">further </w:t>
      </w:r>
      <w:r w:rsidR="00B526B4" w:rsidRPr="00650E1A">
        <w:rPr>
          <w:rFonts w:ascii="Garamond" w:hAnsi="Garamond"/>
          <w:sz w:val="22"/>
          <w:szCs w:val="22"/>
        </w:rPr>
        <w:t>red</w:t>
      </w:r>
      <w:r w:rsidR="00B526B4" w:rsidRPr="00DE338F">
        <w:rPr>
          <w:rFonts w:ascii="Garamond" w:hAnsi="Garamond"/>
          <w:sz w:val="22"/>
          <w:szCs w:val="22"/>
        </w:rPr>
        <w:t>uc</w:t>
      </w:r>
      <w:r w:rsidR="00B526B4">
        <w:rPr>
          <w:rFonts w:ascii="Garamond" w:hAnsi="Garamond"/>
          <w:sz w:val="22"/>
          <w:szCs w:val="22"/>
        </w:rPr>
        <w:t xml:space="preserve">tions to </w:t>
      </w:r>
      <w:r w:rsidR="002040B9" w:rsidRPr="00DE338F">
        <w:rPr>
          <w:rFonts w:ascii="Garamond" w:hAnsi="Garamond"/>
          <w:sz w:val="22"/>
          <w:szCs w:val="22"/>
        </w:rPr>
        <w:t xml:space="preserve">the number of acute hospital beds is a </w:t>
      </w:r>
      <w:r w:rsidR="0051490F">
        <w:rPr>
          <w:rFonts w:ascii="Garamond" w:hAnsi="Garamond"/>
          <w:sz w:val="22"/>
          <w:szCs w:val="22"/>
        </w:rPr>
        <w:t>feature</w:t>
      </w:r>
      <w:r w:rsidR="002040B9" w:rsidRPr="00DE338F">
        <w:rPr>
          <w:rFonts w:ascii="Garamond" w:hAnsi="Garamond"/>
          <w:sz w:val="22"/>
          <w:szCs w:val="22"/>
        </w:rPr>
        <w:t xml:space="preserve"> of many </w:t>
      </w:r>
      <w:r w:rsidR="0051490F">
        <w:rPr>
          <w:rFonts w:ascii="Garamond" w:hAnsi="Garamond"/>
          <w:sz w:val="22"/>
          <w:szCs w:val="22"/>
        </w:rPr>
        <w:t xml:space="preserve">of the </w:t>
      </w:r>
      <w:r w:rsidR="002040B9" w:rsidRPr="00DE338F">
        <w:rPr>
          <w:rFonts w:ascii="Garamond" w:hAnsi="Garamond"/>
          <w:sz w:val="22"/>
          <w:szCs w:val="22"/>
        </w:rPr>
        <w:t xml:space="preserve">Sustainability and Transformation Plans </w:t>
      </w:r>
      <w:r w:rsidR="0051490F">
        <w:rPr>
          <w:rFonts w:ascii="Garamond" w:hAnsi="Garamond"/>
          <w:sz w:val="22"/>
          <w:szCs w:val="22"/>
        </w:rPr>
        <w:t xml:space="preserve">that were </w:t>
      </w:r>
      <w:r w:rsidR="002040B9" w:rsidRPr="00DE338F">
        <w:rPr>
          <w:rFonts w:ascii="Garamond" w:hAnsi="Garamond"/>
          <w:sz w:val="22"/>
          <w:szCs w:val="22"/>
        </w:rPr>
        <w:t xml:space="preserve">submitted to </w:t>
      </w:r>
      <w:r w:rsidR="002040B9" w:rsidRPr="00DF3393">
        <w:rPr>
          <w:rFonts w:ascii="Garamond" w:hAnsi="Garamond"/>
          <w:sz w:val="22"/>
          <w:szCs w:val="22"/>
        </w:rPr>
        <w:t>NHS England in 2016</w:t>
      </w:r>
      <w:r w:rsidR="00B526B4">
        <w:rPr>
          <w:rFonts w:ascii="Garamond" w:hAnsi="Garamond"/>
          <w:sz w:val="22"/>
          <w:szCs w:val="22"/>
        </w:rPr>
        <w:t>.</w:t>
      </w:r>
      <w:r w:rsidR="00B526B4" w:rsidRPr="00DF3393">
        <w:rPr>
          <w:rFonts w:ascii="Garamond" w:hAnsi="Garamond"/>
          <w:sz w:val="22"/>
          <w:szCs w:val="22"/>
        </w:rPr>
        <w:fldChar w:fldCharType="begin" w:fldLock="1"/>
      </w:r>
      <w:r w:rsidR="00775C62">
        <w:rPr>
          <w:rFonts w:ascii="Garamond" w:hAnsi="Garamond"/>
          <w:sz w:val="22"/>
          <w:szCs w:val="22"/>
        </w:rPr>
        <w:instrText>ADDIN CSL_CITATION {"citationItems":[{"id":"ITEM-1","itemData":{"author":[{"dropping-particle":"","family":"England","given":"NHS","non-dropping-particle":"","parse-names":false,"suffix":""}],"id":"ITEM-1","issued":{"date-parts":[["0"]]},"title":"View sustainability and transformation plans","type":"webpage"},"uris":["http://www.mendeley.com/documents/?uuid=4887cada-4745-4b43-b455-63b13b4da07e","http://www.mendeley.com/documents/?uuid=d88ace02-9318-4362-9880-1b78c572b380"]}],"mendeley":{"formattedCitation":"[63]","plainTextFormattedCitation":"[63]","previouslyFormattedCitation":"[63]"},"properties":{"noteIndex":0},"schema":"https://github.com/citation-style-language/schema/raw/master/csl-citation.json"}</w:instrText>
      </w:r>
      <w:r w:rsidR="00B526B4" w:rsidRPr="00DF3393">
        <w:rPr>
          <w:rFonts w:ascii="Garamond" w:hAnsi="Garamond"/>
          <w:sz w:val="22"/>
          <w:szCs w:val="22"/>
        </w:rPr>
        <w:fldChar w:fldCharType="separate"/>
      </w:r>
      <w:r w:rsidR="00775C62" w:rsidRPr="00775C62">
        <w:rPr>
          <w:rFonts w:ascii="Garamond" w:hAnsi="Garamond"/>
          <w:noProof/>
          <w:sz w:val="22"/>
          <w:szCs w:val="22"/>
        </w:rPr>
        <w:t>[63]</w:t>
      </w:r>
      <w:r w:rsidR="00B526B4" w:rsidRPr="00DF3393">
        <w:rPr>
          <w:rFonts w:ascii="Garamond" w:hAnsi="Garamond"/>
          <w:sz w:val="22"/>
          <w:szCs w:val="22"/>
        </w:rPr>
        <w:fldChar w:fldCharType="end"/>
      </w:r>
      <w:r w:rsidR="002040B9" w:rsidRPr="00DF3393">
        <w:rPr>
          <w:rFonts w:ascii="Garamond" w:hAnsi="Garamond"/>
          <w:sz w:val="22"/>
          <w:szCs w:val="22"/>
        </w:rPr>
        <w:t xml:space="preserve"> </w:t>
      </w:r>
    </w:p>
    <w:p w14:paraId="05190585" w14:textId="77777777" w:rsidR="002E50F9" w:rsidRPr="00DA5098" w:rsidRDefault="002E50F9" w:rsidP="008A13BF">
      <w:pPr>
        <w:spacing w:line="360" w:lineRule="auto"/>
        <w:rPr>
          <w:rFonts w:ascii="Garamond" w:hAnsi="Garamond"/>
          <w:sz w:val="22"/>
          <w:szCs w:val="22"/>
        </w:rPr>
      </w:pPr>
    </w:p>
    <w:p w14:paraId="20B79D78" w14:textId="77777777" w:rsidR="00386B68" w:rsidRPr="00A80A7E" w:rsidRDefault="00386B68" w:rsidP="0036336A">
      <w:pPr>
        <w:spacing w:line="360" w:lineRule="auto"/>
        <w:outlineLvl w:val="0"/>
        <w:rPr>
          <w:rFonts w:ascii="Garamond" w:hAnsi="Garamond"/>
          <w:i/>
          <w:sz w:val="22"/>
          <w:szCs w:val="22"/>
        </w:rPr>
      </w:pPr>
      <w:r w:rsidRPr="00A80A7E">
        <w:rPr>
          <w:rFonts w:ascii="Garamond" w:hAnsi="Garamond"/>
          <w:b/>
          <w:i/>
          <w:sz w:val="22"/>
          <w:szCs w:val="22"/>
        </w:rPr>
        <w:t>Conclusions</w:t>
      </w:r>
    </w:p>
    <w:p w14:paraId="2AB5F270" w14:textId="5A58F0BD" w:rsidR="0053524B" w:rsidRDefault="00057FE2" w:rsidP="0051490F">
      <w:pPr>
        <w:spacing w:line="360" w:lineRule="auto"/>
        <w:rPr>
          <w:rFonts w:ascii="Garamond" w:hAnsi="Garamond"/>
          <w:sz w:val="22"/>
          <w:szCs w:val="22"/>
        </w:rPr>
      </w:pPr>
      <w:r w:rsidRPr="00A80A7E">
        <w:rPr>
          <w:rFonts w:ascii="Garamond" w:hAnsi="Garamond"/>
          <w:sz w:val="22"/>
          <w:szCs w:val="22"/>
        </w:rPr>
        <w:t xml:space="preserve">Following nights of high bed occupancy rates, </w:t>
      </w:r>
      <w:r w:rsidR="008341E7">
        <w:rPr>
          <w:rFonts w:ascii="Garamond" w:hAnsi="Garamond"/>
          <w:sz w:val="22"/>
          <w:szCs w:val="22"/>
        </w:rPr>
        <w:t xml:space="preserve">more </w:t>
      </w:r>
      <w:r w:rsidRPr="00A80A7E">
        <w:rPr>
          <w:rFonts w:ascii="Garamond" w:hAnsi="Garamond"/>
          <w:sz w:val="22"/>
          <w:szCs w:val="22"/>
        </w:rPr>
        <w:t xml:space="preserve">patients </w:t>
      </w:r>
      <w:r w:rsidR="008341E7">
        <w:rPr>
          <w:rFonts w:ascii="Garamond" w:hAnsi="Garamond"/>
          <w:sz w:val="22"/>
          <w:szCs w:val="22"/>
        </w:rPr>
        <w:t>are being</w:t>
      </w:r>
      <w:r w:rsidRPr="00A80A7E">
        <w:rPr>
          <w:rFonts w:ascii="Garamond" w:hAnsi="Garamond"/>
          <w:sz w:val="22"/>
          <w:szCs w:val="22"/>
        </w:rPr>
        <w:t xml:space="preserve"> discharged with a </w:t>
      </w:r>
      <w:r w:rsidR="006250B1">
        <w:rPr>
          <w:rFonts w:ascii="Garamond" w:hAnsi="Garamond"/>
          <w:sz w:val="22"/>
          <w:szCs w:val="22"/>
        </w:rPr>
        <w:t>small increase in the</w:t>
      </w:r>
      <w:r w:rsidR="006250B1" w:rsidRPr="00A80A7E">
        <w:rPr>
          <w:rFonts w:ascii="Garamond" w:hAnsi="Garamond"/>
          <w:sz w:val="22"/>
          <w:szCs w:val="22"/>
        </w:rPr>
        <w:t xml:space="preserve"> </w:t>
      </w:r>
      <w:r w:rsidRPr="00A80A7E">
        <w:rPr>
          <w:rFonts w:ascii="Garamond" w:hAnsi="Garamond"/>
          <w:sz w:val="22"/>
          <w:szCs w:val="22"/>
        </w:rPr>
        <w:t xml:space="preserve">risk of readmission within 30 days. It is possible that additional pressure to release beds on these days </w:t>
      </w:r>
      <w:r w:rsidR="00760731">
        <w:rPr>
          <w:rFonts w:ascii="Garamond" w:hAnsi="Garamond"/>
          <w:sz w:val="22"/>
          <w:szCs w:val="22"/>
        </w:rPr>
        <w:t xml:space="preserve">is leading to some patients being discharged sooner than </w:t>
      </w:r>
      <w:r w:rsidR="005A7E75">
        <w:rPr>
          <w:rFonts w:ascii="Garamond" w:hAnsi="Garamond"/>
          <w:sz w:val="22"/>
          <w:szCs w:val="22"/>
        </w:rPr>
        <w:t>usually</w:t>
      </w:r>
      <w:r w:rsidR="005F56B6">
        <w:rPr>
          <w:rFonts w:ascii="Garamond" w:hAnsi="Garamond"/>
          <w:sz w:val="22"/>
          <w:szCs w:val="22"/>
        </w:rPr>
        <w:t xml:space="preserve">. </w:t>
      </w:r>
      <w:r w:rsidR="008341E7">
        <w:rPr>
          <w:rFonts w:ascii="Garamond" w:hAnsi="Garamond"/>
          <w:sz w:val="22"/>
          <w:szCs w:val="22"/>
        </w:rPr>
        <w:t>No</w:t>
      </w:r>
      <w:r w:rsidR="00855805">
        <w:rPr>
          <w:rFonts w:ascii="Garamond" w:hAnsi="Garamond"/>
          <w:sz w:val="22"/>
          <w:szCs w:val="22"/>
        </w:rPr>
        <w:t xml:space="preserve"> evidence of a marked </w:t>
      </w:r>
      <w:r w:rsidR="00B850FB">
        <w:rPr>
          <w:rFonts w:ascii="Garamond" w:hAnsi="Garamond"/>
          <w:sz w:val="22"/>
          <w:szCs w:val="22"/>
        </w:rPr>
        <w:t xml:space="preserve">change </w:t>
      </w:r>
      <w:r w:rsidR="00855805">
        <w:rPr>
          <w:rFonts w:ascii="Garamond" w:hAnsi="Garamond"/>
          <w:sz w:val="22"/>
          <w:szCs w:val="22"/>
        </w:rPr>
        <w:t xml:space="preserve">in </w:t>
      </w:r>
      <w:r w:rsidR="005F56B6">
        <w:rPr>
          <w:rFonts w:ascii="Garamond" w:hAnsi="Garamond"/>
          <w:sz w:val="22"/>
          <w:szCs w:val="22"/>
        </w:rPr>
        <w:t>readmission rates</w:t>
      </w:r>
      <w:r w:rsidR="00760731">
        <w:rPr>
          <w:rFonts w:ascii="Garamond" w:hAnsi="Garamond"/>
          <w:sz w:val="22"/>
          <w:szCs w:val="22"/>
        </w:rPr>
        <w:t xml:space="preserve"> as a result</w:t>
      </w:r>
      <w:r w:rsidR="008341E7">
        <w:rPr>
          <w:rFonts w:ascii="Garamond" w:hAnsi="Garamond"/>
          <w:sz w:val="22"/>
          <w:szCs w:val="22"/>
        </w:rPr>
        <w:t xml:space="preserve"> was found</w:t>
      </w:r>
      <w:r w:rsidR="00855805">
        <w:rPr>
          <w:rFonts w:ascii="Garamond" w:hAnsi="Garamond"/>
          <w:sz w:val="22"/>
          <w:szCs w:val="22"/>
        </w:rPr>
        <w:t xml:space="preserve">, </w:t>
      </w:r>
      <w:r w:rsidR="00FD7EEA">
        <w:rPr>
          <w:rFonts w:ascii="Garamond" w:hAnsi="Garamond"/>
          <w:sz w:val="22"/>
          <w:szCs w:val="22"/>
        </w:rPr>
        <w:t xml:space="preserve">but </w:t>
      </w:r>
      <w:r w:rsidR="00760731">
        <w:rPr>
          <w:rFonts w:ascii="Garamond" w:hAnsi="Garamond"/>
          <w:sz w:val="22"/>
          <w:szCs w:val="22"/>
        </w:rPr>
        <w:t>there might be implications for other dimensions of care quality</w:t>
      </w:r>
      <w:r w:rsidR="0051490F">
        <w:rPr>
          <w:rFonts w:ascii="Garamond" w:hAnsi="Garamond"/>
          <w:sz w:val="22"/>
          <w:szCs w:val="22"/>
        </w:rPr>
        <w:t>.</w:t>
      </w:r>
    </w:p>
    <w:p w14:paraId="4414BF91" w14:textId="6B05FE55" w:rsidR="000005BE" w:rsidRDefault="000005BE" w:rsidP="0051490F">
      <w:pPr>
        <w:spacing w:line="360" w:lineRule="auto"/>
        <w:rPr>
          <w:rFonts w:ascii="Garamond" w:hAnsi="Garamond"/>
          <w:sz w:val="22"/>
          <w:szCs w:val="22"/>
        </w:rPr>
      </w:pPr>
    </w:p>
    <w:p w14:paraId="5FFAE8DB" w14:textId="3FBF68F1" w:rsidR="000005BE" w:rsidRDefault="000005BE" w:rsidP="000005BE">
      <w:pPr>
        <w:spacing w:line="360" w:lineRule="auto"/>
        <w:rPr>
          <w:rFonts w:ascii="Garamond" w:hAnsi="Garamond" w:cs="Times New Roman"/>
          <w:b/>
          <w:sz w:val="22"/>
          <w:szCs w:val="22"/>
        </w:rPr>
      </w:pPr>
      <w:r>
        <w:rPr>
          <w:rFonts w:ascii="Garamond" w:hAnsi="Garamond"/>
          <w:sz w:val="22"/>
          <w:szCs w:val="22"/>
        </w:rPr>
        <w:t xml:space="preserve">Although there have been fears that high bed occupancy is leading to poorer discharge </w:t>
      </w:r>
      <w:r w:rsidR="005A7E75">
        <w:rPr>
          <w:rFonts w:ascii="Garamond" w:hAnsi="Garamond"/>
          <w:sz w:val="22"/>
          <w:szCs w:val="22"/>
        </w:rPr>
        <w:t xml:space="preserve">processes </w:t>
      </w:r>
      <w:r>
        <w:rPr>
          <w:rFonts w:ascii="Garamond" w:hAnsi="Garamond"/>
          <w:sz w:val="22"/>
          <w:szCs w:val="22"/>
        </w:rPr>
        <w:t xml:space="preserve">and more patients being readmitted at a later date, these seem to be unfounded </w:t>
      </w:r>
      <w:r w:rsidR="005A7E75">
        <w:rPr>
          <w:rFonts w:ascii="Garamond" w:hAnsi="Garamond"/>
          <w:sz w:val="22"/>
          <w:szCs w:val="22"/>
        </w:rPr>
        <w:t>based on evidence provided in</w:t>
      </w:r>
      <w:r>
        <w:rPr>
          <w:rFonts w:ascii="Garamond" w:hAnsi="Garamond"/>
          <w:sz w:val="22"/>
          <w:szCs w:val="22"/>
        </w:rPr>
        <w:t xml:space="preserve"> our study. This might be because hospitals are successfully prioritising early discharge amongst least vulnerable patients.</w:t>
      </w:r>
    </w:p>
    <w:p w14:paraId="0125E390" w14:textId="3A1677D2" w:rsidR="00CB5EF5" w:rsidRDefault="00CB5EF5">
      <w:pPr>
        <w:rPr>
          <w:rFonts w:ascii="Garamond" w:hAnsi="Garamond" w:cs="Times New Roman"/>
          <w:b/>
          <w:sz w:val="22"/>
          <w:szCs w:val="22"/>
        </w:rPr>
      </w:pPr>
    </w:p>
    <w:p w14:paraId="58C258ED" w14:textId="77777777" w:rsidR="007F796C" w:rsidRDefault="007F796C" w:rsidP="008A13BF">
      <w:pPr>
        <w:spacing w:line="360" w:lineRule="auto"/>
        <w:rPr>
          <w:rFonts w:ascii="Garamond" w:hAnsi="Garamond" w:cs="Times New Roman"/>
          <w:b/>
          <w:sz w:val="22"/>
          <w:szCs w:val="22"/>
        </w:rPr>
      </w:pPr>
    </w:p>
    <w:p w14:paraId="3137E18E" w14:textId="1E4F06BE" w:rsidR="00B82E68" w:rsidRPr="0075226E" w:rsidRDefault="00EC08ED" w:rsidP="0036336A">
      <w:pPr>
        <w:spacing w:line="360" w:lineRule="auto"/>
        <w:outlineLvl w:val="0"/>
        <w:rPr>
          <w:rFonts w:ascii="Garamond" w:hAnsi="Garamond"/>
          <w:sz w:val="22"/>
          <w:szCs w:val="22"/>
        </w:rPr>
      </w:pPr>
      <w:r>
        <w:rPr>
          <w:rFonts w:ascii="Garamond" w:hAnsi="Garamond" w:cs="Times New Roman"/>
          <w:b/>
          <w:sz w:val="22"/>
          <w:szCs w:val="22"/>
        </w:rPr>
        <w:t>Funding</w:t>
      </w:r>
    </w:p>
    <w:p w14:paraId="7070672A" w14:textId="42E1C225" w:rsidR="00EC08ED" w:rsidRDefault="00EC08ED" w:rsidP="008A13BF">
      <w:pPr>
        <w:pStyle w:val="Body"/>
        <w:spacing w:after="120" w:line="360" w:lineRule="auto"/>
        <w:rPr>
          <w:rFonts w:ascii="Garamond" w:hAnsi="Garamond"/>
          <w:lang w:val="en-GB"/>
        </w:rPr>
      </w:pPr>
      <w:r>
        <w:rPr>
          <w:rFonts w:ascii="Garamond" w:hAnsi="Garamond"/>
          <w:lang w:val="en-GB"/>
        </w:rPr>
        <w:lastRenderedPageBreak/>
        <w:t xml:space="preserve">This research did not receive any specific grant from funding agencies in the public, commercial, or not-for-profit sectors. </w:t>
      </w:r>
    </w:p>
    <w:p w14:paraId="20E2F462" w14:textId="77777777" w:rsidR="00CB5EF5" w:rsidRPr="00E724B5" w:rsidRDefault="00CB5EF5" w:rsidP="008A13BF">
      <w:pPr>
        <w:spacing w:line="360" w:lineRule="auto"/>
        <w:rPr>
          <w:rFonts w:ascii="Garamond" w:hAnsi="Garamond" w:cs="Times New Roman"/>
          <w:sz w:val="22"/>
          <w:szCs w:val="22"/>
        </w:rPr>
      </w:pPr>
    </w:p>
    <w:p w14:paraId="784DD276" w14:textId="1B21EFFA" w:rsidR="00D86429" w:rsidRPr="00E724B5" w:rsidRDefault="00D86429" w:rsidP="0036336A">
      <w:pPr>
        <w:spacing w:line="360" w:lineRule="auto"/>
        <w:outlineLvl w:val="0"/>
        <w:rPr>
          <w:rFonts w:ascii="Garamond" w:hAnsi="Garamond" w:cs="Times New Roman"/>
          <w:b/>
          <w:sz w:val="22"/>
          <w:szCs w:val="22"/>
        </w:rPr>
      </w:pPr>
      <w:r w:rsidRPr="00E724B5">
        <w:rPr>
          <w:rFonts w:ascii="Garamond" w:hAnsi="Garamond" w:cs="Times New Roman"/>
          <w:b/>
          <w:sz w:val="22"/>
          <w:szCs w:val="22"/>
        </w:rPr>
        <w:t>Data sharing</w:t>
      </w:r>
    </w:p>
    <w:p w14:paraId="1D262172" w14:textId="6E7B2BD2" w:rsidR="00D86429" w:rsidRPr="00E724B5" w:rsidRDefault="00D86429" w:rsidP="008A13BF">
      <w:pPr>
        <w:spacing w:line="360" w:lineRule="auto"/>
        <w:rPr>
          <w:rFonts w:ascii="Garamond" w:hAnsi="Garamond" w:cs="Times New Roman"/>
          <w:sz w:val="22"/>
          <w:szCs w:val="22"/>
        </w:rPr>
      </w:pPr>
      <w:r w:rsidRPr="00E724B5">
        <w:rPr>
          <w:rFonts w:ascii="Garamond" w:hAnsi="Garamond" w:cs="Times New Roman"/>
          <w:sz w:val="22"/>
          <w:szCs w:val="22"/>
        </w:rPr>
        <w:t xml:space="preserve">The data controller of the data analysed is </w:t>
      </w:r>
      <w:r w:rsidR="00E724B5" w:rsidRPr="00E724B5">
        <w:rPr>
          <w:rFonts w:ascii="Garamond" w:hAnsi="Garamond" w:cs="Times New Roman"/>
          <w:sz w:val="22"/>
          <w:szCs w:val="22"/>
        </w:rPr>
        <w:t xml:space="preserve">NHS Digital. </w:t>
      </w:r>
      <w:r w:rsidRPr="00E724B5">
        <w:rPr>
          <w:rFonts w:ascii="Garamond" w:hAnsi="Garamond" w:cs="Times New Roman"/>
          <w:sz w:val="22"/>
          <w:szCs w:val="22"/>
        </w:rPr>
        <w:t xml:space="preserve">Patient-level data is available subject to their information governance requirements. </w:t>
      </w:r>
    </w:p>
    <w:p w14:paraId="4BFFFD82" w14:textId="77777777" w:rsidR="00CF4207" w:rsidRDefault="00CF4207" w:rsidP="00630A82">
      <w:pPr>
        <w:spacing w:line="360" w:lineRule="auto"/>
        <w:rPr>
          <w:rFonts w:ascii="Garamond" w:hAnsi="Garamond"/>
          <w:sz w:val="22"/>
          <w:szCs w:val="22"/>
        </w:rPr>
      </w:pPr>
    </w:p>
    <w:p w14:paraId="01734E28" w14:textId="77777777" w:rsidR="00634014" w:rsidRDefault="00634014" w:rsidP="00634014">
      <w:pPr>
        <w:spacing w:line="360" w:lineRule="auto"/>
        <w:rPr>
          <w:rFonts w:ascii="Arial" w:hAnsi="Arial" w:cs="Arial"/>
          <w:color w:val="4D4D4D"/>
          <w:sz w:val="28"/>
          <w:szCs w:val="28"/>
          <w:lang w:val="en-US"/>
        </w:rPr>
      </w:pPr>
    </w:p>
    <w:p w14:paraId="7D1484A2" w14:textId="6DBCBBB7" w:rsidR="00386B68" w:rsidRPr="00E724B5" w:rsidRDefault="00A80A7E" w:rsidP="00775C62">
      <w:pPr>
        <w:spacing w:line="360" w:lineRule="auto"/>
        <w:rPr>
          <w:rFonts w:ascii="Garamond" w:hAnsi="Garamond"/>
          <w:b/>
        </w:rPr>
      </w:pPr>
      <w:r w:rsidRPr="00E724B5">
        <w:rPr>
          <w:rFonts w:ascii="Garamond" w:hAnsi="Garamond"/>
          <w:b/>
        </w:rPr>
        <w:t>R</w:t>
      </w:r>
      <w:r>
        <w:rPr>
          <w:rFonts w:ascii="Garamond" w:hAnsi="Garamond"/>
          <w:b/>
        </w:rPr>
        <w:t>eferences</w:t>
      </w:r>
    </w:p>
    <w:p w14:paraId="79F0F405" w14:textId="212E08DE" w:rsidR="00775C62" w:rsidRPr="00775C62" w:rsidRDefault="00386B68" w:rsidP="00775C62">
      <w:pPr>
        <w:widowControl w:val="0"/>
        <w:autoSpaceDE w:val="0"/>
        <w:autoSpaceDN w:val="0"/>
        <w:adjustRightInd w:val="0"/>
        <w:spacing w:line="480" w:lineRule="auto"/>
        <w:ind w:left="640" w:hanging="640"/>
        <w:rPr>
          <w:rFonts w:ascii="Garamond" w:hAnsi="Garamond" w:cs="Times New Roman"/>
          <w:noProof/>
          <w:sz w:val="22"/>
          <w:lang w:val="en-US"/>
        </w:rPr>
      </w:pPr>
      <w:r w:rsidRPr="003D4046">
        <w:rPr>
          <w:rFonts w:ascii="Garamond" w:hAnsi="Garamond"/>
          <w:sz w:val="22"/>
          <w:szCs w:val="22"/>
        </w:rPr>
        <w:fldChar w:fldCharType="begin" w:fldLock="1"/>
      </w:r>
      <w:r w:rsidRPr="003D4046">
        <w:rPr>
          <w:rFonts w:ascii="Garamond" w:hAnsi="Garamond"/>
          <w:sz w:val="22"/>
          <w:szCs w:val="22"/>
        </w:rPr>
        <w:instrText xml:space="preserve">ADDIN Mendeley Bibliography CSL_BIBLIOGRAPHY </w:instrText>
      </w:r>
      <w:r w:rsidRPr="003D4046">
        <w:rPr>
          <w:rFonts w:ascii="Garamond" w:hAnsi="Garamond"/>
          <w:sz w:val="22"/>
          <w:szCs w:val="22"/>
        </w:rPr>
        <w:fldChar w:fldCharType="separate"/>
      </w:r>
      <w:r w:rsidR="00775C62" w:rsidRPr="00775C62">
        <w:rPr>
          <w:rFonts w:ascii="Garamond" w:hAnsi="Garamond" w:cs="Times New Roman"/>
          <w:noProof/>
          <w:sz w:val="22"/>
          <w:lang w:val="en-US"/>
        </w:rPr>
        <w:t xml:space="preserve">1 </w:t>
      </w:r>
      <w:r w:rsidR="00775C62" w:rsidRPr="00775C62">
        <w:rPr>
          <w:rFonts w:ascii="Garamond" w:hAnsi="Garamond" w:cs="Times New Roman"/>
          <w:noProof/>
          <w:sz w:val="22"/>
          <w:lang w:val="en-US"/>
        </w:rPr>
        <w:tab/>
        <w:t xml:space="preserve">NHS England. Bed Availability and Occupancy Data – Overnight. </w:t>
      </w:r>
    </w:p>
    <w:p w14:paraId="2BCE4AC5" w14:textId="77777777" w:rsidR="00775C62" w:rsidRPr="00775C62" w:rsidRDefault="00775C62" w:rsidP="00775C62">
      <w:pPr>
        <w:widowControl w:val="0"/>
        <w:autoSpaceDE w:val="0"/>
        <w:autoSpaceDN w:val="0"/>
        <w:adjustRightInd w:val="0"/>
        <w:spacing w:line="480" w:lineRule="auto"/>
        <w:ind w:left="640" w:hanging="640"/>
        <w:rPr>
          <w:rFonts w:ascii="Garamond" w:hAnsi="Garamond" w:cs="Times New Roman"/>
          <w:noProof/>
          <w:sz w:val="22"/>
          <w:lang w:val="en-US"/>
        </w:rPr>
      </w:pPr>
      <w:r w:rsidRPr="00775C62">
        <w:rPr>
          <w:rFonts w:ascii="Garamond" w:hAnsi="Garamond" w:cs="Times New Roman"/>
          <w:noProof/>
          <w:sz w:val="22"/>
          <w:lang w:val="en-US"/>
        </w:rPr>
        <w:t xml:space="preserve">2 </w:t>
      </w:r>
      <w:r w:rsidRPr="00775C62">
        <w:rPr>
          <w:rFonts w:ascii="Garamond" w:hAnsi="Garamond" w:cs="Times New Roman"/>
          <w:noProof/>
          <w:sz w:val="22"/>
          <w:lang w:val="en-US"/>
        </w:rPr>
        <w:tab/>
        <w:t xml:space="preserve">Imison C, Curry N, Holder H, </w:t>
      </w:r>
      <w:r w:rsidRPr="00775C62">
        <w:rPr>
          <w:rFonts w:ascii="Garamond" w:hAnsi="Garamond" w:cs="Times New Roman"/>
          <w:i/>
          <w:iCs/>
          <w:noProof/>
          <w:sz w:val="22"/>
          <w:lang w:val="en-US"/>
        </w:rPr>
        <w:t>et al.</w:t>
      </w:r>
      <w:r w:rsidRPr="00775C62">
        <w:rPr>
          <w:rFonts w:ascii="Garamond" w:hAnsi="Garamond" w:cs="Times New Roman"/>
          <w:noProof/>
          <w:sz w:val="22"/>
          <w:lang w:val="en-US"/>
        </w:rPr>
        <w:t xml:space="preserve"> Shifting the Balance of Care. 2017.</w:t>
      </w:r>
    </w:p>
    <w:p w14:paraId="24173139" w14:textId="6B812C92" w:rsidR="00775C62" w:rsidRPr="00775C62" w:rsidRDefault="00775C62" w:rsidP="00775C62">
      <w:pPr>
        <w:widowControl w:val="0"/>
        <w:autoSpaceDE w:val="0"/>
        <w:autoSpaceDN w:val="0"/>
        <w:adjustRightInd w:val="0"/>
        <w:spacing w:line="480" w:lineRule="auto"/>
        <w:ind w:left="640" w:hanging="640"/>
        <w:rPr>
          <w:rFonts w:ascii="Garamond" w:hAnsi="Garamond" w:cs="Times New Roman"/>
          <w:noProof/>
          <w:sz w:val="22"/>
          <w:lang w:val="en-US"/>
        </w:rPr>
      </w:pPr>
      <w:r w:rsidRPr="00775C62">
        <w:rPr>
          <w:rFonts w:ascii="Garamond" w:hAnsi="Garamond" w:cs="Times New Roman"/>
          <w:noProof/>
          <w:sz w:val="22"/>
          <w:lang w:val="en-US"/>
        </w:rPr>
        <w:t xml:space="preserve">3 </w:t>
      </w:r>
      <w:r w:rsidRPr="00775C62">
        <w:rPr>
          <w:rFonts w:ascii="Garamond" w:hAnsi="Garamond" w:cs="Times New Roman"/>
          <w:noProof/>
          <w:sz w:val="22"/>
          <w:lang w:val="en-US"/>
        </w:rPr>
        <w:tab/>
        <w:t>Secondary Care Analysis Team (NHS Digital). Hospital Admitted Patient Care Activity: 2015-16. Published Online First: 2016. doi:978-1-78386-862-9</w:t>
      </w:r>
    </w:p>
    <w:p w14:paraId="28C82064" w14:textId="77777777" w:rsidR="00775C62" w:rsidRPr="00775C62" w:rsidRDefault="00775C62" w:rsidP="00775C62">
      <w:pPr>
        <w:widowControl w:val="0"/>
        <w:autoSpaceDE w:val="0"/>
        <w:autoSpaceDN w:val="0"/>
        <w:adjustRightInd w:val="0"/>
        <w:spacing w:line="480" w:lineRule="auto"/>
        <w:ind w:left="640" w:hanging="640"/>
        <w:rPr>
          <w:rFonts w:ascii="Garamond" w:hAnsi="Garamond" w:cs="Times New Roman"/>
          <w:noProof/>
          <w:sz w:val="22"/>
          <w:lang w:val="en-US"/>
        </w:rPr>
      </w:pPr>
      <w:r w:rsidRPr="00775C62">
        <w:rPr>
          <w:rFonts w:ascii="Garamond" w:hAnsi="Garamond" w:cs="Times New Roman"/>
          <w:noProof/>
          <w:sz w:val="22"/>
          <w:lang w:val="en-US"/>
        </w:rPr>
        <w:t xml:space="preserve">4 </w:t>
      </w:r>
      <w:r w:rsidRPr="00775C62">
        <w:rPr>
          <w:rFonts w:ascii="Garamond" w:hAnsi="Garamond" w:cs="Times New Roman"/>
          <w:noProof/>
          <w:sz w:val="22"/>
          <w:lang w:val="en-US"/>
        </w:rPr>
        <w:tab/>
        <w:t xml:space="preserve">Nuffield Trust. Average daily number of overnight beds available and occupied in England. </w:t>
      </w:r>
    </w:p>
    <w:p w14:paraId="208F5726" w14:textId="77777777" w:rsidR="00775C62" w:rsidRPr="00775C62" w:rsidRDefault="00775C62" w:rsidP="00775C62">
      <w:pPr>
        <w:widowControl w:val="0"/>
        <w:autoSpaceDE w:val="0"/>
        <w:autoSpaceDN w:val="0"/>
        <w:adjustRightInd w:val="0"/>
        <w:spacing w:line="480" w:lineRule="auto"/>
        <w:ind w:left="640" w:hanging="640"/>
        <w:rPr>
          <w:rFonts w:ascii="Garamond" w:hAnsi="Garamond" w:cs="Times New Roman"/>
          <w:noProof/>
          <w:sz w:val="22"/>
          <w:lang w:val="en-US"/>
        </w:rPr>
      </w:pPr>
      <w:r w:rsidRPr="00775C62">
        <w:rPr>
          <w:rFonts w:ascii="Garamond" w:hAnsi="Garamond" w:cs="Times New Roman"/>
          <w:noProof/>
          <w:sz w:val="22"/>
          <w:lang w:val="en-US"/>
        </w:rPr>
        <w:t xml:space="preserve">5 </w:t>
      </w:r>
      <w:r w:rsidRPr="00775C62">
        <w:rPr>
          <w:rFonts w:ascii="Garamond" w:hAnsi="Garamond" w:cs="Times New Roman"/>
          <w:noProof/>
          <w:sz w:val="22"/>
          <w:lang w:val="en-US"/>
        </w:rPr>
        <w:tab/>
        <w:t xml:space="preserve">Office for National Statistics. Population Estimates for UK, England and Wales, Scotland and Northern Ireland, Mid-2001 to Mid-2010 Revised. 2017. </w:t>
      </w:r>
    </w:p>
    <w:p w14:paraId="360F16D6" w14:textId="77777777" w:rsidR="00775C62" w:rsidRPr="00775C62" w:rsidRDefault="00775C62" w:rsidP="00775C62">
      <w:pPr>
        <w:widowControl w:val="0"/>
        <w:autoSpaceDE w:val="0"/>
        <w:autoSpaceDN w:val="0"/>
        <w:adjustRightInd w:val="0"/>
        <w:spacing w:line="480" w:lineRule="auto"/>
        <w:ind w:left="640" w:hanging="640"/>
        <w:rPr>
          <w:rFonts w:ascii="Garamond" w:hAnsi="Garamond" w:cs="Times New Roman"/>
          <w:noProof/>
          <w:sz w:val="22"/>
          <w:lang w:val="en-US"/>
        </w:rPr>
      </w:pPr>
      <w:r w:rsidRPr="00775C62">
        <w:rPr>
          <w:rFonts w:ascii="Garamond" w:hAnsi="Garamond" w:cs="Times New Roman"/>
          <w:noProof/>
          <w:sz w:val="22"/>
          <w:lang w:val="en-US"/>
        </w:rPr>
        <w:t xml:space="preserve">6 </w:t>
      </w:r>
      <w:r w:rsidRPr="00775C62">
        <w:rPr>
          <w:rFonts w:ascii="Garamond" w:hAnsi="Garamond" w:cs="Times New Roman"/>
          <w:noProof/>
          <w:sz w:val="22"/>
          <w:lang w:val="en-US"/>
        </w:rPr>
        <w:tab/>
        <w:t xml:space="preserve">OECD. Health at a Glance 2015. Paris: 2015. </w:t>
      </w:r>
    </w:p>
    <w:p w14:paraId="7BEBD4E6" w14:textId="77777777" w:rsidR="00775C62" w:rsidRPr="00775C62" w:rsidRDefault="00775C62" w:rsidP="00775C62">
      <w:pPr>
        <w:widowControl w:val="0"/>
        <w:autoSpaceDE w:val="0"/>
        <w:autoSpaceDN w:val="0"/>
        <w:adjustRightInd w:val="0"/>
        <w:spacing w:line="480" w:lineRule="auto"/>
        <w:ind w:left="640" w:hanging="640"/>
        <w:rPr>
          <w:rFonts w:ascii="Garamond" w:hAnsi="Garamond" w:cs="Times New Roman"/>
          <w:noProof/>
          <w:sz w:val="22"/>
          <w:lang w:val="en-US"/>
        </w:rPr>
      </w:pPr>
      <w:r w:rsidRPr="00775C62">
        <w:rPr>
          <w:rFonts w:ascii="Garamond" w:hAnsi="Garamond" w:cs="Times New Roman"/>
          <w:noProof/>
          <w:sz w:val="22"/>
          <w:lang w:val="en-US"/>
        </w:rPr>
        <w:t xml:space="preserve">7 </w:t>
      </w:r>
      <w:r w:rsidRPr="00775C62">
        <w:rPr>
          <w:rFonts w:ascii="Garamond" w:hAnsi="Garamond" w:cs="Times New Roman"/>
          <w:noProof/>
          <w:sz w:val="22"/>
          <w:lang w:val="en-US"/>
        </w:rPr>
        <w:tab/>
        <w:t xml:space="preserve">British Medical Association. State of the health system Beds in the NHS: England. London, England: 2017. </w:t>
      </w:r>
    </w:p>
    <w:p w14:paraId="21536E7F" w14:textId="77777777" w:rsidR="00775C62" w:rsidRPr="00775C62" w:rsidRDefault="00775C62" w:rsidP="00775C62">
      <w:pPr>
        <w:widowControl w:val="0"/>
        <w:autoSpaceDE w:val="0"/>
        <w:autoSpaceDN w:val="0"/>
        <w:adjustRightInd w:val="0"/>
        <w:spacing w:line="480" w:lineRule="auto"/>
        <w:ind w:left="640" w:hanging="640"/>
        <w:rPr>
          <w:rFonts w:ascii="Garamond" w:hAnsi="Garamond" w:cs="Times New Roman"/>
          <w:noProof/>
          <w:sz w:val="22"/>
          <w:lang w:val="en-US"/>
        </w:rPr>
      </w:pPr>
      <w:r w:rsidRPr="00775C62">
        <w:rPr>
          <w:rFonts w:ascii="Garamond" w:hAnsi="Garamond" w:cs="Times New Roman"/>
          <w:noProof/>
          <w:sz w:val="22"/>
          <w:lang w:val="en-US"/>
        </w:rPr>
        <w:t xml:space="preserve">8 </w:t>
      </w:r>
      <w:r w:rsidRPr="00775C62">
        <w:rPr>
          <w:rFonts w:ascii="Garamond" w:hAnsi="Garamond" w:cs="Times New Roman"/>
          <w:noProof/>
          <w:sz w:val="22"/>
          <w:lang w:val="en-US"/>
        </w:rPr>
        <w:tab/>
        <w:t xml:space="preserve">Weissman JS, Rothschild JM, Bendavid E, </w:t>
      </w:r>
      <w:r w:rsidRPr="00775C62">
        <w:rPr>
          <w:rFonts w:ascii="Garamond" w:hAnsi="Garamond" w:cs="Times New Roman"/>
          <w:i/>
          <w:iCs/>
          <w:noProof/>
          <w:sz w:val="22"/>
          <w:lang w:val="en-US"/>
        </w:rPr>
        <w:t>et al.</w:t>
      </w:r>
      <w:r w:rsidRPr="00775C62">
        <w:rPr>
          <w:rFonts w:ascii="Garamond" w:hAnsi="Garamond" w:cs="Times New Roman"/>
          <w:noProof/>
          <w:sz w:val="22"/>
          <w:lang w:val="en-US"/>
        </w:rPr>
        <w:t xml:space="preserve"> Hospital workload and adverse events. </w:t>
      </w:r>
      <w:r w:rsidRPr="00775C62">
        <w:rPr>
          <w:rFonts w:ascii="Garamond" w:hAnsi="Garamond" w:cs="Times New Roman"/>
          <w:i/>
          <w:iCs/>
          <w:noProof/>
          <w:sz w:val="22"/>
          <w:lang w:val="en-US"/>
        </w:rPr>
        <w:t>Med Care</w:t>
      </w:r>
      <w:r w:rsidRPr="00775C62">
        <w:rPr>
          <w:rFonts w:ascii="Garamond" w:hAnsi="Garamond" w:cs="Times New Roman"/>
          <w:noProof/>
          <w:sz w:val="22"/>
          <w:lang w:val="en-US"/>
        </w:rPr>
        <w:t xml:space="preserve"> 2007;</w:t>
      </w:r>
      <w:r w:rsidRPr="00775C62">
        <w:rPr>
          <w:rFonts w:ascii="Garamond" w:hAnsi="Garamond" w:cs="Times New Roman"/>
          <w:b/>
          <w:bCs/>
          <w:noProof/>
          <w:sz w:val="22"/>
          <w:lang w:val="en-US"/>
        </w:rPr>
        <w:t>45</w:t>
      </w:r>
      <w:r w:rsidRPr="00775C62">
        <w:rPr>
          <w:rFonts w:ascii="Garamond" w:hAnsi="Garamond" w:cs="Times New Roman"/>
          <w:noProof/>
          <w:sz w:val="22"/>
          <w:lang w:val="en-US"/>
        </w:rPr>
        <w:t>:448–55. doi:10.1097/01.mlr.0000257231.86368.09</w:t>
      </w:r>
    </w:p>
    <w:p w14:paraId="18C2CA31" w14:textId="77777777" w:rsidR="00775C62" w:rsidRPr="00775C62" w:rsidRDefault="00775C62" w:rsidP="00775C62">
      <w:pPr>
        <w:widowControl w:val="0"/>
        <w:autoSpaceDE w:val="0"/>
        <w:autoSpaceDN w:val="0"/>
        <w:adjustRightInd w:val="0"/>
        <w:spacing w:line="480" w:lineRule="auto"/>
        <w:ind w:left="640" w:hanging="640"/>
        <w:rPr>
          <w:rFonts w:ascii="Garamond" w:hAnsi="Garamond" w:cs="Times New Roman"/>
          <w:noProof/>
          <w:sz w:val="22"/>
          <w:lang w:val="en-US"/>
        </w:rPr>
      </w:pPr>
      <w:r w:rsidRPr="00775C62">
        <w:rPr>
          <w:rFonts w:ascii="Garamond" w:hAnsi="Garamond" w:cs="Times New Roman"/>
          <w:noProof/>
          <w:sz w:val="22"/>
          <w:lang w:val="en-US"/>
        </w:rPr>
        <w:lastRenderedPageBreak/>
        <w:t xml:space="preserve">9 </w:t>
      </w:r>
      <w:r w:rsidRPr="00775C62">
        <w:rPr>
          <w:rFonts w:ascii="Garamond" w:hAnsi="Garamond" w:cs="Times New Roman"/>
          <w:noProof/>
          <w:sz w:val="22"/>
          <w:lang w:val="en-US"/>
        </w:rPr>
        <w:tab/>
        <w:t xml:space="preserve">Ball JE, Murrells T, Rafferty AM, </w:t>
      </w:r>
      <w:r w:rsidRPr="00775C62">
        <w:rPr>
          <w:rFonts w:ascii="Garamond" w:hAnsi="Garamond" w:cs="Times New Roman"/>
          <w:i/>
          <w:iCs/>
          <w:noProof/>
          <w:sz w:val="22"/>
          <w:lang w:val="en-US"/>
        </w:rPr>
        <w:t>et al.</w:t>
      </w:r>
      <w:r w:rsidRPr="00775C62">
        <w:rPr>
          <w:rFonts w:ascii="Garamond" w:hAnsi="Garamond" w:cs="Times New Roman"/>
          <w:noProof/>
          <w:sz w:val="22"/>
          <w:lang w:val="en-US"/>
        </w:rPr>
        <w:t xml:space="preserve"> ‘Care left undone’ during nursing shifts: associations with workload and perceived quality of care. </w:t>
      </w:r>
      <w:r w:rsidRPr="00775C62">
        <w:rPr>
          <w:rFonts w:ascii="Garamond" w:hAnsi="Garamond" w:cs="Times New Roman"/>
          <w:i/>
          <w:iCs/>
          <w:noProof/>
          <w:sz w:val="22"/>
          <w:lang w:val="en-US"/>
        </w:rPr>
        <w:t>BMJ Qual Saf</w:t>
      </w:r>
      <w:r w:rsidRPr="00775C62">
        <w:rPr>
          <w:rFonts w:ascii="Garamond" w:hAnsi="Garamond" w:cs="Times New Roman"/>
          <w:noProof/>
          <w:sz w:val="22"/>
          <w:lang w:val="en-US"/>
        </w:rPr>
        <w:t xml:space="preserve"> 2014;</w:t>
      </w:r>
      <w:r w:rsidRPr="00775C62">
        <w:rPr>
          <w:rFonts w:ascii="Garamond" w:hAnsi="Garamond" w:cs="Times New Roman"/>
          <w:b/>
          <w:bCs/>
          <w:noProof/>
          <w:sz w:val="22"/>
          <w:lang w:val="en-US"/>
        </w:rPr>
        <w:t>23</w:t>
      </w:r>
      <w:r w:rsidRPr="00775C62">
        <w:rPr>
          <w:rFonts w:ascii="Garamond" w:hAnsi="Garamond" w:cs="Times New Roman"/>
          <w:noProof/>
          <w:sz w:val="22"/>
          <w:lang w:val="en-US"/>
        </w:rPr>
        <w:t>:116–25. doi:10.1136/bmjqs-2012-001767</w:t>
      </w:r>
    </w:p>
    <w:p w14:paraId="03D37B4B" w14:textId="77777777" w:rsidR="00775C62" w:rsidRPr="00775C62" w:rsidRDefault="00775C62" w:rsidP="00775C62">
      <w:pPr>
        <w:widowControl w:val="0"/>
        <w:autoSpaceDE w:val="0"/>
        <w:autoSpaceDN w:val="0"/>
        <w:adjustRightInd w:val="0"/>
        <w:spacing w:line="480" w:lineRule="auto"/>
        <w:ind w:left="640" w:hanging="640"/>
        <w:rPr>
          <w:rFonts w:ascii="Garamond" w:hAnsi="Garamond" w:cs="Times New Roman"/>
          <w:noProof/>
          <w:sz w:val="22"/>
          <w:lang w:val="en-US"/>
        </w:rPr>
      </w:pPr>
      <w:r w:rsidRPr="00775C62">
        <w:rPr>
          <w:rFonts w:ascii="Garamond" w:hAnsi="Garamond" w:cs="Times New Roman"/>
          <w:noProof/>
          <w:sz w:val="22"/>
          <w:lang w:val="en-US"/>
        </w:rPr>
        <w:t xml:space="preserve">10 </w:t>
      </w:r>
      <w:r w:rsidRPr="00775C62">
        <w:rPr>
          <w:rFonts w:ascii="Garamond" w:hAnsi="Garamond" w:cs="Times New Roman"/>
          <w:noProof/>
          <w:sz w:val="22"/>
          <w:lang w:val="en-US"/>
        </w:rPr>
        <w:tab/>
        <w:t xml:space="preserve">Reader TW, Gillespie A. Patient neglect in healthcare institutions: a systematic review and conceptual model. </w:t>
      </w:r>
      <w:r w:rsidRPr="00775C62">
        <w:rPr>
          <w:rFonts w:ascii="Garamond" w:hAnsi="Garamond" w:cs="Times New Roman"/>
          <w:i/>
          <w:iCs/>
          <w:noProof/>
          <w:sz w:val="22"/>
          <w:lang w:val="en-US"/>
        </w:rPr>
        <w:t>BMC Health Serv Res</w:t>
      </w:r>
      <w:r w:rsidRPr="00775C62">
        <w:rPr>
          <w:rFonts w:ascii="Garamond" w:hAnsi="Garamond" w:cs="Times New Roman"/>
          <w:noProof/>
          <w:sz w:val="22"/>
          <w:lang w:val="en-US"/>
        </w:rPr>
        <w:t xml:space="preserve"> 2013;</w:t>
      </w:r>
      <w:r w:rsidRPr="00775C62">
        <w:rPr>
          <w:rFonts w:ascii="Garamond" w:hAnsi="Garamond" w:cs="Times New Roman"/>
          <w:b/>
          <w:bCs/>
          <w:noProof/>
          <w:sz w:val="22"/>
          <w:lang w:val="en-US"/>
        </w:rPr>
        <w:t>13</w:t>
      </w:r>
      <w:r w:rsidRPr="00775C62">
        <w:rPr>
          <w:rFonts w:ascii="Garamond" w:hAnsi="Garamond" w:cs="Times New Roman"/>
          <w:noProof/>
          <w:sz w:val="22"/>
          <w:lang w:val="en-US"/>
        </w:rPr>
        <w:t>:156. doi:10.1186/1472-6963-13-156</w:t>
      </w:r>
    </w:p>
    <w:p w14:paraId="632D9647" w14:textId="77777777" w:rsidR="00775C62" w:rsidRPr="00775C62" w:rsidRDefault="00775C62" w:rsidP="00775C62">
      <w:pPr>
        <w:widowControl w:val="0"/>
        <w:autoSpaceDE w:val="0"/>
        <w:autoSpaceDN w:val="0"/>
        <w:adjustRightInd w:val="0"/>
        <w:spacing w:line="480" w:lineRule="auto"/>
        <w:ind w:left="640" w:hanging="640"/>
        <w:rPr>
          <w:rFonts w:ascii="Garamond" w:hAnsi="Garamond" w:cs="Times New Roman"/>
          <w:noProof/>
          <w:sz w:val="22"/>
          <w:lang w:val="en-US"/>
        </w:rPr>
      </w:pPr>
      <w:r w:rsidRPr="00775C62">
        <w:rPr>
          <w:rFonts w:ascii="Garamond" w:hAnsi="Garamond" w:cs="Times New Roman"/>
          <w:noProof/>
          <w:sz w:val="22"/>
          <w:lang w:val="en-US"/>
        </w:rPr>
        <w:t xml:space="preserve">11 </w:t>
      </w:r>
      <w:r w:rsidRPr="00775C62">
        <w:rPr>
          <w:rFonts w:ascii="Garamond" w:hAnsi="Garamond" w:cs="Times New Roman"/>
          <w:noProof/>
          <w:sz w:val="22"/>
          <w:lang w:val="en-US"/>
        </w:rPr>
        <w:tab/>
        <w:t xml:space="preserve">Harrison G, Zeitz K, Adams R, </w:t>
      </w:r>
      <w:r w:rsidRPr="00775C62">
        <w:rPr>
          <w:rFonts w:ascii="Garamond" w:hAnsi="Garamond" w:cs="Times New Roman"/>
          <w:i/>
          <w:iCs/>
          <w:noProof/>
          <w:sz w:val="22"/>
          <w:lang w:val="en-US"/>
        </w:rPr>
        <w:t>et al.</w:t>
      </w:r>
      <w:r w:rsidRPr="00775C62">
        <w:rPr>
          <w:rFonts w:ascii="Garamond" w:hAnsi="Garamond" w:cs="Times New Roman"/>
          <w:noProof/>
          <w:sz w:val="22"/>
          <w:lang w:val="en-US"/>
        </w:rPr>
        <w:t xml:space="preserve"> Does hospital occupancy impact discharge rates? </w:t>
      </w:r>
      <w:r w:rsidRPr="00775C62">
        <w:rPr>
          <w:rFonts w:ascii="Garamond" w:hAnsi="Garamond" w:cs="Times New Roman"/>
          <w:i/>
          <w:iCs/>
          <w:noProof/>
          <w:sz w:val="22"/>
          <w:lang w:val="en-US"/>
        </w:rPr>
        <w:t>Aust Heal Rev</w:t>
      </w:r>
      <w:r w:rsidRPr="00775C62">
        <w:rPr>
          <w:rFonts w:ascii="Garamond" w:hAnsi="Garamond" w:cs="Times New Roman"/>
          <w:noProof/>
          <w:sz w:val="22"/>
          <w:lang w:val="en-US"/>
        </w:rPr>
        <w:t xml:space="preserve"> 2013;</w:t>
      </w:r>
      <w:r w:rsidRPr="00775C62">
        <w:rPr>
          <w:rFonts w:ascii="Garamond" w:hAnsi="Garamond" w:cs="Times New Roman"/>
          <w:b/>
          <w:bCs/>
          <w:noProof/>
          <w:sz w:val="22"/>
          <w:lang w:val="en-US"/>
        </w:rPr>
        <w:t>37</w:t>
      </w:r>
      <w:r w:rsidRPr="00775C62">
        <w:rPr>
          <w:rFonts w:ascii="Garamond" w:hAnsi="Garamond" w:cs="Times New Roman"/>
          <w:noProof/>
          <w:sz w:val="22"/>
          <w:lang w:val="en-US"/>
        </w:rPr>
        <w:t>:458–66. doi:https://doi.org/10.1071/AH12012</w:t>
      </w:r>
    </w:p>
    <w:p w14:paraId="66EB1E2C" w14:textId="77777777" w:rsidR="00775C62" w:rsidRPr="00775C62" w:rsidRDefault="00775C62" w:rsidP="00775C62">
      <w:pPr>
        <w:widowControl w:val="0"/>
        <w:autoSpaceDE w:val="0"/>
        <w:autoSpaceDN w:val="0"/>
        <w:adjustRightInd w:val="0"/>
        <w:spacing w:line="480" w:lineRule="auto"/>
        <w:ind w:left="640" w:hanging="640"/>
        <w:rPr>
          <w:rFonts w:ascii="Garamond" w:hAnsi="Garamond" w:cs="Times New Roman"/>
          <w:noProof/>
          <w:sz w:val="22"/>
          <w:lang w:val="en-US"/>
        </w:rPr>
      </w:pPr>
      <w:r w:rsidRPr="00775C62">
        <w:rPr>
          <w:rFonts w:ascii="Garamond" w:hAnsi="Garamond" w:cs="Times New Roman"/>
          <w:noProof/>
          <w:sz w:val="22"/>
          <w:lang w:val="en-US"/>
        </w:rPr>
        <w:t xml:space="preserve">12 </w:t>
      </w:r>
      <w:r w:rsidRPr="00775C62">
        <w:rPr>
          <w:rFonts w:ascii="Garamond" w:hAnsi="Garamond" w:cs="Times New Roman"/>
          <w:noProof/>
          <w:sz w:val="22"/>
          <w:lang w:val="en-US"/>
        </w:rPr>
        <w:tab/>
        <w:t xml:space="preserve">Parliamentary and Health Service Ombudsman. A report of investigations into unsafe discharge from hospital. London, England: 2016. </w:t>
      </w:r>
    </w:p>
    <w:p w14:paraId="64F16BE7" w14:textId="77777777" w:rsidR="00775C62" w:rsidRPr="00775C62" w:rsidRDefault="00775C62" w:rsidP="00775C62">
      <w:pPr>
        <w:widowControl w:val="0"/>
        <w:autoSpaceDE w:val="0"/>
        <w:autoSpaceDN w:val="0"/>
        <w:adjustRightInd w:val="0"/>
        <w:spacing w:line="480" w:lineRule="auto"/>
        <w:ind w:left="640" w:hanging="640"/>
        <w:rPr>
          <w:rFonts w:ascii="Garamond" w:hAnsi="Garamond" w:cs="Times New Roman"/>
          <w:noProof/>
          <w:sz w:val="22"/>
          <w:lang w:val="en-US"/>
        </w:rPr>
      </w:pPr>
      <w:r w:rsidRPr="00775C62">
        <w:rPr>
          <w:rFonts w:ascii="Garamond" w:hAnsi="Garamond" w:cs="Times New Roman"/>
          <w:noProof/>
          <w:sz w:val="22"/>
          <w:lang w:val="en-US"/>
        </w:rPr>
        <w:t xml:space="preserve">13 </w:t>
      </w:r>
      <w:r w:rsidRPr="00775C62">
        <w:rPr>
          <w:rFonts w:ascii="Garamond" w:hAnsi="Garamond" w:cs="Times New Roman"/>
          <w:noProof/>
          <w:sz w:val="22"/>
          <w:lang w:val="en-US"/>
        </w:rPr>
        <w:tab/>
        <w:t xml:space="preserve">Cunningham JB, Kernohan WG, Rush T. Bed occupancy, turnover intervals and MRSA rates in English hospitals. </w:t>
      </w:r>
      <w:r w:rsidRPr="00775C62">
        <w:rPr>
          <w:rFonts w:ascii="Garamond" w:hAnsi="Garamond" w:cs="Times New Roman"/>
          <w:i/>
          <w:iCs/>
          <w:noProof/>
          <w:sz w:val="22"/>
          <w:lang w:val="en-US"/>
        </w:rPr>
        <w:t>Br J Nurs</w:t>
      </w:r>
      <w:r w:rsidRPr="00775C62">
        <w:rPr>
          <w:rFonts w:ascii="Garamond" w:hAnsi="Garamond" w:cs="Times New Roman"/>
          <w:noProof/>
          <w:sz w:val="22"/>
          <w:lang w:val="en-US"/>
        </w:rPr>
        <w:t xml:space="preserve"> 2006;</w:t>
      </w:r>
      <w:r w:rsidRPr="00775C62">
        <w:rPr>
          <w:rFonts w:ascii="Garamond" w:hAnsi="Garamond" w:cs="Times New Roman"/>
          <w:b/>
          <w:bCs/>
          <w:noProof/>
          <w:sz w:val="22"/>
          <w:lang w:val="en-US"/>
        </w:rPr>
        <w:t>15</w:t>
      </w:r>
      <w:r w:rsidRPr="00775C62">
        <w:rPr>
          <w:rFonts w:ascii="Garamond" w:hAnsi="Garamond" w:cs="Times New Roman"/>
          <w:noProof/>
          <w:sz w:val="22"/>
          <w:lang w:val="en-US"/>
        </w:rPr>
        <w:t>:656–60. doi:10.12968/bjon.2006.15.12.21398</w:t>
      </w:r>
    </w:p>
    <w:p w14:paraId="1CC568AB" w14:textId="77777777" w:rsidR="00775C62" w:rsidRPr="00775C62" w:rsidRDefault="00775C62" w:rsidP="00775C62">
      <w:pPr>
        <w:widowControl w:val="0"/>
        <w:autoSpaceDE w:val="0"/>
        <w:autoSpaceDN w:val="0"/>
        <w:adjustRightInd w:val="0"/>
        <w:spacing w:line="480" w:lineRule="auto"/>
        <w:ind w:left="640" w:hanging="640"/>
        <w:rPr>
          <w:rFonts w:ascii="Garamond" w:hAnsi="Garamond" w:cs="Times New Roman"/>
          <w:noProof/>
          <w:sz w:val="22"/>
          <w:lang w:val="en-US"/>
        </w:rPr>
      </w:pPr>
      <w:r w:rsidRPr="00775C62">
        <w:rPr>
          <w:rFonts w:ascii="Garamond" w:hAnsi="Garamond" w:cs="Times New Roman"/>
          <w:noProof/>
          <w:sz w:val="22"/>
          <w:lang w:val="en-US"/>
        </w:rPr>
        <w:t xml:space="preserve">14 </w:t>
      </w:r>
      <w:r w:rsidRPr="00775C62">
        <w:rPr>
          <w:rFonts w:ascii="Garamond" w:hAnsi="Garamond" w:cs="Times New Roman"/>
          <w:noProof/>
          <w:sz w:val="22"/>
          <w:lang w:val="en-US"/>
        </w:rPr>
        <w:tab/>
        <w:t xml:space="preserve">Kaier K, Mutters NT, Frank U. Bed occupancy rates and hospital-acquired infections-should beds be kept empty? </w:t>
      </w:r>
      <w:r w:rsidRPr="00775C62">
        <w:rPr>
          <w:rFonts w:ascii="Garamond" w:hAnsi="Garamond" w:cs="Times New Roman"/>
          <w:i/>
          <w:iCs/>
          <w:noProof/>
          <w:sz w:val="22"/>
          <w:lang w:val="en-US"/>
        </w:rPr>
        <w:t>Clin Microbiol Infect</w:t>
      </w:r>
      <w:r w:rsidRPr="00775C62">
        <w:rPr>
          <w:rFonts w:ascii="Garamond" w:hAnsi="Garamond" w:cs="Times New Roman"/>
          <w:noProof/>
          <w:sz w:val="22"/>
          <w:lang w:val="en-US"/>
        </w:rPr>
        <w:t xml:space="preserve"> 2012;</w:t>
      </w:r>
      <w:r w:rsidRPr="00775C62">
        <w:rPr>
          <w:rFonts w:ascii="Garamond" w:hAnsi="Garamond" w:cs="Times New Roman"/>
          <w:b/>
          <w:bCs/>
          <w:noProof/>
          <w:sz w:val="22"/>
          <w:lang w:val="en-US"/>
        </w:rPr>
        <w:t>18</w:t>
      </w:r>
      <w:r w:rsidRPr="00775C62">
        <w:rPr>
          <w:rFonts w:ascii="Garamond" w:hAnsi="Garamond" w:cs="Times New Roman"/>
          <w:noProof/>
          <w:sz w:val="22"/>
          <w:lang w:val="en-US"/>
        </w:rPr>
        <w:t>:941–5. doi:10.1111/j.1469-0691.2012.03956.x</w:t>
      </w:r>
    </w:p>
    <w:p w14:paraId="5C4D233D" w14:textId="77777777" w:rsidR="00775C62" w:rsidRPr="00775C62" w:rsidRDefault="00775C62" w:rsidP="00775C62">
      <w:pPr>
        <w:widowControl w:val="0"/>
        <w:autoSpaceDE w:val="0"/>
        <w:autoSpaceDN w:val="0"/>
        <w:adjustRightInd w:val="0"/>
        <w:spacing w:line="480" w:lineRule="auto"/>
        <w:ind w:left="640" w:hanging="640"/>
        <w:rPr>
          <w:rFonts w:ascii="Garamond" w:hAnsi="Garamond" w:cs="Times New Roman"/>
          <w:noProof/>
          <w:sz w:val="22"/>
          <w:lang w:val="en-US"/>
        </w:rPr>
      </w:pPr>
      <w:r w:rsidRPr="00775C62">
        <w:rPr>
          <w:rFonts w:ascii="Garamond" w:hAnsi="Garamond" w:cs="Times New Roman"/>
          <w:noProof/>
          <w:sz w:val="22"/>
          <w:lang w:val="en-US"/>
        </w:rPr>
        <w:t xml:space="preserve">15 </w:t>
      </w:r>
      <w:r w:rsidRPr="00775C62">
        <w:rPr>
          <w:rFonts w:ascii="Garamond" w:hAnsi="Garamond" w:cs="Times New Roman"/>
          <w:noProof/>
          <w:sz w:val="22"/>
          <w:lang w:val="en-US"/>
        </w:rPr>
        <w:tab/>
        <w:t xml:space="preserve">Vella V, Aylin P, Moore L, </w:t>
      </w:r>
      <w:r w:rsidRPr="00775C62">
        <w:rPr>
          <w:rFonts w:ascii="Garamond" w:hAnsi="Garamond" w:cs="Times New Roman"/>
          <w:i/>
          <w:iCs/>
          <w:noProof/>
          <w:sz w:val="22"/>
          <w:lang w:val="en-US"/>
        </w:rPr>
        <w:t>et al.</w:t>
      </w:r>
      <w:r w:rsidRPr="00775C62">
        <w:rPr>
          <w:rFonts w:ascii="Garamond" w:hAnsi="Garamond" w:cs="Times New Roman"/>
          <w:noProof/>
          <w:sz w:val="22"/>
          <w:lang w:val="en-US"/>
        </w:rPr>
        <w:t xml:space="preserve"> Bed utilisation and increased risk of Clostridium difficile infections in acute hospitals in England in 2013/2014. </w:t>
      </w:r>
      <w:r w:rsidRPr="00775C62">
        <w:rPr>
          <w:rFonts w:ascii="Garamond" w:hAnsi="Garamond" w:cs="Times New Roman"/>
          <w:i/>
          <w:iCs/>
          <w:noProof/>
          <w:sz w:val="22"/>
          <w:lang w:val="en-US"/>
        </w:rPr>
        <w:t>BMJ Qual Saf</w:t>
      </w:r>
      <w:r w:rsidRPr="00775C62">
        <w:rPr>
          <w:rFonts w:ascii="Garamond" w:hAnsi="Garamond" w:cs="Times New Roman"/>
          <w:noProof/>
          <w:sz w:val="22"/>
          <w:lang w:val="en-US"/>
        </w:rPr>
        <w:t xml:space="preserve"> 2017;</w:t>
      </w:r>
      <w:r w:rsidRPr="00775C62">
        <w:rPr>
          <w:rFonts w:ascii="Garamond" w:hAnsi="Garamond" w:cs="Times New Roman"/>
          <w:b/>
          <w:bCs/>
          <w:noProof/>
          <w:sz w:val="22"/>
          <w:lang w:val="en-US"/>
        </w:rPr>
        <w:t>26</w:t>
      </w:r>
      <w:r w:rsidRPr="00775C62">
        <w:rPr>
          <w:rFonts w:ascii="Garamond" w:hAnsi="Garamond" w:cs="Times New Roman"/>
          <w:noProof/>
          <w:sz w:val="22"/>
          <w:lang w:val="en-US"/>
        </w:rPr>
        <w:t>:460–5. doi:10.1136/bmjqs-2016-005250</w:t>
      </w:r>
    </w:p>
    <w:p w14:paraId="164DC111" w14:textId="77777777" w:rsidR="00775C62" w:rsidRPr="00775C62" w:rsidRDefault="00775C62" w:rsidP="00775C62">
      <w:pPr>
        <w:widowControl w:val="0"/>
        <w:autoSpaceDE w:val="0"/>
        <w:autoSpaceDN w:val="0"/>
        <w:adjustRightInd w:val="0"/>
        <w:spacing w:line="480" w:lineRule="auto"/>
        <w:ind w:left="640" w:hanging="640"/>
        <w:rPr>
          <w:rFonts w:ascii="Garamond" w:hAnsi="Garamond" w:cs="Times New Roman"/>
          <w:noProof/>
          <w:sz w:val="22"/>
          <w:lang w:val="en-US"/>
        </w:rPr>
      </w:pPr>
      <w:r w:rsidRPr="00775C62">
        <w:rPr>
          <w:rFonts w:ascii="Garamond" w:hAnsi="Garamond" w:cs="Times New Roman"/>
          <w:noProof/>
          <w:sz w:val="22"/>
          <w:lang w:val="en-US"/>
        </w:rPr>
        <w:t xml:space="preserve">16 </w:t>
      </w:r>
      <w:r w:rsidRPr="00775C62">
        <w:rPr>
          <w:rFonts w:ascii="Garamond" w:hAnsi="Garamond" w:cs="Times New Roman"/>
          <w:noProof/>
          <w:sz w:val="22"/>
          <w:lang w:val="en-US"/>
        </w:rPr>
        <w:tab/>
        <w:t xml:space="preserve">Blom MC, Erwander K, Gustafsson L, </w:t>
      </w:r>
      <w:r w:rsidRPr="00775C62">
        <w:rPr>
          <w:rFonts w:ascii="Garamond" w:hAnsi="Garamond" w:cs="Times New Roman"/>
          <w:i/>
          <w:iCs/>
          <w:noProof/>
          <w:sz w:val="22"/>
          <w:lang w:val="en-US"/>
        </w:rPr>
        <w:t>et al.</w:t>
      </w:r>
      <w:r w:rsidRPr="00775C62">
        <w:rPr>
          <w:rFonts w:ascii="Garamond" w:hAnsi="Garamond" w:cs="Times New Roman"/>
          <w:noProof/>
          <w:sz w:val="22"/>
          <w:lang w:val="en-US"/>
        </w:rPr>
        <w:t xml:space="preserve"> The probability of readmission within 30 days of hospital discharge is positively associated with inpatient bed occupancy at discharge – a retrospective cohort study. </w:t>
      </w:r>
      <w:r w:rsidRPr="00775C62">
        <w:rPr>
          <w:rFonts w:ascii="Garamond" w:hAnsi="Garamond" w:cs="Times New Roman"/>
          <w:i/>
          <w:iCs/>
          <w:noProof/>
          <w:sz w:val="22"/>
          <w:lang w:val="en-US"/>
        </w:rPr>
        <w:t>BMC Emerg Med</w:t>
      </w:r>
      <w:r w:rsidRPr="00775C62">
        <w:rPr>
          <w:rFonts w:ascii="Garamond" w:hAnsi="Garamond" w:cs="Times New Roman"/>
          <w:noProof/>
          <w:sz w:val="22"/>
          <w:lang w:val="en-US"/>
        </w:rPr>
        <w:t xml:space="preserve"> 2015;</w:t>
      </w:r>
      <w:r w:rsidRPr="00775C62">
        <w:rPr>
          <w:rFonts w:ascii="Garamond" w:hAnsi="Garamond" w:cs="Times New Roman"/>
          <w:b/>
          <w:bCs/>
          <w:noProof/>
          <w:sz w:val="22"/>
          <w:lang w:val="en-US"/>
        </w:rPr>
        <w:t>15</w:t>
      </w:r>
      <w:r w:rsidRPr="00775C62">
        <w:rPr>
          <w:rFonts w:ascii="Garamond" w:hAnsi="Garamond" w:cs="Times New Roman"/>
          <w:noProof/>
          <w:sz w:val="22"/>
          <w:lang w:val="en-US"/>
        </w:rPr>
        <w:t>:37. doi:10.1186/s12873-015-0067-9</w:t>
      </w:r>
    </w:p>
    <w:p w14:paraId="3FF45DDA" w14:textId="77777777" w:rsidR="00775C62" w:rsidRPr="00775C62" w:rsidRDefault="00775C62" w:rsidP="00775C62">
      <w:pPr>
        <w:widowControl w:val="0"/>
        <w:autoSpaceDE w:val="0"/>
        <w:autoSpaceDN w:val="0"/>
        <w:adjustRightInd w:val="0"/>
        <w:spacing w:line="480" w:lineRule="auto"/>
        <w:ind w:left="640" w:hanging="640"/>
        <w:rPr>
          <w:rFonts w:ascii="Garamond" w:hAnsi="Garamond" w:cs="Times New Roman"/>
          <w:noProof/>
          <w:sz w:val="22"/>
          <w:lang w:val="en-US"/>
        </w:rPr>
      </w:pPr>
      <w:r w:rsidRPr="00775C62">
        <w:rPr>
          <w:rFonts w:ascii="Garamond" w:hAnsi="Garamond" w:cs="Times New Roman"/>
          <w:noProof/>
          <w:sz w:val="22"/>
          <w:lang w:val="en-US"/>
        </w:rPr>
        <w:t xml:space="preserve">17 </w:t>
      </w:r>
      <w:r w:rsidRPr="00775C62">
        <w:rPr>
          <w:rFonts w:ascii="Garamond" w:hAnsi="Garamond" w:cs="Times New Roman"/>
          <w:noProof/>
          <w:sz w:val="22"/>
          <w:lang w:val="en-US"/>
        </w:rPr>
        <w:tab/>
        <w:t xml:space="preserve">Hansen LO, Williams M V., Singer SJ. Perceptions of hospital safety climate and incidence of readmission. </w:t>
      </w:r>
      <w:r w:rsidRPr="00775C62">
        <w:rPr>
          <w:rFonts w:ascii="Garamond" w:hAnsi="Garamond" w:cs="Times New Roman"/>
          <w:i/>
          <w:iCs/>
          <w:noProof/>
          <w:sz w:val="22"/>
          <w:lang w:val="en-US"/>
        </w:rPr>
        <w:t>Health Serv Res</w:t>
      </w:r>
      <w:r w:rsidRPr="00775C62">
        <w:rPr>
          <w:rFonts w:ascii="Garamond" w:hAnsi="Garamond" w:cs="Times New Roman"/>
          <w:noProof/>
          <w:sz w:val="22"/>
          <w:lang w:val="en-US"/>
        </w:rPr>
        <w:t xml:space="preserve"> 2011;</w:t>
      </w:r>
      <w:r w:rsidRPr="00775C62">
        <w:rPr>
          <w:rFonts w:ascii="Garamond" w:hAnsi="Garamond" w:cs="Times New Roman"/>
          <w:b/>
          <w:bCs/>
          <w:noProof/>
          <w:sz w:val="22"/>
          <w:lang w:val="en-US"/>
        </w:rPr>
        <w:t>46</w:t>
      </w:r>
      <w:r w:rsidRPr="00775C62">
        <w:rPr>
          <w:rFonts w:ascii="Garamond" w:hAnsi="Garamond" w:cs="Times New Roman"/>
          <w:noProof/>
          <w:sz w:val="22"/>
          <w:lang w:val="en-US"/>
        </w:rPr>
        <w:t>:596–616. doi:10.1111/j.1475-6773.2010.01204.x</w:t>
      </w:r>
    </w:p>
    <w:p w14:paraId="1CC14246" w14:textId="77777777" w:rsidR="00775C62" w:rsidRPr="00775C62" w:rsidRDefault="00775C62" w:rsidP="00775C62">
      <w:pPr>
        <w:widowControl w:val="0"/>
        <w:autoSpaceDE w:val="0"/>
        <w:autoSpaceDN w:val="0"/>
        <w:adjustRightInd w:val="0"/>
        <w:spacing w:line="480" w:lineRule="auto"/>
        <w:ind w:left="640" w:hanging="640"/>
        <w:rPr>
          <w:rFonts w:ascii="Garamond" w:hAnsi="Garamond" w:cs="Times New Roman"/>
          <w:noProof/>
          <w:sz w:val="22"/>
          <w:lang w:val="en-US"/>
        </w:rPr>
      </w:pPr>
      <w:r w:rsidRPr="00775C62">
        <w:rPr>
          <w:rFonts w:ascii="Garamond" w:hAnsi="Garamond" w:cs="Times New Roman"/>
          <w:noProof/>
          <w:sz w:val="22"/>
          <w:lang w:val="en-US"/>
        </w:rPr>
        <w:t xml:space="preserve">18 </w:t>
      </w:r>
      <w:r w:rsidRPr="00775C62">
        <w:rPr>
          <w:rFonts w:ascii="Garamond" w:hAnsi="Garamond" w:cs="Times New Roman"/>
          <w:noProof/>
          <w:sz w:val="22"/>
          <w:lang w:val="en-US"/>
        </w:rPr>
        <w:tab/>
        <w:t xml:space="preserve">Feltner C, Jones CD, Cene CW, </w:t>
      </w:r>
      <w:r w:rsidRPr="00775C62">
        <w:rPr>
          <w:rFonts w:ascii="Garamond" w:hAnsi="Garamond" w:cs="Times New Roman"/>
          <w:i/>
          <w:iCs/>
          <w:noProof/>
          <w:sz w:val="22"/>
          <w:lang w:val="en-US"/>
        </w:rPr>
        <w:t>et al.</w:t>
      </w:r>
      <w:r w:rsidRPr="00775C62">
        <w:rPr>
          <w:rFonts w:ascii="Garamond" w:hAnsi="Garamond" w:cs="Times New Roman"/>
          <w:noProof/>
          <w:sz w:val="22"/>
          <w:lang w:val="en-US"/>
        </w:rPr>
        <w:t xml:space="preserve"> Transitional Care Interventions To Prevent Readmissions for </w:t>
      </w:r>
      <w:r w:rsidRPr="00775C62">
        <w:rPr>
          <w:rFonts w:ascii="Garamond" w:hAnsi="Garamond" w:cs="Times New Roman"/>
          <w:noProof/>
          <w:sz w:val="22"/>
          <w:lang w:val="en-US"/>
        </w:rPr>
        <w:lastRenderedPageBreak/>
        <w:t xml:space="preserve">People With Heart Failure. Rockville, MD: 2014. </w:t>
      </w:r>
    </w:p>
    <w:p w14:paraId="3D18353F" w14:textId="77777777" w:rsidR="00775C62" w:rsidRPr="00775C62" w:rsidRDefault="00775C62" w:rsidP="00775C62">
      <w:pPr>
        <w:widowControl w:val="0"/>
        <w:autoSpaceDE w:val="0"/>
        <w:autoSpaceDN w:val="0"/>
        <w:adjustRightInd w:val="0"/>
        <w:spacing w:line="480" w:lineRule="auto"/>
        <w:ind w:left="640" w:hanging="640"/>
        <w:rPr>
          <w:rFonts w:ascii="Garamond" w:hAnsi="Garamond" w:cs="Times New Roman"/>
          <w:noProof/>
          <w:sz w:val="22"/>
          <w:lang w:val="en-US"/>
        </w:rPr>
      </w:pPr>
      <w:r w:rsidRPr="00775C62">
        <w:rPr>
          <w:rFonts w:ascii="Garamond" w:hAnsi="Garamond" w:cs="Times New Roman"/>
          <w:noProof/>
          <w:sz w:val="22"/>
          <w:lang w:val="en-US"/>
        </w:rPr>
        <w:t xml:space="preserve">19 </w:t>
      </w:r>
      <w:r w:rsidRPr="00775C62">
        <w:rPr>
          <w:rFonts w:ascii="Garamond" w:hAnsi="Garamond" w:cs="Times New Roman"/>
          <w:noProof/>
          <w:sz w:val="22"/>
          <w:lang w:val="en-US"/>
        </w:rPr>
        <w:tab/>
        <w:t xml:space="preserve">Rennke S, Ranji SR. Transitional care strategies from hospital to home: a review for the neurohospitalist. </w:t>
      </w:r>
      <w:r w:rsidRPr="00775C62">
        <w:rPr>
          <w:rFonts w:ascii="Garamond" w:hAnsi="Garamond" w:cs="Times New Roman"/>
          <w:i/>
          <w:iCs/>
          <w:noProof/>
          <w:sz w:val="22"/>
          <w:lang w:val="en-US"/>
        </w:rPr>
        <w:t>The Neurohospitalist</w:t>
      </w:r>
      <w:r w:rsidRPr="00775C62">
        <w:rPr>
          <w:rFonts w:ascii="Garamond" w:hAnsi="Garamond" w:cs="Times New Roman"/>
          <w:noProof/>
          <w:sz w:val="22"/>
          <w:lang w:val="en-US"/>
        </w:rPr>
        <w:t xml:space="preserve"> 2015;</w:t>
      </w:r>
      <w:r w:rsidRPr="00775C62">
        <w:rPr>
          <w:rFonts w:ascii="Garamond" w:hAnsi="Garamond" w:cs="Times New Roman"/>
          <w:b/>
          <w:bCs/>
          <w:noProof/>
          <w:sz w:val="22"/>
          <w:lang w:val="en-US"/>
        </w:rPr>
        <w:t>5</w:t>
      </w:r>
      <w:r w:rsidRPr="00775C62">
        <w:rPr>
          <w:rFonts w:ascii="Garamond" w:hAnsi="Garamond" w:cs="Times New Roman"/>
          <w:noProof/>
          <w:sz w:val="22"/>
          <w:lang w:val="en-US"/>
        </w:rPr>
        <w:t>:35–42. doi:10.1177/1941874414540683</w:t>
      </w:r>
    </w:p>
    <w:p w14:paraId="64BF861B" w14:textId="77777777" w:rsidR="00775C62" w:rsidRPr="00775C62" w:rsidRDefault="00775C62" w:rsidP="00775C62">
      <w:pPr>
        <w:widowControl w:val="0"/>
        <w:autoSpaceDE w:val="0"/>
        <w:autoSpaceDN w:val="0"/>
        <w:adjustRightInd w:val="0"/>
        <w:spacing w:line="480" w:lineRule="auto"/>
        <w:ind w:left="640" w:hanging="640"/>
        <w:rPr>
          <w:rFonts w:ascii="Garamond" w:hAnsi="Garamond" w:cs="Times New Roman"/>
          <w:noProof/>
          <w:sz w:val="22"/>
          <w:lang w:val="en-US"/>
        </w:rPr>
      </w:pPr>
      <w:r w:rsidRPr="00775C62">
        <w:rPr>
          <w:rFonts w:ascii="Garamond" w:hAnsi="Garamond" w:cs="Times New Roman"/>
          <w:noProof/>
          <w:sz w:val="22"/>
          <w:lang w:val="en-US"/>
        </w:rPr>
        <w:t xml:space="preserve">20 </w:t>
      </w:r>
      <w:r w:rsidRPr="00775C62">
        <w:rPr>
          <w:rFonts w:ascii="Garamond" w:hAnsi="Garamond" w:cs="Times New Roman"/>
          <w:noProof/>
          <w:sz w:val="22"/>
          <w:lang w:val="en-US"/>
        </w:rPr>
        <w:tab/>
        <w:t xml:space="preserve">Lee KH, Low LL, Allen J, </w:t>
      </w:r>
      <w:r w:rsidRPr="00775C62">
        <w:rPr>
          <w:rFonts w:ascii="Garamond" w:hAnsi="Garamond" w:cs="Times New Roman"/>
          <w:i/>
          <w:iCs/>
          <w:noProof/>
          <w:sz w:val="22"/>
          <w:lang w:val="en-US"/>
        </w:rPr>
        <w:t>et al.</w:t>
      </w:r>
      <w:r w:rsidRPr="00775C62">
        <w:rPr>
          <w:rFonts w:ascii="Garamond" w:hAnsi="Garamond" w:cs="Times New Roman"/>
          <w:noProof/>
          <w:sz w:val="22"/>
          <w:lang w:val="en-US"/>
        </w:rPr>
        <w:t xml:space="preserve"> Transitional care for the highest risk patients: findings of a randomised control study. </w:t>
      </w:r>
      <w:r w:rsidRPr="00775C62">
        <w:rPr>
          <w:rFonts w:ascii="Garamond" w:hAnsi="Garamond" w:cs="Times New Roman"/>
          <w:i/>
          <w:iCs/>
          <w:noProof/>
          <w:sz w:val="22"/>
          <w:lang w:val="en-US"/>
        </w:rPr>
        <w:t>Int J Integr Care</w:t>
      </w:r>
      <w:r w:rsidRPr="00775C62">
        <w:rPr>
          <w:rFonts w:ascii="Garamond" w:hAnsi="Garamond" w:cs="Times New Roman"/>
          <w:noProof/>
          <w:sz w:val="22"/>
          <w:lang w:val="en-US"/>
        </w:rPr>
        <w:t xml:space="preserve"> 2015;</w:t>
      </w:r>
      <w:r w:rsidRPr="00775C62">
        <w:rPr>
          <w:rFonts w:ascii="Garamond" w:hAnsi="Garamond" w:cs="Times New Roman"/>
          <w:b/>
          <w:bCs/>
          <w:noProof/>
          <w:sz w:val="22"/>
          <w:lang w:val="en-US"/>
        </w:rPr>
        <w:t>15</w:t>
      </w:r>
      <w:r w:rsidRPr="00775C62">
        <w:rPr>
          <w:rFonts w:ascii="Garamond" w:hAnsi="Garamond" w:cs="Times New Roman"/>
          <w:noProof/>
          <w:sz w:val="22"/>
          <w:lang w:val="en-US"/>
        </w:rPr>
        <w:t>:1–10.</w:t>
      </w:r>
    </w:p>
    <w:p w14:paraId="228899F2" w14:textId="77777777" w:rsidR="00775C62" w:rsidRPr="00775C62" w:rsidRDefault="00775C62" w:rsidP="00775C62">
      <w:pPr>
        <w:widowControl w:val="0"/>
        <w:autoSpaceDE w:val="0"/>
        <w:autoSpaceDN w:val="0"/>
        <w:adjustRightInd w:val="0"/>
        <w:spacing w:line="480" w:lineRule="auto"/>
        <w:ind w:left="640" w:hanging="640"/>
        <w:rPr>
          <w:rFonts w:ascii="Garamond" w:hAnsi="Garamond" w:cs="Times New Roman"/>
          <w:noProof/>
          <w:sz w:val="22"/>
          <w:lang w:val="en-US"/>
        </w:rPr>
      </w:pPr>
      <w:r w:rsidRPr="00775C62">
        <w:rPr>
          <w:rFonts w:ascii="Garamond" w:hAnsi="Garamond" w:cs="Times New Roman"/>
          <w:noProof/>
          <w:sz w:val="22"/>
          <w:lang w:val="en-US"/>
        </w:rPr>
        <w:t xml:space="preserve">21 </w:t>
      </w:r>
      <w:r w:rsidRPr="00775C62">
        <w:rPr>
          <w:rFonts w:ascii="Garamond" w:hAnsi="Garamond" w:cs="Times New Roman"/>
          <w:noProof/>
          <w:sz w:val="22"/>
          <w:lang w:val="en-US"/>
        </w:rPr>
        <w:tab/>
        <w:t xml:space="preserve">Harrison JD, Auerbach AD, Quinn K, </w:t>
      </w:r>
      <w:r w:rsidRPr="00775C62">
        <w:rPr>
          <w:rFonts w:ascii="Garamond" w:hAnsi="Garamond" w:cs="Times New Roman"/>
          <w:i/>
          <w:iCs/>
          <w:noProof/>
          <w:sz w:val="22"/>
          <w:lang w:val="en-US"/>
        </w:rPr>
        <w:t>et al.</w:t>
      </w:r>
      <w:r w:rsidRPr="00775C62">
        <w:rPr>
          <w:rFonts w:ascii="Garamond" w:hAnsi="Garamond" w:cs="Times New Roman"/>
          <w:noProof/>
          <w:sz w:val="22"/>
          <w:lang w:val="en-US"/>
        </w:rPr>
        <w:t xml:space="preserve"> Assessing the Impact of Nurse Post-Discharge Telephone Calls on 30-Day Hospital Readmission Rates. </w:t>
      </w:r>
      <w:r w:rsidRPr="00775C62">
        <w:rPr>
          <w:rFonts w:ascii="Garamond" w:hAnsi="Garamond" w:cs="Times New Roman"/>
          <w:i/>
          <w:iCs/>
          <w:noProof/>
          <w:sz w:val="22"/>
          <w:lang w:val="en-US"/>
        </w:rPr>
        <w:t>J Gen Intern Med</w:t>
      </w:r>
      <w:r w:rsidRPr="00775C62">
        <w:rPr>
          <w:rFonts w:ascii="Garamond" w:hAnsi="Garamond" w:cs="Times New Roman"/>
          <w:noProof/>
          <w:sz w:val="22"/>
          <w:lang w:val="en-US"/>
        </w:rPr>
        <w:t xml:space="preserve"> 2014;</w:t>
      </w:r>
      <w:r w:rsidRPr="00775C62">
        <w:rPr>
          <w:rFonts w:ascii="Garamond" w:hAnsi="Garamond" w:cs="Times New Roman"/>
          <w:b/>
          <w:bCs/>
          <w:noProof/>
          <w:sz w:val="22"/>
          <w:lang w:val="en-US"/>
        </w:rPr>
        <w:t>29</w:t>
      </w:r>
      <w:r w:rsidRPr="00775C62">
        <w:rPr>
          <w:rFonts w:ascii="Garamond" w:hAnsi="Garamond" w:cs="Times New Roman"/>
          <w:noProof/>
          <w:sz w:val="22"/>
          <w:lang w:val="en-US"/>
        </w:rPr>
        <w:t>:1519–25. doi:10.1007/s11606-014-2954-2</w:t>
      </w:r>
    </w:p>
    <w:p w14:paraId="6D868E1C" w14:textId="77777777" w:rsidR="00775C62" w:rsidRPr="00775C62" w:rsidRDefault="00775C62" w:rsidP="00775C62">
      <w:pPr>
        <w:widowControl w:val="0"/>
        <w:autoSpaceDE w:val="0"/>
        <w:autoSpaceDN w:val="0"/>
        <w:adjustRightInd w:val="0"/>
        <w:spacing w:line="480" w:lineRule="auto"/>
        <w:ind w:left="640" w:hanging="640"/>
        <w:rPr>
          <w:rFonts w:ascii="Garamond" w:hAnsi="Garamond" w:cs="Times New Roman"/>
          <w:noProof/>
          <w:sz w:val="22"/>
          <w:lang w:val="en-US"/>
        </w:rPr>
      </w:pPr>
      <w:r w:rsidRPr="00775C62">
        <w:rPr>
          <w:rFonts w:ascii="Garamond" w:hAnsi="Garamond" w:cs="Times New Roman"/>
          <w:noProof/>
          <w:sz w:val="22"/>
          <w:lang w:val="en-US"/>
        </w:rPr>
        <w:t xml:space="preserve">22 </w:t>
      </w:r>
      <w:r w:rsidRPr="00775C62">
        <w:rPr>
          <w:rFonts w:ascii="Garamond" w:hAnsi="Garamond" w:cs="Times New Roman"/>
          <w:noProof/>
          <w:sz w:val="22"/>
          <w:lang w:val="en-US"/>
        </w:rPr>
        <w:tab/>
        <w:t xml:space="preserve">Phillips CO, Wright SM, Kern DE, </w:t>
      </w:r>
      <w:r w:rsidRPr="00775C62">
        <w:rPr>
          <w:rFonts w:ascii="Garamond" w:hAnsi="Garamond" w:cs="Times New Roman"/>
          <w:i/>
          <w:iCs/>
          <w:noProof/>
          <w:sz w:val="22"/>
          <w:lang w:val="en-US"/>
        </w:rPr>
        <w:t>et al.</w:t>
      </w:r>
      <w:r w:rsidRPr="00775C62">
        <w:rPr>
          <w:rFonts w:ascii="Garamond" w:hAnsi="Garamond" w:cs="Times New Roman"/>
          <w:noProof/>
          <w:sz w:val="22"/>
          <w:lang w:val="en-US"/>
        </w:rPr>
        <w:t xml:space="preserve"> Postdischarge Support for Older Patients. </w:t>
      </w:r>
      <w:r w:rsidRPr="00775C62">
        <w:rPr>
          <w:rFonts w:ascii="Garamond" w:hAnsi="Garamond" w:cs="Times New Roman"/>
          <w:i/>
          <w:iCs/>
          <w:noProof/>
          <w:sz w:val="22"/>
          <w:lang w:val="en-US"/>
        </w:rPr>
        <w:t>JAMA</w:t>
      </w:r>
      <w:r w:rsidRPr="00775C62">
        <w:rPr>
          <w:rFonts w:ascii="Garamond" w:hAnsi="Garamond" w:cs="Times New Roman"/>
          <w:noProof/>
          <w:sz w:val="22"/>
          <w:lang w:val="en-US"/>
        </w:rPr>
        <w:t xml:space="preserve"> 2004;</w:t>
      </w:r>
      <w:r w:rsidRPr="00775C62">
        <w:rPr>
          <w:rFonts w:ascii="Garamond" w:hAnsi="Garamond" w:cs="Times New Roman"/>
          <w:b/>
          <w:bCs/>
          <w:noProof/>
          <w:sz w:val="22"/>
          <w:lang w:val="en-US"/>
        </w:rPr>
        <w:t>291</w:t>
      </w:r>
      <w:r w:rsidRPr="00775C62">
        <w:rPr>
          <w:rFonts w:ascii="Garamond" w:hAnsi="Garamond" w:cs="Times New Roman"/>
          <w:noProof/>
          <w:sz w:val="22"/>
          <w:lang w:val="en-US"/>
        </w:rPr>
        <w:t>:1358–67.</w:t>
      </w:r>
    </w:p>
    <w:p w14:paraId="5E06C706" w14:textId="5F3C66C8" w:rsidR="00775C62" w:rsidRPr="00775C62" w:rsidRDefault="00775C62" w:rsidP="00775C62">
      <w:pPr>
        <w:widowControl w:val="0"/>
        <w:autoSpaceDE w:val="0"/>
        <w:autoSpaceDN w:val="0"/>
        <w:adjustRightInd w:val="0"/>
        <w:spacing w:line="480" w:lineRule="auto"/>
        <w:ind w:left="640" w:hanging="640"/>
        <w:rPr>
          <w:rFonts w:ascii="Garamond" w:hAnsi="Garamond" w:cs="Times New Roman"/>
          <w:noProof/>
          <w:sz w:val="22"/>
          <w:lang w:val="en-US"/>
        </w:rPr>
      </w:pPr>
      <w:r w:rsidRPr="00775C62">
        <w:rPr>
          <w:rFonts w:ascii="Garamond" w:hAnsi="Garamond" w:cs="Times New Roman"/>
          <w:noProof/>
          <w:sz w:val="22"/>
          <w:lang w:val="en-US"/>
        </w:rPr>
        <w:t xml:space="preserve">23 </w:t>
      </w:r>
      <w:r w:rsidRPr="00775C62">
        <w:rPr>
          <w:rFonts w:ascii="Garamond" w:hAnsi="Garamond" w:cs="Times New Roman"/>
          <w:noProof/>
          <w:sz w:val="22"/>
          <w:lang w:val="en-US"/>
        </w:rPr>
        <w:tab/>
        <w:t xml:space="preserve">Appleby J. </w:t>
      </w:r>
      <w:r w:rsidR="008C0982">
        <w:rPr>
          <w:rFonts w:ascii="Garamond" w:hAnsi="Garamond" w:cs="Times New Roman"/>
          <w:noProof/>
          <w:sz w:val="22"/>
          <w:lang w:val="en-US"/>
        </w:rPr>
        <w:t>Nuffield</w:t>
      </w:r>
      <w:r w:rsidR="008C0982" w:rsidRPr="00775C62">
        <w:rPr>
          <w:rFonts w:ascii="Garamond" w:hAnsi="Garamond" w:cs="Times New Roman"/>
          <w:noProof/>
          <w:sz w:val="22"/>
          <w:lang w:val="en-US"/>
        </w:rPr>
        <w:t xml:space="preserve"> </w:t>
      </w:r>
      <w:r w:rsidR="008C0982">
        <w:rPr>
          <w:rFonts w:ascii="Garamond" w:hAnsi="Garamond" w:cs="Times New Roman"/>
          <w:noProof/>
          <w:sz w:val="22"/>
          <w:lang w:val="en-US"/>
        </w:rPr>
        <w:t>Winter</w:t>
      </w:r>
      <w:r w:rsidR="008C0982" w:rsidRPr="00775C62">
        <w:rPr>
          <w:rFonts w:ascii="Garamond" w:hAnsi="Garamond" w:cs="Times New Roman"/>
          <w:noProof/>
          <w:sz w:val="22"/>
          <w:lang w:val="en-US"/>
        </w:rPr>
        <w:t xml:space="preserve"> </w:t>
      </w:r>
      <w:r w:rsidR="008C0982">
        <w:rPr>
          <w:rFonts w:ascii="Garamond" w:hAnsi="Garamond" w:cs="Times New Roman"/>
          <w:noProof/>
          <w:sz w:val="22"/>
          <w:lang w:val="en-US"/>
        </w:rPr>
        <w:t>Insight</w:t>
      </w:r>
      <w:r w:rsidR="008C0982" w:rsidRPr="00775C62">
        <w:rPr>
          <w:rFonts w:ascii="Garamond" w:hAnsi="Garamond" w:cs="Times New Roman"/>
          <w:noProof/>
          <w:sz w:val="22"/>
          <w:lang w:val="en-US"/>
        </w:rPr>
        <w:t xml:space="preserve"> </w:t>
      </w:r>
      <w:r w:rsidRPr="00775C62">
        <w:rPr>
          <w:rFonts w:ascii="Garamond" w:hAnsi="Garamond" w:cs="Times New Roman"/>
          <w:noProof/>
          <w:sz w:val="22"/>
          <w:lang w:val="en-US"/>
        </w:rPr>
        <w:t>Briefing 1</w:t>
      </w:r>
      <w:r w:rsidRPr="00775C62">
        <w:rPr>
          <w:rFonts w:ascii="Times New Roman" w:hAnsi="Times New Roman" w:cs="Times New Roman"/>
          <w:noProof/>
          <w:sz w:val="22"/>
          <w:lang w:val="en-US"/>
        </w:rPr>
        <w:t> </w:t>
      </w:r>
      <w:r w:rsidRPr="00775C62">
        <w:rPr>
          <w:rFonts w:ascii="Garamond" w:hAnsi="Garamond" w:cs="Times New Roman"/>
          <w:noProof/>
          <w:sz w:val="22"/>
          <w:lang w:val="en-US"/>
        </w:rPr>
        <w:t>: Winter beds pressures. 2016</w:t>
      </w:r>
      <w:r w:rsidR="008C0982">
        <w:rPr>
          <w:rFonts w:ascii="Garamond" w:hAnsi="Garamond" w:cs="Times New Roman"/>
          <w:noProof/>
          <w:sz w:val="22"/>
          <w:lang w:val="en-US"/>
        </w:rPr>
        <w:t>;</w:t>
      </w:r>
      <w:r w:rsidR="008C0982" w:rsidRPr="00775C62" w:rsidDel="008C0982">
        <w:rPr>
          <w:rFonts w:ascii="Garamond" w:hAnsi="Garamond" w:cs="Times New Roman"/>
          <w:noProof/>
          <w:sz w:val="22"/>
          <w:lang w:val="en-US"/>
        </w:rPr>
        <w:t xml:space="preserve"> </w:t>
      </w:r>
      <w:r w:rsidRPr="00775C62">
        <w:rPr>
          <w:rFonts w:ascii="Garamond" w:hAnsi="Garamond" w:cs="Times New Roman"/>
          <w:noProof/>
          <w:sz w:val="22"/>
          <w:lang w:val="en-US"/>
        </w:rPr>
        <w:t>1–8. doi:https://www.nuffieldtrust.org.uk/files/2017-01/winter-beds-pressures-final.pdf</w:t>
      </w:r>
    </w:p>
    <w:p w14:paraId="450E1EF3" w14:textId="77777777" w:rsidR="00775C62" w:rsidRPr="00775C62" w:rsidRDefault="00775C62" w:rsidP="00775C62">
      <w:pPr>
        <w:widowControl w:val="0"/>
        <w:autoSpaceDE w:val="0"/>
        <w:autoSpaceDN w:val="0"/>
        <w:adjustRightInd w:val="0"/>
        <w:spacing w:line="480" w:lineRule="auto"/>
        <w:ind w:left="640" w:hanging="640"/>
        <w:rPr>
          <w:rFonts w:ascii="Garamond" w:hAnsi="Garamond" w:cs="Times New Roman"/>
          <w:noProof/>
          <w:sz w:val="22"/>
          <w:lang w:val="en-US"/>
        </w:rPr>
      </w:pPr>
      <w:r w:rsidRPr="00775C62">
        <w:rPr>
          <w:rFonts w:ascii="Garamond" w:hAnsi="Garamond" w:cs="Times New Roman"/>
          <w:noProof/>
          <w:sz w:val="22"/>
          <w:lang w:val="en-US"/>
        </w:rPr>
        <w:t xml:space="preserve">24 </w:t>
      </w:r>
      <w:r w:rsidRPr="00775C62">
        <w:rPr>
          <w:rFonts w:ascii="Garamond" w:hAnsi="Garamond" w:cs="Times New Roman"/>
          <w:noProof/>
          <w:sz w:val="22"/>
          <w:lang w:val="en-US"/>
        </w:rPr>
        <w:tab/>
        <w:t xml:space="preserve">Department of Health. KH02 Quarterly bed availability and occupancy - Data definitions. 2010. </w:t>
      </w:r>
    </w:p>
    <w:p w14:paraId="49C62E16" w14:textId="77777777" w:rsidR="00775C62" w:rsidRPr="00775C62" w:rsidRDefault="00775C62" w:rsidP="00775C62">
      <w:pPr>
        <w:widowControl w:val="0"/>
        <w:autoSpaceDE w:val="0"/>
        <w:autoSpaceDN w:val="0"/>
        <w:adjustRightInd w:val="0"/>
        <w:spacing w:line="480" w:lineRule="auto"/>
        <w:ind w:left="640" w:hanging="640"/>
        <w:rPr>
          <w:rFonts w:ascii="Garamond" w:hAnsi="Garamond" w:cs="Times New Roman"/>
          <w:noProof/>
          <w:sz w:val="22"/>
          <w:lang w:val="en-US"/>
        </w:rPr>
      </w:pPr>
      <w:r w:rsidRPr="00775C62">
        <w:rPr>
          <w:rFonts w:ascii="Garamond" w:hAnsi="Garamond" w:cs="Times New Roman"/>
          <w:noProof/>
          <w:sz w:val="22"/>
          <w:lang w:val="en-US"/>
        </w:rPr>
        <w:t xml:space="preserve">25 </w:t>
      </w:r>
      <w:r w:rsidRPr="00775C62">
        <w:rPr>
          <w:rFonts w:ascii="Garamond" w:hAnsi="Garamond" w:cs="Times New Roman"/>
          <w:noProof/>
          <w:sz w:val="22"/>
          <w:lang w:val="en-US"/>
        </w:rPr>
        <w:tab/>
        <w:t xml:space="preserve">Charlson M, Szatrowski TP, Peterson J, </w:t>
      </w:r>
      <w:r w:rsidRPr="00775C62">
        <w:rPr>
          <w:rFonts w:ascii="Garamond" w:hAnsi="Garamond" w:cs="Times New Roman"/>
          <w:i/>
          <w:iCs/>
          <w:noProof/>
          <w:sz w:val="22"/>
          <w:lang w:val="en-US"/>
        </w:rPr>
        <w:t>et al.</w:t>
      </w:r>
      <w:r w:rsidRPr="00775C62">
        <w:rPr>
          <w:rFonts w:ascii="Garamond" w:hAnsi="Garamond" w:cs="Times New Roman"/>
          <w:noProof/>
          <w:sz w:val="22"/>
          <w:lang w:val="en-US"/>
        </w:rPr>
        <w:t xml:space="preserve"> Validation of a combined comorbidity index. </w:t>
      </w:r>
      <w:r w:rsidRPr="00775C62">
        <w:rPr>
          <w:rFonts w:ascii="Garamond" w:hAnsi="Garamond" w:cs="Times New Roman"/>
          <w:i/>
          <w:iCs/>
          <w:noProof/>
          <w:sz w:val="22"/>
          <w:lang w:val="en-US"/>
        </w:rPr>
        <w:t>J Clin Epidemiol</w:t>
      </w:r>
      <w:r w:rsidRPr="00775C62">
        <w:rPr>
          <w:rFonts w:ascii="Garamond" w:hAnsi="Garamond" w:cs="Times New Roman"/>
          <w:noProof/>
          <w:sz w:val="22"/>
          <w:lang w:val="en-US"/>
        </w:rPr>
        <w:t xml:space="preserve"> 1994;</w:t>
      </w:r>
      <w:r w:rsidRPr="00775C62">
        <w:rPr>
          <w:rFonts w:ascii="Garamond" w:hAnsi="Garamond" w:cs="Times New Roman"/>
          <w:b/>
          <w:bCs/>
          <w:noProof/>
          <w:sz w:val="22"/>
          <w:lang w:val="en-US"/>
        </w:rPr>
        <w:t>47</w:t>
      </w:r>
      <w:r w:rsidRPr="00775C62">
        <w:rPr>
          <w:rFonts w:ascii="Garamond" w:hAnsi="Garamond" w:cs="Times New Roman"/>
          <w:noProof/>
          <w:sz w:val="22"/>
          <w:lang w:val="en-US"/>
        </w:rPr>
        <w:t>:1245–51. doi:10.1016/0895-4356(94)90129-5</w:t>
      </w:r>
    </w:p>
    <w:p w14:paraId="52E2EBB7" w14:textId="77777777" w:rsidR="00775C62" w:rsidRPr="00775C62" w:rsidRDefault="00775C62" w:rsidP="00775C62">
      <w:pPr>
        <w:widowControl w:val="0"/>
        <w:autoSpaceDE w:val="0"/>
        <w:autoSpaceDN w:val="0"/>
        <w:adjustRightInd w:val="0"/>
        <w:spacing w:line="480" w:lineRule="auto"/>
        <w:ind w:left="640" w:hanging="640"/>
        <w:rPr>
          <w:rFonts w:ascii="Garamond" w:hAnsi="Garamond" w:cs="Times New Roman"/>
          <w:noProof/>
          <w:sz w:val="22"/>
          <w:lang w:val="en-US"/>
        </w:rPr>
      </w:pPr>
      <w:r w:rsidRPr="00775C62">
        <w:rPr>
          <w:rFonts w:ascii="Garamond" w:hAnsi="Garamond" w:cs="Times New Roman"/>
          <w:noProof/>
          <w:sz w:val="22"/>
          <w:lang w:val="en-US"/>
        </w:rPr>
        <w:t xml:space="preserve">26 </w:t>
      </w:r>
      <w:r w:rsidRPr="00775C62">
        <w:rPr>
          <w:rFonts w:ascii="Garamond" w:hAnsi="Garamond" w:cs="Times New Roman"/>
          <w:noProof/>
          <w:sz w:val="22"/>
          <w:lang w:val="en-US"/>
        </w:rPr>
        <w:tab/>
        <w:t xml:space="preserve">Quan H, Sundararajan V, Halfon P, </w:t>
      </w:r>
      <w:r w:rsidRPr="00775C62">
        <w:rPr>
          <w:rFonts w:ascii="Garamond" w:hAnsi="Garamond" w:cs="Times New Roman"/>
          <w:i/>
          <w:iCs/>
          <w:noProof/>
          <w:sz w:val="22"/>
          <w:lang w:val="en-US"/>
        </w:rPr>
        <w:t>et al.</w:t>
      </w:r>
      <w:r w:rsidRPr="00775C62">
        <w:rPr>
          <w:rFonts w:ascii="Garamond" w:hAnsi="Garamond" w:cs="Times New Roman"/>
          <w:noProof/>
          <w:sz w:val="22"/>
          <w:lang w:val="en-US"/>
        </w:rPr>
        <w:t xml:space="preserve"> Coding algorithms for defining comorbidities in ICD-9-CM and ICD-10 administrative data. </w:t>
      </w:r>
      <w:r w:rsidRPr="00775C62">
        <w:rPr>
          <w:rFonts w:ascii="Garamond" w:hAnsi="Garamond" w:cs="Times New Roman"/>
          <w:i/>
          <w:iCs/>
          <w:noProof/>
          <w:sz w:val="22"/>
          <w:lang w:val="en-US"/>
        </w:rPr>
        <w:t>Med Care</w:t>
      </w:r>
      <w:r w:rsidRPr="00775C62">
        <w:rPr>
          <w:rFonts w:ascii="Garamond" w:hAnsi="Garamond" w:cs="Times New Roman"/>
          <w:noProof/>
          <w:sz w:val="22"/>
          <w:lang w:val="en-US"/>
        </w:rPr>
        <w:t xml:space="preserve"> 2005;</w:t>
      </w:r>
      <w:r w:rsidRPr="00775C62">
        <w:rPr>
          <w:rFonts w:ascii="Garamond" w:hAnsi="Garamond" w:cs="Times New Roman"/>
          <w:b/>
          <w:bCs/>
          <w:noProof/>
          <w:sz w:val="22"/>
          <w:lang w:val="en-US"/>
        </w:rPr>
        <w:t>43</w:t>
      </w:r>
      <w:r w:rsidRPr="00775C62">
        <w:rPr>
          <w:rFonts w:ascii="Garamond" w:hAnsi="Garamond" w:cs="Times New Roman"/>
          <w:noProof/>
          <w:sz w:val="22"/>
          <w:lang w:val="en-US"/>
        </w:rPr>
        <w:t>:1130–9. doi:10.1097/01.mlr.0000182534.19832.83</w:t>
      </w:r>
    </w:p>
    <w:p w14:paraId="6679B0A2" w14:textId="77777777" w:rsidR="00775C62" w:rsidRPr="00775C62" w:rsidRDefault="00775C62" w:rsidP="00775C62">
      <w:pPr>
        <w:widowControl w:val="0"/>
        <w:autoSpaceDE w:val="0"/>
        <w:autoSpaceDN w:val="0"/>
        <w:adjustRightInd w:val="0"/>
        <w:spacing w:line="480" w:lineRule="auto"/>
        <w:ind w:left="640" w:hanging="640"/>
        <w:rPr>
          <w:rFonts w:ascii="Garamond" w:hAnsi="Garamond" w:cs="Times New Roman"/>
          <w:noProof/>
          <w:sz w:val="22"/>
          <w:lang w:val="en-US"/>
        </w:rPr>
      </w:pPr>
      <w:r w:rsidRPr="00775C62">
        <w:rPr>
          <w:rFonts w:ascii="Garamond" w:hAnsi="Garamond" w:cs="Times New Roman"/>
          <w:noProof/>
          <w:sz w:val="22"/>
          <w:lang w:val="en-US"/>
        </w:rPr>
        <w:t xml:space="preserve">27 </w:t>
      </w:r>
      <w:r w:rsidRPr="00775C62">
        <w:rPr>
          <w:rFonts w:ascii="Garamond" w:hAnsi="Garamond" w:cs="Times New Roman"/>
          <w:noProof/>
          <w:sz w:val="22"/>
          <w:lang w:val="en-US"/>
        </w:rPr>
        <w:tab/>
        <w:t>Department for Communities and Local Government. Department for Communities and Local Government. English indices of deprivation 2010. 2011.</w:t>
      </w:r>
    </w:p>
    <w:p w14:paraId="657A18EE" w14:textId="77777777" w:rsidR="00775C62" w:rsidRPr="00775C62" w:rsidRDefault="00775C62" w:rsidP="00775C62">
      <w:pPr>
        <w:widowControl w:val="0"/>
        <w:autoSpaceDE w:val="0"/>
        <w:autoSpaceDN w:val="0"/>
        <w:adjustRightInd w:val="0"/>
        <w:spacing w:line="480" w:lineRule="auto"/>
        <w:ind w:left="640" w:hanging="640"/>
        <w:rPr>
          <w:rFonts w:ascii="Garamond" w:hAnsi="Garamond" w:cs="Times New Roman"/>
          <w:noProof/>
          <w:sz w:val="22"/>
          <w:lang w:val="en-US"/>
        </w:rPr>
      </w:pPr>
      <w:r w:rsidRPr="00775C62">
        <w:rPr>
          <w:rFonts w:ascii="Garamond" w:hAnsi="Garamond" w:cs="Times New Roman"/>
          <w:noProof/>
          <w:sz w:val="22"/>
          <w:lang w:val="en-US"/>
        </w:rPr>
        <w:t xml:space="preserve">28 </w:t>
      </w:r>
      <w:r w:rsidRPr="00775C62">
        <w:rPr>
          <w:rFonts w:ascii="Garamond" w:hAnsi="Garamond" w:cs="Times New Roman"/>
          <w:noProof/>
          <w:sz w:val="22"/>
          <w:lang w:val="en-US"/>
        </w:rPr>
        <w:tab/>
        <w:t xml:space="preserve">Hauck K, Zhao X. How Dangerous is a Day in Hospital? </w:t>
      </w:r>
      <w:r w:rsidRPr="00775C62">
        <w:rPr>
          <w:rFonts w:ascii="Garamond" w:hAnsi="Garamond" w:cs="Times New Roman"/>
          <w:i/>
          <w:iCs/>
          <w:noProof/>
          <w:sz w:val="22"/>
          <w:lang w:val="en-US"/>
        </w:rPr>
        <w:t>Med Care</w:t>
      </w:r>
      <w:r w:rsidRPr="00775C62">
        <w:rPr>
          <w:rFonts w:ascii="Garamond" w:hAnsi="Garamond" w:cs="Times New Roman"/>
          <w:noProof/>
          <w:sz w:val="22"/>
          <w:lang w:val="en-US"/>
        </w:rPr>
        <w:t xml:space="preserve"> 2011;</w:t>
      </w:r>
      <w:r w:rsidRPr="00775C62">
        <w:rPr>
          <w:rFonts w:ascii="Garamond" w:hAnsi="Garamond" w:cs="Times New Roman"/>
          <w:b/>
          <w:bCs/>
          <w:noProof/>
          <w:sz w:val="22"/>
          <w:lang w:val="en-US"/>
        </w:rPr>
        <w:t>49</w:t>
      </w:r>
      <w:r w:rsidRPr="00775C62">
        <w:rPr>
          <w:rFonts w:ascii="Garamond" w:hAnsi="Garamond" w:cs="Times New Roman"/>
          <w:noProof/>
          <w:sz w:val="22"/>
          <w:lang w:val="en-US"/>
        </w:rPr>
        <w:t xml:space="preserve">:1068–75. </w:t>
      </w:r>
      <w:r w:rsidRPr="00775C62">
        <w:rPr>
          <w:rFonts w:ascii="Garamond" w:hAnsi="Garamond" w:cs="Times New Roman"/>
          <w:noProof/>
          <w:sz w:val="22"/>
          <w:lang w:val="en-US"/>
        </w:rPr>
        <w:lastRenderedPageBreak/>
        <w:t>doi:10.1097/MLR.0b013e31822efb09</w:t>
      </w:r>
    </w:p>
    <w:p w14:paraId="181B59C0" w14:textId="77777777" w:rsidR="00775C62" w:rsidRPr="00775C62" w:rsidRDefault="00775C62" w:rsidP="00775C62">
      <w:pPr>
        <w:widowControl w:val="0"/>
        <w:autoSpaceDE w:val="0"/>
        <w:autoSpaceDN w:val="0"/>
        <w:adjustRightInd w:val="0"/>
        <w:spacing w:line="480" w:lineRule="auto"/>
        <w:ind w:left="640" w:hanging="640"/>
        <w:rPr>
          <w:rFonts w:ascii="Garamond" w:hAnsi="Garamond" w:cs="Times New Roman"/>
          <w:noProof/>
          <w:sz w:val="22"/>
          <w:lang w:val="en-US"/>
        </w:rPr>
      </w:pPr>
      <w:r w:rsidRPr="00775C62">
        <w:rPr>
          <w:rFonts w:ascii="Garamond" w:hAnsi="Garamond" w:cs="Times New Roman"/>
          <w:noProof/>
          <w:sz w:val="22"/>
          <w:lang w:val="en-US"/>
        </w:rPr>
        <w:t xml:space="preserve">29 </w:t>
      </w:r>
      <w:r w:rsidRPr="00775C62">
        <w:rPr>
          <w:rFonts w:ascii="Garamond" w:hAnsi="Garamond" w:cs="Times New Roman"/>
          <w:noProof/>
          <w:sz w:val="22"/>
          <w:lang w:val="en-US"/>
        </w:rPr>
        <w:tab/>
        <w:t xml:space="preserve">Friebel R, Hauck K, Aylin P, </w:t>
      </w:r>
      <w:r w:rsidRPr="00775C62">
        <w:rPr>
          <w:rFonts w:ascii="Garamond" w:hAnsi="Garamond" w:cs="Times New Roman"/>
          <w:i/>
          <w:iCs/>
          <w:noProof/>
          <w:sz w:val="22"/>
          <w:lang w:val="en-US"/>
        </w:rPr>
        <w:t>et al.</w:t>
      </w:r>
      <w:r w:rsidRPr="00775C62">
        <w:rPr>
          <w:rFonts w:ascii="Garamond" w:hAnsi="Garamond" w:cs="Times New Roman"/>
          <w:noProof/>
          <w:sz w:val="22"/>
          <w:lang w:val="en-US"/>
        </w:rPr>
        <w:t xml:space="preserve"> National trends in emergency readmission rates: A longitudinal analysis of administrative data for England between 2006 and 2016. </w:t>
      </w:r>
      <w:r w:rsidRPr="00775C62">
        <w:rPr>
          <w:rFonts w:ascii="Garamond" w:hAnsi="Garamond" w:cs="Times New Roman"/>
          <w:i/>
          <w:iCs/>
          <w:noProof/>
          <w:sz w:val="22"/>
          <w:lang w:val="en-US"/>
        </w:rPr>
        <w:t>BMJ Open</w:t>
      </w:r>
      <w:r w:rsidRPr="00775C62">
        <w:rPr>
          <w:rFonts w:ascii="Garamond" w:hAnsi="Garamond" w:cs="Times New Roman"/>
          <w:noProof/>
          <w:sz w:val="22"/>
          <w:lang w:val="en-US"/>
        </w:rPr>
        <w:t xml:space="preserve"> 2018;</w:t>
      </w:r>
      <w:r w:rsidRPr="00775C62">
        <w:rPr>
          <w:rFonts w:ascii="Garamond" w:hAnsi="Garamond" w:cs="Times New Roman"/>
          <w:b/>
          <w:bCs/>
          <w:noProof/>
          <w:sz w:val="22"/>
          <w:lang w:val="en-US"/>
        </w:rPr>
        <w:t>8</w:t>
      </w:r>
      <w:r w:rsidRPr="00775C62">
        <w:rPr>
          <w:rFonts w:ascii="Garamond" w:hAnsi="Garamond" w:cs="Times New Roman"/>
          <w:noProof/>
          <w:sz w:val="22"/>
          <w:lang w:val="en-US"/>
        </w:rPr>
        <w:t>:1–10. doi:10.1136/bmjopen-2017-020325</w:t>
      </w:r>
    </w:p>
    <w:p w14:paraId="6C4ED4D1" w14:textId="77777777" w:rsidR="00775C62" w:rsidRPr="00775C62" w:rsidRDefault="00775C62" w:rsidP="00775C62">
      <w:pPr>
        <w:widowControl w:val="0"/>
        <w:autoSpaceDE w:val="0"/>
        <w:autoSpaceDN w:val="0"/>
        <w:adjustRightInd w:val="0"/>
        <w:spacing w:line="480" w:lineRule="auto"/>
        <w:ind w:left="640" w:hanging="640"/>
        <w:rPr>
          <w:rFonts w:ascii="Garamond" w:hAnsi="Garamond" w:cs="Times New Roman"/>
          <w:noProof/>
          <w:sz w:val="22"/>
          <w:lang w:val="en-US"/>
        </w:rPr>
      </w:pPr>
      <w:r w:rsidRPr="00775C62">
        <w:rPr>
          <w:rFonts w:ascii="Garamond" w:hAnsi="Garamond" w:cs="Times New Roman"/>
          <w:noProof/>
          <w:sz w:val="22"/>
          <w:lang w:val="en-US"/>
        </w:rPr>
        <w:t xml:space="preserve">30 </w:t>
      </w:r>
      <w:r w:rsidRPr="00775C62">
        <w:rPr>
          <w:rFonts w:ascii="Garamond" w:hAnsi="Garamond" w:cs="Times New Roman"/>
          <w:noProof/>
          <w:sz w:val="22"/>
          <w:lang w:val="en-US"/>
        </w:rPr>
        <w:tab/>
        <w:t xml:space="preserve">Friebel R, Dharmarajan K, Krumholz HM, </w:t>
      </w:r>
      <w:r w:rsidRPr="00775C62">
        <w:rPr>
          <w:rFonts w:ascii="Garamond" w:hAnsi="Garamond" w:cs="Times New Roman"/>
          <w:i/>
          <w:iCs/>
          <w:noProof/>
          <w:sz w:val="22"/>
          <w:lang w:val="en-US"/>
        </w:rPr>
        <w:t>et al.</w:t>
      </w:r>
      <w:r w:rsidRPr="00775C62">
        <w:rPr>
          <w:rFonts w:ascii="Garamond" w:hAnsi="Garamond" w:cs="Times New Roman"/>
          <w:noProof/>
          <w:sz w:val="22"/>
          <w:lang w:val="en-US"/>
        </w:rPr>
        <w:t xml:space="preserve"> Reductions in readmission rates are associated with modest improvements in patient-reported health gains following hip and knee replacement in England. </w:t>
      </w:r>
      <w:r w:rsidRPr="00775C62">
        <w:rPr>
          <w:rFonts w:ascii="Garamond" w:hAnsi="Garamond" w:cs="Times New Roman"/>
          <w:i/>
          <w:iCs/>
          <w:noProof/>
          <w:sz w:val="22"/>
          <w:lang w:val="en-US"/>
        </w:rPr>
        <w:t>Med Care</w:t>
      </w:r>
      <w:r w:rsidRPr="00775C62">
        <w:rPr>
          <w:rFonts w:ascii="Garamond" w:hAnsi="Garamond" w:cs="Times New Roman"/>
          <w:noProof/>
          <w:sz w:val="22"/>
          <w:lang w:val="en-US"/>
        </w:rPr>
        <w:t xml:space="preserve"> 2017;</w:t>
      </w:r>
      <w:r w:rsidRPr="00775C62">
        <w:rPr>
          <w:rFonts w:ascii="Garamond" w:hAnsi="Garamond" w:cs="Times New Roman"/>
          <w:b/>
          <w:bCs/>
          <w:noProof/>
          <w:sz w:val="22"/>
          <w:lang w:val="en-US"/>
        </w:rPr>
        <w:t>55</w:t>
      </w:r>
      <w:r w:rsidRPr="00775C62">
        <w:rPr>
          <w:rFonts w:ascii="Garamond" w:hAnsi="Garamond" w:cs="Times New Roman"/>
          <w:noProof/>
          <w:sz w:val="22"/>
          <w:lang w:val="en-US"/>
        </w:rPr>
        <w:t>:834–40. doi:10.1097/MLR.0000000000000779</w:t>
      </w:r>
    </w:p>
    <w:p w14:paraId="27474D5D" w14:textId="77777777" w:rsidR="00775C62" w:rsidRPr="00775C62" w:rsidRDefault="00775C62" w:rsidP="00775C62">
      <w:pPr>
        <w:widowControl w:val="0"/>
        <w:autoSpaceDE w:val="0"/>
        <w:autoSpaceDN w:val="0"/>
        <w:adjustRightInd w:val="0"/>
        <w:spacing w:line="480" w:lineRule="auto"/>
        <w:ind w:left="640" w:hanging="640"/>
        <w:rPr>
          <w:rFonts w:ascii="Garamond" w:hAnsi="Garamond" w:cs="Times New Roman"/>
          <w:noProof/>
          <w:sz w:val="22"/>
          <w:lang w:val="en-US"/>
        </w:rPr>
      </w:pPr>
      <w:r w:rsidRPr="00775C62">
        <w:rPr>
          <w:rFonts w:ascii="Garamond" w:hAnsi="Garamond" w:cs="Times New Roman"/>
          <w:noProof/>
          <w:sz w:val="22"/>
          <w:lang w:val="en-US"/>
        </w:rPr>
        <w:t xml:space="preserve">31 </w:t>
      </w:r>
      <w:r w:rsidRPr="00775C62">
        <w:rPr>
          <w:rFonts w:ascii="Garamond" w:hAnsi="Garamond" w:cs="Times New Roman"/>
          <w:noProof/>
          <w:sz w:val="22"/>
          <w:lang w:val="en-US"/>
        </w:rPr>
        <w:tab/>
        <w:t xml:space="preserve">Northgate. PROMs risk adjustment methodology guide for general surgery and orthopaedic procedures. 2010. </w:t>
      </w:r>
    </w:p>
    <w:p w14:paraId="756FB0F0" w14:textId="77777777" w:rsidR="00775C62" w:rsidRPr="00775C62" w:rsidRDefault="00775C62" w:rsidP="00775C62">
      <w:pPr>
        <w:widowControl w:val="0"/>
        <w:autoSpaceDE w:val="0"/>
        <w:autoSpaceDN w:val="0"/>
        <w:adjustRightInd w:val="0"/>
        <w:spacing w:line="480" w:lineRule="auto"/>
        <w:ind w:left="640" w:hanging="640"/>
        <w:rPr>
          <w:rFonts w:ascii="Garamond" w:hAnsi="Garamond" w:cs="Times New Roman"/>
          <w:noProof/>
          <w:sz w:val="22"/>
          <w:lang w:val="en-US"/>
        </w:rPr>
      </w:pPr>
      <w:r w:rsidRPr="00775C62">
        <w:rPr>
          <w:rFonts w:ascii="Garamond" w:hAnsi="Garamond" w:cs="Times New Roman"/>
          <w:noProof/>
          <w:sz w:val="22"/>
          <w:lang w:val="en-US"/>
        </w:rPr>
        <w:t xml:space="preserve">32 </w:t>
      </w:r>
      <w:r w:rsidRPr="00775C62">
        <w:rPr>
          <w:rFonts w:ascii="Garamond" w:hAnsi="Garamond" w:cs="Times New Roman"/>
          <w:noProof/>
          <w:sz w:val="22"/>
          <w:lang w:val="en-US"/>
        </w:rPr>
        <w:tab/>
        <w:t xml:space="preserve">Clinical Inicators Team. CCG Outcome Indicator Set. London, England: 2019. </w:t>
      </w:r>
    </w:p>
    <w:p w14:paraId="58E3E451" w14:textId="77777777" w:rsidR="00775C62" w:rsidRPr="00775C62" w:rsidRDefault="00775C62" w:rsidP="00775C62">
      <w:pPr>
        <w:widowControl w:val="0"/>
        <w:autoSpaceDE w:val="0"/>
        <w:autoSpaceDN w:val="0"/>
        <w:adjustRightInd w:val="0"/>
        <w:spacing w:line="480" w:lineRule="auto"/>
        <w:ind w:left="640" w:hanging="640"/>
        <w:rPr>
          <w:rFonts w:ascii="Garamond" w:hAnsi="Garamond" w:cs="Times New Roman"/>
          <w:noProof/>
          <w:sz w:val="22"/>
          <w:lang w:val="en-US"/>
        </w:rPr>
      </w:pPr>
      <w:r w:rsidRPr="00775C62">
        <w:rPr>
          <w:rFonts w:ascii="Garamond" w:hAnsi="Garamond" w:cs="Times New Roman"/>
          <w:noProof/>
          <w:sz w:val="22"/>
          <w:lang w:val="en-US"/>
        </w:rPr>
        <w:t xml:space="preserve">33 </w:t>
      </w:r>
      <w:r w:rsidRPr="00775C62">
        <w:rPr>
          <w:rFonts w:ascii="Garamond" w:hAnsi="Garamond" w:cs="Times New Roman"/>
          <w:noProof/>
          <w:sz w:val="22"/>
          <w:lang w:val="en-US"/>
        </w:rPr>
        <w:tab/>
        <w:t xml:space="preserve">Digital N. NHS Outcomes Framework. 2017. </w:t>
      </w:r>
    </w:p>
    <w:p w14:paraId="39BADE74" w14:textId="77777777" w:rsidR="00775C62" w:rsidRPr="00775C62" w:rsidRDefault="00775C62" w:rsidP="00775C62">
      <w:pPr>
        <w:widowControl w:val="0"/>
        <w:autoSpaceDE w:val="0"/>
        <w:autoSpaceDN w:val="0"/>
        <w:adjustRightInd w:val="0"/>
        <w:spacing w:line="480" w:lineRule="auto"/>
        <w:ind w:left="640" w:hanging="640"/>
        <w:rPr>
          <w:rFonts w:ascii="Garamond" w:hAnsi="Garamond" w:cs="Times New Roman"/>
          <w:noProof/>
          <w:sz w:val="22"/>
          <w:lang w:val="en-US"/>
        </w:rPr>
      </w:pPr>
      <w:r w:rsidRPr="00775C62">
        <w:rPr>
          <w:rFonts w:ascii="Garamond" w:hAnsi="Garamond" w:cs="Times New Roman"/>
          <w:noProof/>
          <w:sz w:val="22"/>
          <w:lang w:val="en-US"/>
        </w:rPr>
        <w:t xml:space="preserve">34 </w:t>
      </w:r>
      <w:r w:rsidRPr="00775C62">
        <w:rPr>
          <w:rFonts w:ascii="Garamond" w:hAnsi="Garamond" w:cs="Times New Roman"/>
          <w:noProof/>
          <w:sz w:val="22"/>
          <w:lang w:val="en-US"/>
        </w:rPr>
        <w:tab/>
        <w:t xml:space="preserve">Friebel R, Hauck K, Aylin P, </w:t>
      </w:r>
      <w:r w:rsidRPr="00775C62">
        <w:rPr>
          <w:rFonts w:ascii="Garamond" w:hAnsi="Garamond" w:cs="Times New Roman"/>
          <w:i/>
          <w:iCs/>
          <w:noProof/>
          <w:sz w:val="22"/>
          <w:lang w:val="en-US"/>
        </w:rPr>
        <w:t>et al.</w:t>
      </w:r>
      <w:r w:rsidRPr="00775C62">
        <w:rPr>
          <w:rFonts w:ascii="Garamond" w:hAnsi="Garamond" w:cs="Times New Roman"/>
          <w:noProof/>
          <w:sz w:val="22"/>
          <w:lang w:val="en-US"/>
        </w:rPr>
        <w:t xml:space="preserve"> National trends in emergency readmission rates</w:t>
      </w:r>
      <w:r w:rsidRPr="00775C62">
        <w:rPr>
          <w:rFonts w:ascii="Times New Roman" w:hAnsi="Times New Roman" w:cs="Times New Roman"/>
          <w:noProof/>
          <w:sz w:val="22"/>
          <w:lang w:val="en-US"/>
        </w:rPr>
        <w:t> </w:t>
      </w:r>
      <w:r w:rsidRPr="00775C62">
        <w:rPr>
          <w:rFonts w:ascii="Garamond" w:hAnsi="Garamond" w:cs="Times New Roman"/>
          <w:noProof/>
          <w:sz w:val="22"/>
          <w:lang w:val="en-US"/>
        </w:rPr>
        <w:t xml:space="preserve">: a longitudinal analysis of administrative data for England between 2006 and 2016. </w:t>
      </w:r>
      <w:r w:rsidRPr="00775C62">
        <w:rPr>
          <w:rFonts w:ascii="Garamond" w:hAnsi="Garamond" w:cs="Times New Roman"/>
          <w:i/>
          <w:iCs/>
          <w:noProof/>
          <w:sz w:val="22"/>
          <w:lang w:val="en-US"/>
        </w:rPr>
        <w:t>BMJ Open</w:t>
      </w:r>
      <w:r w:rsidRPr="00775C62">
        <w:rPr>
          <w:rFonts w:ascii="Garamond" w:hAnsi="Garamond" w:cs="Times New Roman"/>
          <w:noProof/>
          <w:sz w:val="22"/>
          <w:lang w:val="en-US"/>
        </w:rPr>
        <w:t xml:space="preserve"> 2018;</w:t>
      </w:r>
      <w:r w:rsidRPr="00775C62">
        <w:rPr>
          <w:rFonts w:ascii="Garamond" w:hAnsi="Garamond" w:cs="Times New Roman"/>
          <w:b/>
          <w:bCs/>
          <w:noProof/>
          <w:sz w:val="22"/>
          <w:lang w:val="en-US"/>
        </w:rPr>
        <w:t>8</w:t>
      </w:r>
      <w:r w:rsidRPr="00775C62">
        <w:rPr>
          <w:rFonts w:ascii="Garamond" w:hAnsi="Garamond" w:cs="Times New Roman"/>
          <w:noProof/>
          <w:sz w:val="22"/>
          <w:lang w:val="en-US"/>
        </w:rPr>
        <w:t>:1–10. doi:10.1136/bmjopen-2017-020325</w:t>
      </w:r>
    </w:p>
    <w:p w14:paraId="50F4D89D" w14:textId="77777777" w:rsidR="00775C62" w:rsidRPr="00775C62" w:rsidRDefault="00775C62" w:rsidP="00775C62">
      <w:pPr>
        <w:widowControl w:val="0"/>
        <w:autoSpaceDE w:val="0"/>
        <w:autoSpaceDN w:val="0"/>
        <w:adjustRightInd w:val="0"/>
        <w:spacing w:line="480" w:lineRule="auto"/>
        <w:ind w:left="640" w:hanging="640"/>
        <w:rPr>
          <w:rFonts w:ascii="Garamond" w:hAnsi="Garamond" w:cs="Times New Roman"/>
          <w:noProof/>
          <w:sz w:val="22"/>
          <w:lang w:val="en-US"/>
        </w:rPr>
      </w:pPr>
      <w:r w:rsidRPr="00775C62">
        <w:rPr>
          <w:rFonts w:ascii="Garamond" w:hAnsi="Garamond" w:cs="Times New Roman"/>
          <w:noProof/>
          <w:sz w:val="22"/>
          <w:lang w:val="en-US"/>
        </w:rPr>
        <w:t xml:space="preserve">35 </w:t>
      </w:r>
      <w:r w:rsidRPr="00775C62">
        <w:rPr>
          <w:rFonts w:ascii="Garamond" w:hAnsi="Garamond" w:cs="Times New Roman"/>
          <w:noProof/>
          <w:sz w:val="22"/>
          <w:lang w:val="en-US"/>
        </w:rPr>
        <w:tab/>
        <w:t xml:space="preserve">Friebel R, Dharmarajan K, Krumholz HM. Reductions in Readmission Rates Are Associated With Modest Improvements in Patient-reported Health Gains Following Hip and Knee Replacement in England. </w:t>
      </w:r>
      <w:r w:rsidRPr="00775C62">
        <w:rPr>
          <w:rFonts w:ascii="Garamond" w:hAnsi="Garamond" w:cs="Times New Roman"/>
          <w:i/>
          <w:iCs/>
          <w:noProof/>
          <w:sz w:val="22"/>
          <w:lang w:val="en-US"/>
        </w:rPr>
        <w:t>Med Care</w:t>
      </w:r>
      <w:r w:rsidRPr="00775C62">
        <w:rPr>
          <w:rFonts w:ascii="Garamond" w:hAnsi="Garamond" w:cs="Times New Roman"/>
          <w:noProof/>
          <w:sz w:val="22"/>
          <w:lang w:val="en-US"/>
        </w:rPr>
        <w:t xml:space="preserve"> 2017;</w:t>
      </w:r>
      <w:r w:rsidRPr="00775C62">
        <w:rPr>
          <w:rFonts w:ascii="Garamond" w:hAnsi="Garamond" w:cs="Times New Roman"/>
          <w:b/>
          <w:bCs/>
          <w:noProof/>
          <w:sz w:val="22"/>
          <w:lang w:val="en-US"/>
        </w:rPr>
        <w:t>55</w:t>
      </w:r>
      <w:r w:rsidRPr="00775C62">
        <w:rPr>
          <w:rFonts w:ascii="Garamond" w:hAnsi="Garamond" w:cs="Times New Roman"/>
          <w:noProof/>
          <w:sz w:val="22"/>
          <w:lang w:val="en-US"/>
        </w:rPr>
        <w:t>:834–40.</w:t>
      </w:r>
    </w:p>
    <w:p w14:paraId="5C26DC05" w14:textId="77777777" w:rsidR="00775C62" w:rsidRPr="00775C62" w:rsidRDefault="00775C62" w:rsidP="00775C62">
      <w:pPr>
        <w:widowControl w:val="0"/>
        <w:autoSpaceDE w:val="0"/>
        <w:autoSpaceDN w:val="0"/>
        <w:adjustRightInd w:val="0"/>
        <w:spacing w:line="480" w:lineRule="auto"/>
        <w:ind w:left="640" w:hanging="640"/>
        <w:rPr>
          <w:rFonts w:ascii="Garamond" w:hAnsi="Garamond" w:cs="Times New Roman"/>
          <w:noProof/>
          <w:sz w:val="22"/>
          <w:lang w:val="en-US"/>
        </w:rPr>
      </w:pPr>
      <w:r w:rsidRPr="00775C62">
        <w:rPr>
          <w:rFonts w:ascii="Garamond" w:hAnsi="Garamond" w:cs="Times New Roman"/>
          <w:noProof/>
          <w:sz w:val="22"/>
          <w:lang w:val="en-US"/>
        </w:rPr>
        <w:t xml:space="preserve">36 </w:t>
      </w:r>
      <w:r w:rsidRPr="00775C62">
        <w:rPr>
          <w:rFonts w:ascii="Garamond" w:hAnsi="Garamond" w:cs="Times New Roman"/>
          <w:noProof/>
          <w:sz w:val="22"/>
          <w:lang w:val="en-US"/>
        </w:rPr>
        <w:tab/>
        <w:t xml:space="preserve">Hsiao C. Panel data analysis-advantages and challenges. </w:t>
      </w:r>
      <w:r w:rsidRPr="00775C62">
        <w:rPr>
          <w:rFonts w:ascii="Garamond" w:hAnsi="Garamond" w:cs="Times New Roman"/>
          <w:i/>
          <w:iCs/>
          <w:noProof/>
          <w:sz w:val="22"/>
          <w:lang w:val="en-US"/>
        </w:rPr>
        <w:t>Test</w:t>
      </w:r>
      <w:r w:rsidRPr="00775C62">
        <w:rPr>
          <w:rFonts w:ascii="Garamond" w:hAnsi="Garamond" w:cs="Times New Roman"/>
          <w:noProof/>
          <w:sz w:val="22"/>
          <w:lang w:val="en-US"/>
        </w:rPr>
        <w:t xml:space="preserve"> 2007;</w:t>
      </w:r>
      <w:r w:rsidRPr="00775C62">
        <w:rPr>
          <w:rFonts w:ascii="Garamond" w:hAnsi="Garamond" w:cs="Times New Roman"/>
          <w:b/>
          <w:bCs/>
          <w:noProof/>
          <w:sz w:val="22"/>
          <w:lang w:val="en-US"/>
        </w:rPr>
        <w:t>16</w:t>
      </w:r>
      <w:r w:rsidRPr="00775C62">
        <w:rPr>
          <w:rFonts w:ascii="Garamond" w:hAnsi="Garamond" w:cs="Times New Roman"/>
          <w:noProof/>
          <w:sz w:val="22"/>
          <w:lang w:val="en-US"/>
        </w:rPr>
        <w:t>:1–22. doi:10.1007/s11749-007-0046-x</w:t>
      </w:r>
    </w:p>
    <w:p w14:paraId="59D3959D" w14:textId="77777777" w:rsidR="00775C62" w:rsidRPr="00775C62" w:rsidRDefault="00775C62" w:rsidP="00775C62">
      <w:pPr>
        <w:widowControl w:val="0"/>
        <w:autoSpaceDE w:val="0"/>
        <w:autoSpaceDN w:val="0"/>
        <w:adjustRightInd w:val="0"/>
        <w:spacing w:line="480" w:lineRule="auto"/>
        <w:ind w:left="640" w:hanging="640"/>
        <w:rPr>
          <w:rFonts w:ascii="Garamond" w:hAnsi="Garamond" w:cs="Times New Roman"/>
          <w:noProof/>
          <w:sz w:val="22"/>
          <w:lang w:val="en-US"/>
        </w:rPr>
      </w:pPr>
      <w:r w:rsidRPr="00775C62">
        <w:rPr>
          <w:rFonts w:ascii="Garamond" w:hAnsi="Garamond" w:cs="Times New Roman"/>
          <w:noProof/>
          <w:sz w:val="22"/>
          <w:lang w:val="en-US"/>
        </w:rPr>
        <w:t xml:space="preserve">37 </w:t>
      </w:r>
      <w:r w:rsidRPr="00775C62">
        <w:rPr>
          <w:rFonts w:ascii="Garamond" w:hAnsi="Garamond" w:cs="Times New Roman"/>
          <w:noProof/>
          <w:sz w:val="22"/>
          <w:lang w:val="en-US"/>
        </w:rPr>
        <w:tab/>
        <w:t xml:space="preserve">Barber SL, Borowitz M, Bekedam H, </w:t>
      </w:r>
      <w:r w:rsidRPr="00775C62">
        <w:rPr>
          <w:rFonts w:ascii="Garamond" w:hAnsi="Garamond" w:cs="Times New Roman"/>
          <w:i/>
          <w:iCs/>
          <w:noProof/>
          <w:sz w:val="22"/>
          <w:lang w:val="en-US"/>
        </w:rPr>
        <w:t>et al.</w:t>
      </w:r>
      <w:r w:rsidRPr="00775C62">
        <w:rPr>
          <w:rFonts w:ascii="Garamond" w:hAnsi="Garamond" w:cs="Times New Roman"/>
          <w:noProof/>
          <w:sz w:val="22"/>
          <w:lang w:val="en-US"/>
        </w:rPr>
        <w:t xml:space="preserve"> The hospital of the future in China: China’s reform of public </w:t>
      </w:r>
      <w:r w:rsidRPr="00775C62">
        <w:rPr>
          <w:rFonts w:ascii="Garamond" w:hAnsi="Garamond" w:cs="Times New Roman"/>
          <w:noProof/>
          <w:sz w:val="22"/>
          <w:lang w:val="en-US"/>
        </w:rPr>
        <w:lastRenderedPageBreak/>
        <w:t xml:space="preserve">hospitals and trends from industrialized countries. </w:t>
      </w:r>
      <w:r w:rsidRPr="00775C62">
        <w:rPr>
          <w:rFonts w:ascii="Garamond" w:hAnsi="Garamond" w:cs="Times New Roman"/>
          <w:i/>
          <w:iCs/>
          <w:noProof/>
          <w:sz w:val="22"/>
          <w:lang w:val="en-US"/>
        </w:rPr>
        <w:t>Health Policy Plan</w:t>
      </w:r>
      <w:r w:rsidRPr="00775C62">
        <w:rPr>
          <w:rFonts w:ascii="Garamond" w:hAnsi="Garamond" w:cs="Times New Roman"/>
          <w:noProof/>
          <w:sz w:val="22"/>
          <w:lang w:val="en-US"/>
        </w:rPr>
        <w:t xml:space="preserve"> 2014;</w:t>
      </w:r>
      <w:r w:rsidRPr="00775C62">
        <w:rPr>
          <w:rFonts w:ascii="Garamond" w:hAnsi="Garamond" w:cs="Times New Roman"/>
          <w:b/>
          <w:bCs/>
          <w:noProof/>
          <w:sz w:val="22"/>
          <w:lang w:val="en-US"/>
        </w:rPr>
        <w:t>29</w:t>
      </w:r>
      <w:r w:rsidRPr="00775C62">
        <w:rPr>
          <w:rFonts w:ascii="Garamond" w:hAnsi="Garamond" w:cs="Times New Roman"/>
          <w:noProof/>
          <w:sz w:val="22"/>
          <w:lang w:val="en-US"/>
        </w:rPr>
        <w:t>:367–78. doi:10.1093/heapol/czt023</w:t>
      </w:r>
    </w:p>
    <w:p w14:paraId="251F9429" w14:textId="77777777" w:rsidR="00775C62" w:rsidRPr="00775C62" w:rsidRDefault="00775C62" w:rsidP="00775C62">
      <w:pPr>
        <w:widowControl w:val="0"/>
        <w:autoSpaceDE w:val="0"/>
        <w:autoSpaceDN w:val="0"/>
        <w:adjustRightInd w:val="0"/>
        <w:spacing w:line="480" w:lineRule="auto"/>
        <w:ind w:left="640" w:hanging="640"/>
        <w:rPr>
          <w:rFonts w:ascii="Garamond" w:hAnsi="Garamond" w:cs="Times New Roman"/>
          <w:noProof/>
          <w:sz w:val="22"/>
          <w:lang w:val="en-US"/>
        </w:rPr>
      </w:pPr>
      <w:r w:rsidRPr="00775C62">
        <w:rPr>
          <w:rFonts w:ascii="Garamond" w:hAnsi="Garamond" w:cs="Times New Roman"/>
          <w:noProof/>
          <w:sz w:val="22"/>
          <w:lang w:val="en-US"/>
        </w:rPr>
        <w:t xml:space="preserve">38 </w:t>
      </w:r>
      <w:r w:rsidRPr="00775C62">
        <w:rPr>
          <w:rFonts w:ascii="Garamond" w:hAnsi="Garamond" w:cs="Times New Roman"/>
          <w:noProof/>
          <w:sz w:val="22"/>
          <w:lang w:val="en-US"/>
        </w:rPr>
        <w:tab/>
        <w:t xml:space="preserve">Chrusch CA, Olafson KP, McMillan PM, </w:t>
      </w:r>
      <w:r w:rsidRPr="00775C62">
        <w:rPr>
          <w:rFonts w:ascii="Garamond" w:hAnsi="Garamond" w:cs="Times New Roman"/>
          <w:i/>
          <w:iCs/>
          <w:noProof/>
          <w:sz w:val="22"/>
          <w:lang w:val="en-US"/>
        </w:rPr>
        <w:t>et al.</w:t>
      </w:r>
      <w:r w:rsidRPr="00775C62">
        <w:rPr>
          <w:rFonts w:ascii="Garamond" w:hAnsi="Garamond" w:cs="Times New Roman"/>
          <w:noProof/>
          <w:sz w:val="22"/>
          <w:lang w:val="en-US"/>
        </w:rPr>
        <w:t xml:space="preserve"> High occupancy increases the risk of early death or readmission after transfer from intensive care*. </w:t>
      </w:r>
      <w:r w:rsidRPr="00775C62">
        <w:rPr>
          <w:rFonts w:ascii="Garamond" w:hAnsi="Garamond" w:cs="Times New Roman"/>
          <w:i/>
          <w:iCs/>
          <w:noProof/>
          <w:sz w:val="22"/>
          <w:lang w:val="en-US"/>
        </w:rPr>
        <w:t>Crit Care Med</w:t>
      </w:r>
      <w:r w:rsidRPr="00775C62">
        <w:rPr>
          <w:rFonts w:ascii="Garamond" w:hAnsi="Garamond" w:cs="Times New Roman"/>
          <w:noProof/>
          <w:sz w:val="22"/>
          <w:lang w:val="en-US"/>
        </w:rPr>
        <w:t xml:space="preserve"> 2009;</w:t>
      </w:r>
      <w:r w:rsidRPr="00775C62">
        <w:rPr>
          <w:rFonts w:ascii="Garamond" w:hAnsi="Garamond" w:cs="Times New Roman"/>
          <w:b/>
          <w:bCs/>
          <w:noProof/>
          <w:sz w:val="22"/>
          <w:lang w:val="en-US"/>
        </w:rPr>
        <w:t>37</w:t>
      </w:r>
      <w:r w:rsidRPr="00775C62">
        <w:rPr>
          <w:rFonts w:ascii="Garamond" w:hAnsi="Garamond" w:cs="Times New Roman"/>
          <w:noProof/>
          <w:sz w:val="22"/>
          <w:lang w:val="en-US"/>
        </w:rPr>
        <w:t>:2753–8. doi:10.1097/CCM.0b013e3181a57b0c</w:t>
      </w:r>
    </w:p>
    <w:p w14:paraId="4783A07E" w14:textId="77777777" w:rsidR="00775C62" w:rsidRPr="00775C62" w:rsidRDefault="00775C62" w:rsidP="00775C62">
      <w:pPr>
        <w:widowControl w:val="0"/>
        <w:autoSpaceDE w:val="0"/>
        <w:autoSpaceDN w:val="0"/>
        <w:adjustRightInd w:val="0"/>
        <w:spacing w:line="480" w:lineRule="auto"/>
        <w:ind w:left="640" w:hanging="640"/>
        <w:rPr>
          <w:rFonts w:ascii="Garamond" w:hAnsi="Garamond" w:cs="Times New Roman"/>
          <w:noProof/>
          <w:sz w:val="22"/>
          <w:lang w:val="en-US"/>
        </w:rPr>
      </w:pPr>
      <w:r w:rsidRPr="00775C62">
        <w:rPr>
          <w:rFonts w:ascii="Garamond" w:hAnsi="Garamond" w:cs="Times New Roman"/>
          <w:noProof/>
          <w:sz w:val="22"/>
          <w:lang w:val="en-US"/>
        </w:rPr>
        <w:t xml:space="preserve">39 </w:t>
      </w:r>
      <w:r w:rsidRPr="00775C62">
        <w:rPr>
          <w:rFonts w:ascii="Garamond" w:hAnsi="Garamond" w:cs="Times New Roman"/>
          <w:noProof/>
          <w:sz w:val="22"/>
          <w:lang w:val="en-US"/>
        </w:rPr>
        <w:tab/>
        <w:t>NHS England and NHS Improvement. Winter Daily SitRep 2012-13 Data. 2012.</w:t>
      </w:r>
    </w:p>
    <w:p w14:paraId="1FB0D313" w14:textId="77777777" w:rsidR="00775C62" w:rsidRPr="00775C62" w:rsidRDefault="00775C62" w:rsidP="00775C62">
      <w:pPr>
        <w:widowControl w:val="0"/>
        <w:autoSpaceDE w:val="0"/>
        <w:autoSpaceDN w:val="0"/>
        <w:adjustRightInd w:val="0"/>
        <w:spacing w:line="480" w:lineRule="auto"/>
        <w:ind w:left="640" w:hanging="640"/>
        <w:rPr>
          <w:rFonts w:ascii="Garamond" w:hAnsi="Garamond" w:cs="Times New Roman"/>
          <w:noProof/>
          <w:sz w:val="22"/>
          <w:lang w:val="en-US"/>
        </w:rPr>
      </w:pPr>
      <w:r w:rsidRPr="00775C62">
        <w:rPr>
          <w:rFonts w:ascii="Garamond" w:hAnsi="Garamond" w:cs="Times New Roman"/>
          <w:noProof/>
          <w:sz w:val="22"/>
          <w:lang w:val="en-US"/>
        </w:rPr>
        <w:t xml:space="preserve">40 </w:t>
      </w:r>
      <w:r w:rsidRPr="00775C62">
        <w:rPr>
          <w:rFonts w:ascii="Garamond" w:hAnsi="Garamond" w:cs="Times New Roman"/>
          <w:noProof/>
          <w:sz w:val="22"/>
          <w:lang w:val="en-US"/>
        </w:rPr>
        <w:tab/>
        <w:t xml:space="preserve">Department of Health. Equity and excellence: Liberating the NHS. London, England: 2010. </w:t>
      </w:r>
    </w:p>
    <w:p w14:paraId="5D9E3673" w14:textId="77777777" w:rsidR="00775C62" w:rsidRPr="00775C62" w:rsidRDefault="00775C62" w:rsidP="00775C62">
      <w:pPr>
        <w:widowControl w:val="0"/>
        <w:autoSpaceDE w:val="0"/>
        <w:autoSpaceDN w:val="0"/>
        <w:adjustRightInd w:val="0"/>
        <w:spacing w:line="480" w:lineRule="auto"/>
        <w:ind w:left="640" w:hanging="640"/>
        <w:rPr>
          <w:rFonts w:ascii="Garamond" w:hAnsi="Garamond" w:cs="Times New Roman"/>
          <w:noProof/>
          <w:sz w:val="22"/>
          <w:lang w:val="en-US"/>
        </w:rPr>
      </w:pPr>
      <w:r w:rsidRPr="00775C62">
        <w:rPr>
          <w:rFonts w:ascii="Garamond" w:hAnsi="Garamond" w:cs="Times New Roman"/>
          <w:noProof/>
          <w:sz w:val="22"/>
          <w:lang w:val="en-US"/>
        </w:rPr>
        <w:t xml:space="preserve">41 </w:t>
      </w:r>
      <w:r w:rsidRPr="00775C62">
        <w:rPr>
          <w:rFonts w:ascii="Garamond" w:hAnsi="Garamond" w:cs="Times New Roman"/>
          <w:noProof/>
          <w:sz w:val="22"/>
          <w:lang w:val="en-US"/>
        </w:rPr>
        <w:tab/>
        <w:t>Centers for Medicare &amp; Medicaid Services. Readmissions Reduction Program (HRRP). 2016.</w:t>
      </w:r>
    </w:p>
    <w:p w14:paraId="199BBC9C" w14:textId="77777777" w:rsidR="00775C62" w:rsidRPr="00775C62" w:rsidRDefault="00775C62" w:rsidP="00775C62">
      <w:pPr>
        <w:widowControl w:val="0"/>
        <w:autoSpaceDE w:val="0"/>
        <w:autoSpaceDN w:val="0"/>
        <w:adjustRightInd w:val="0"/>
        <w:spacing w:line="480" w:lineRule="auto"/>
        <w:ind w:left="640" w:hanging="640"/>
        <w:rPr>
          <w:rFonts w:ascii="Garamond" w:hAnsi="Garamond" w:cs="Times New Roman"/>
          <w:noProof/>
          <w:sz w:val="22"/>
          <w:lang w:val="en-US"/>
        </w:rPr>
      </w:pPr>
      <w:r w:rsidRPr="00775C62">
        <w:rPr>
          <w:rFonts w:ascii="Garamond" w:hAnsi="Garamond" w:cs="Times New Roman"/>
          <w:noProof/>
          <w:sz w:val="22"/>
          <w:lang w:val="en-US"/>
        </w:rPr>
        <w:t xml:space="preserve">42 </w:t>
      </w:r>
      <w:r w:rsidRPr="00775C62">
        <w:rPr>
          <w:rFonts w:ascii="Garamond" w:hAnsi="Garamond" w:cs="Times New Roman"/>
          <w:noProof/>
          <w:sz w:val="22"/>
          <w:lang w:val="en-US"/>
        </w:rPr>
        <w:tab/>
        <w:t xml:space="preserve">Friebel R, Hauck K, Aylin P. Centralisation of acute stroke services in London: Impact evaluation using two treatment groups. </w:t>
      </w:r>
      <w:r w:rsidRPr="00775C62">
        <w:rPr>
          <w:rFonts w:ascii="Garamond" w:hAnsi="Garamond" w:cs="Times New Roman"/>
          <w:i/>
          <w:iCs/>
          <w:noProof/>
          <w:sz w:val="22"/>
          <w:lang w:val="en-US"/>
        </w:rPr>
        <w:t>Heal Econ (United Kingdom)</w:t>
      </w:r>
      <w:r w:rsidRPr="00775C62">
        <w:rPr>
          <w:rFonts w:ascii="Garamond" w:hAnsi="Garamond" w:cs="Times New Roman"/>
          <w:noProof/>
          <w:sz w:val="22"/>
          <w:lang w:val="en-US"/>
        </w:rPr>
        <w:t xml:space="preserve"> 2017;:1–11. doi:10.1002/hec.3630</w:t>
      </w:r>
    </w:p>
    <w:p w14:paraId="069F768E" w14:textId="77777777" w:rsidR="00775C62" w:rsidRPr="00775C62" w:rsidRDefault="00775C62" w:rsidP="00775C62">
      <w:pPr>
        <w:widowControl w:val="0"/>
        <w:autoSpaceDE w:val="0"/>
        <w:autoSpaceDN w:val="0"/>
        <w:adjustRightInd w:val="0"/>
        <w:spacing w:line="480" w:lineRule="auto"/>
        <w:ind w:left="640" w:hanging="640"/>
        <w:rPr>
          <w:rFonts w:ascii="Garamond" w:hAnsi="Garamond" w:cs="Times New Roman"/>
          <w:noProof/>
          <w:sz w:val="22"/>
          <w:lang w:val="en-US"/>
        </w:rPr>
      </w:pPr>
      <w:r w:rsidRPr="00775C62">
        <w:rPr>
          <w:rFonts w:ascii="Garamond" w:hAnsi="Garamond" w:cs="Times New Roman"/>
          <w:noProof/>
          <w:sz w:val="22"/>
          <w:lang w:val="en-US"/>
        </w:rPr>
        <w:t xml:space="preserve">43 </w:t>
      </w:r>
      <w:r w:rsidRPr="00775C62">
        <w:rPr>
          <w:rFonts w:ascii="Garamond" w:hAnsi="Garamond" w:cs="Times New Roman"/>
          <w:noProof/>
          <w:sz w:val="22"/>
          <w:lang w:val="en-US"/>
        </w:rPr>
        <w:tab/>
        <w:t xml:space="preserve">Friedman B, Basu J. The rate and cost of hospital readmissions for preventable conditions. </w:t>
      </w:r>
      <w:r w:rsidRPr="00775C62">
        <w:rPr>
          <w:rFonts w:ascii="Garamond" w:hAnsi="Garamond" w:cs="Times New Roman"/>
          <w:i/>
          <w:iCs/>
          <w:noProof/>
          <w:sz w:val="22"/>
          <w:lang w:val="en-US"/>
        </w:rPr>
        <w:t>Med care Res Rev</w:t>
      </w:r>
      <w:r w:rsidRPr="00775C62">
        <w:rPr>
          <w:rFonts w:ascii="Garamond" w:hAnsi="Garamond" w:cs="Times New Roman"/>
          <w:noProof/>
          <w:sz w:val="22"/>
          <w:lang w:val="en-US"/>
        </w:rPr>
        <w:t xml:space="preserve"> 2004;</w:t>
      </w:r>
      <w:r w:rsidRPr="00775C62">
        <w:rPr>
          <w:rFonts w:ascii="Garamond" w:hAnsi="Garamond" w:cs="Times New Roman"/>
          <w:b/>
          <w:bCs/>
          <w:noProof/>
          <w:sz w:val="22"/>
          <w:lang w:val="en-US"/>
        </w:rPr>
        <w:t>61</w:t>
      </w:r>
      <w:r w:rsidRPr="00775C62">
        <w:rPr>
          <w:rFonts w:ascii="Garamond" w:hAnsi="Garamond" w:cs="Times New Roman"/>
          <w:noProof/>
          <w:sz w:val="22"/>
          <w:lang w:val="en-US"/>
        </w:rPr>
        <w:t>:225–40. doi:10.1177/1077558704263799</w:t>
      </w:r>
    </w:p>
    <w:p w14:paraId="2E93DCCF" w14:textId="77777777" w:rsidR="00775C62" w:rsidRPr="00775C62" w:rsidRDefault="00775C62" w:rsidP="00775C62">
      <w:pPr>
        <w:widowControl w:val="0"/>
        <w:autoSpaceDE w:val="0"/>
        <w:autoSpaceDN w:val="0"/>
        <w:adjustRightInd w:val="0"/>
        <w:spacing w:line="480" w:lineRule="auto"/>
        <w:ind w:left="640" w:hanging="640"/>
        <w:rPr>
          <w:rFonts w:ascii="Garamond" w:hAnsi="Garamond" w:cs="Times New Roman"/>
          <w:noProof/>
          <w:sz w:val="22"/>
          <w:lang w:val="en-US"/>
        </w:rPr>
      </w:pPr>
      <w:r w:rsidRPr="00775C62">
        <w:rPr>
          <w:rFonts w:ascii="Garamond" w:hAnsi="Garamond" w:cs="Times New Roman"/>
          <w:noProof/>
          <w:sz w:val="22"/>
          <w:lang w:val="en-US"/>
        </w:rPr>
        <w:t xml:space="preserve">44 </w:t>
      </w:r>
      <w:r w:rsidRPr="00775C62">
        <w:rPr>
          <w:rFonts w:ascii="Garamond" w:hAnsi="Garamond" w:cs="Times New Roman"/>
          <w:noProof/>
          <w:sz w:val="22"/>
          <w:lang w:val="en-US"/>
        </w:rPr>
        <w:tab/>
        <w:t xml:space="preserve">Fischer C, Lingsma HF, Marang-van De Mheen PJ, </w:t>
      </w:r>
      <w:r w:rsidRPr="00775C62">
        <w:rPr>
          <w:rFonts w:ascii="Garamond" w:hAnsi="Garamond" w:cs="Times New Roman"/>
          <w:i/>
          <w:iCs/>
          <w:noProof/>
          <w:sz w:val="22"/>
          <w:lang w:val="en-US"/>
        </w:rPr>
        <w:t>et al.</w:t>
      </w:r>
      <w:r w:rsidRPr="00775C62">
        <w:rPr>
          <w:rFonts w:ascii="Garamond" w:hAnsi="Garamond" w:cs="Times New Roman"/>
          <w:noProof/>
          <w:sz w:val="22"/>
          <w:lang w:val="en-US"/>
        </w:rPr>
        <w:t xml:space="preserve"> Is the readmission rate a valid quality indicator? A review of the evidence. </w:t>
      </w:r>
      <w:r w:rsidRPr="00775C62">
        <w:rPr>
          <w:rFonts w:ascii="Garamond" w:hAnsi="Garamond" w:cs="Times New Roman"/>
          <w:i/>
          <w:iCs/>
          <w:noProof/>
          <w:sz w:val="22"/>
          <w:lang w:val="en-US"/>
        </w:rPr>
        <w:t>PLoS One</w:t>
      </w:r>
      <w:r w:rsidRPr="00775C62">
        <w:rPr>
          <w:rFonts w:ascii="Garamond" w:hAnsi="Garamond" w:cs="Times New Roman"/>
          <w:noProof/>
          <w:sz w:val="22"/>
          <w:lang w:val="en-US"/>
        </w:rPr>
        <w:t xml:space="preserve"> 2014;</w:t>
      </w:r>
      <w:r w:rsidRPr="00775C62">
        <w:rPr>
          <w:rFonts w:ascii="Garamond" w:hAnsi="Garamond" w:cs="Times New Roman"/>
          <w:b/>
          <w:bCs/>
          <w:noProof/>
          <w:sz w:val="22"/>
          <w:lang w:val="en-US"/>
        </w:rPr>
        <w:t>9</w:t>
      </w:r>
      <w:r w:rsidRPr="00775C62">
        <w:rPr>
          <w:rFonts w:ascii="Garamond" w:hAnsi="Garamond" w:cs="Times New Roman"/>
          <w:noProof/>
          <w:sz w:val="22"/>
          <w:lang w:val="en-US"/>
        </w:rPr>
        <w:t>:1–9. doi:10.1371/journal.pone.0112282</w:t>
      </w:r>
    </w:p>
    <w:p w14:paraId="798AC604" w14:textId="77777777" w:rsidR="00775C62" w:rsidRPr="00775C62" w:rsidRDefault="00775C62" w:rsidP="00775C62">
      <w:pPr>
        <w:widowControl w:val="0"/>
        <w:autoSpaceDE w:val="0"/>
        <w:autoSpaceDN w:val="0"/>
        <w:adjustRightInd w:val="0"/>
        <w:spacing w:line="480" w:lineRule="auto"/>
        <w:ind w:left="640" w:hanging="640"/>
        <w:rPr>
          <w:rFonts w:ascii="Garamond" w:hAnsi="Garamond" w:cs="Times New Roman"/>
          <w:noProof/>
          <w:sz w:val="22"/>
          <w:lang w:val="en-US"/>
        </w:rPr>
      </w:pPr>
      <w:r w:rsidRPr="00775C62">
        <w:rPr>
          <w:rFonts w:ascii="Garamond" w:hAnsi="Garamond" w:cs="Times New Roman"/>
          <w:noProof/>
          <w:sz w:val="22"/>
          <w:lang w:val="en-US"/>
        </w:rPr>
        <w:t xml:space="preserve">45 </w:t>
      </w:r>
      <w:r w:rsidRPr="00775C62">
        <w:rPr>
          <w:rFonts w:ascii="Garamond" w:hAnsi="Garamond" w:cs="Times New Roman"/>
          <w:noProof/>
          <w:sz w:val="22"/>
          <w:lang w:val="en-US"/>
        </w:rPr>
        <w:tab/>
        <w:t xml:space="preserve">Krumholz HM. Post-Hospital Syndrome - An Acquired, Transient Condition of Generalized Risk. </w:t>
      </w:r>
      <w:r w:rsidRPr="00775C62">
        <w:rPr>
          <w:rFonts w:ascii="Garamond" w:hAnsi="Garamond" w:cs="Times New Roman"/>
          <w:i/>
          <w:iCs/>
          <w:noProof/>
          <w:sz w:val="22"/>
          <w:lang w:val="en-US"/>
        </w:rPr>
        <w:t>N Engl J Med</w:t>
      </w:r>
      <w:r w:rsidRPr="00775C62">
        <w:rPr>
          <w:rFonts w:ascii="Garamond" w:hAnsi="Garamond" w:cs="Times New Roman"/>
          <w:noProof/>
          <w:sz w:val="22"/>
          <w:lang w:val="en-US"/>
        </w:rPr>
        <w:t xml:space="preserve"> 2013;</w:t>
      </w:r>
      <w:r w:rsidRPr="00775C62">
        <w:rPr>
          <w:rFonts w:ascii="Garamond" w:hAnsi="Garamond" w:cs="Times New Roman"/>
          <w:b/>
          <w:bCs/>
          <w:noProof/>
          <w:sz w:val="22"/>
          <w:lang w:val="en-US"/>
        </w:rPr>
        <w:t>368</w:t>
      </w:r>
      <w:r w:rsidRPr="00775C62">
        <w:rPr>
          <w:rFonts w:ascii="Garamond" w:hAnsi="Garamond" w:cs="Times New Roman"/>
          <w:noProof/>
          <w:sz w:val="22"/>
          <w:lang w:val="en-US"/>
        </w:rPr>
        <w:t>:100–2. doi:10.1056/NEJMp1211581</w:t>
      </w:r>
    </w:p>
    <w:p w14:paraId="5BDB78F8" w14:textId="77777777" w:rsidR="00775C62" w:rsidRPr="00775C62" w:rsidRDefault="00775C62" w:rsidP="00775C62">
      <w:pPr>
        <w:widowControl w:val="0"/>
        <w:autoSpaceDE w:val="0"/>
        <w:autoSpaceDN w:val="0"/>
        <w:adjustRightInd w:val="0"/>
        <w:spacing w:line="480" w:lineRule="auto"/>
        <w:ind w:left="640" w:hanging="640"/>
        <w:rPr>
          <w:rFonts w:ascii="Garamond" w:hAnsi="Garamond" w:cs="Times New Roman"/>
          <w:noProof/>
          <w:sz w:val="22"/>
          <w:lang w:val="en-US"/>
        </w:rPr>
      </w:pPr>
      <w:r w:rsidRPr="00775C62">
        <w:rPr>
          <w:rFonts w:ascii="Garamond" w:hAnsi="Garamond" w:cs="Times New Roman"/>
          <w:noProof/>
          <w:sz w:val="22"/>
          <w:lang w:val="en-US"/>
        </w:rPr>
        <w:t xml:space="preserve">46 </w:t>
      </w:r>
      <w:r w:rsidRPr="00775C62">
        <w:rPr>
          <w:rFonts w:ascii="Garamond" w:hAnsi="Garamond" w:cs="Times New Roman"/>
          <w:noProof/>
          <w:sz w:val="22"/>
          <w:lang w:val="en-US"/>
        </w:rPr>
        <w:tab/>
        <w:t>Friebel R, Steventon A. Composite measures of healthcare quality</w:t>
      </w:r>
      <w:r w:rsidRPr="00775C62">
        <w:rPr>
          <w:rFonts w:ascii="Times New Roman" w:hAnsi="Times New Roman" w:cs="Times New Roman"/>
          <w:noProof/>
          <w:sz w:val="22"/>
          <w:lang w:val="en-US"/>
        </w:rPr>
        <w:t> </w:t>
      </w:r>
      <w:r w:rsidRPr="00775C62">
        <w:rPr>
          <w:rFonts w:ascii="Garamond" w:hAnsi="Garamond" w:cs="Times New Roman"/>
          <w:noProof/>
          <w:sz w:val="22"/>
          <w:lang w:val="en-US"/>
        </w:rPr>
        <w:t xml:space="preserve">: sensible in theory , problematic in practice. </w:t>
      </w:r>
      <w:r w:rsidRPr="00775C62">
        <w:rPr>
          <w:rFonts w:ascii="Garamond" w:hAnsi="Garamond" w:cs="Times New Roman"/>
          <w:i/>
          <w:iCs/>
          <w:noProof/>
          <w:sz w:val="22"/>
          <w:lang w:val="en-US"/>
        </w:rPr>
        <w:t>BMJ Qual Saf</w:t>
      </w:r>
      <w:r w:rsidRPr="00775C62">
        <w:rPr>
          <w:rFonts w:ascii="Garamond" w:hAnsi="Garamond" w:cs="Times New Roman"/>
          <w:noProof/>
          <w:sz w:val="22"/>
          <w:lang w:val="en-US"/>
        </w:rPr>
        <w:t xml:space="preserve"> 2019;</w:t>
      </w:r>
      <w:r w:rsidRPr="00775C62">
        <w:rPr>
          <w:rFonts w:ascii="Garamond" w:hAnsi="Garamond" w:cs="Times New Roman"/>
          <w:b/>
          <w:bCs/>
          <w:noProof/>
          <w:sz w:val="22"/>
          <w:lang w:val="en-US"/>
        </w:rPr>
        <w:t>28</w:t>
      </w:r>
      <w:r w:rsidRPr="00775C62">
        <w:rPr>
          <w:rFonts w:ascii="Garamond" w:hAnsi="Garamond" w:cs="Times New Roman"/>
          <w:noProof/>
          <w:sz w:val="22"/>
          <w:lang w:val="en-US"/>
        </w:rPr>
        <w:t>:85–8. doi:10.1136/bmjqs-2018-008280</w:t>
      </w:r>
    </w:p>
    <w:p w14:paraId="0DBCA321" w14:textId="77777777" w:rsidR="00775C62" w:rsidRPr="00775C62" w:rsidRDefault="00775C62" w:rsidP="00775C62">
      <w:pPr>
        <w:widowControl w:val="0"/>
        <w:autoSpaceDE w:val="0"/>
        <w:autoSpaceDN w:val="0"/>
        <w:adjustRightInd w:val="0"/>
        <w:spacing w:line="480" w:lineRule="auto"/>
        <w:ind w:left="640" w:hanging="640"/>
        <w:rPr>
          <w:rFonts w:ascii="Garamond" w:hAnsi="Garamond" w:cs="Times New Roman"/>
          <w:noProof/>
          <w:sz w:val="22"/>
          <w:lang w:val="en-US"/>
        </w:rPr>
      </w:pPr>
      <w:r w:rsidRPr="00775C62">
        <w:rPr>
          <w:rFonts w:ascii="Garamond" w:hAnsi="Garamond" w:cs="Times New Roman"/>
          <w:noProof/>
          <w:sz w:val="22"/>
          <w:lang w:val="en-US"/>
        </w:rPr>
        <w:t xml:space="preserve">47 </w:t>
      </w:r>
      <w:r w:rsidRPr="00775C62">
        <w:rPr>
          <w:rFonts w:ascii="Garamond" w:hAnsi="Garamond" w:cs="Times New Roman"/>
          <w:noProof/>
          <w:sz w:val="22"/>
          <w:lang w:val="en-US"/>
        </w:rPr>
        <w:tab/>
        <w:t xml:space="preserve">Cooke MW, Wilson S, Halsall J, </w:t>
      </w:r>
      <w:r w:rsidRPr="00775C62">
        <w:rPr>
          <w:rFonts w:ascii="Garamond" w:hAnsi="Garamond" w:cs="Times New Roman"/>
          <w:i/>
          <w:iCs/>
          <w:noProof/>
          <w:sz w:val="22"/>
          <w:lang w:val="en-US"/>
        </w:rPr>
        <w:t>et al.</w:t>
      </w:r>
      <w:r w:rsidRPr="00775C62">
        <w:rPr>
          <w:rFonts w:ascii="Garamond" w:hAnsi="Garamond" w:cs="Times New Roman"/>
          <w:noProof/>
          <w:sz w:val="22"/>
          <w:lang w:val="en-US"/>
        </w:rPr>
        <w:t xml:space="preserve"> Total time in English accident and emergency departments is related to bed occupancy. </w:t>
      </w:r>
      <w:r w:rsidRPr="00775C62">
        <w:rPr>
          <w:rFonts w:ascii="Garamond" w:hAnsi="Garamond" w:cs="Times New Roman"/>
          <w:i/>
          <w:iCs/>
          <w:noProof/>
          <w:sz w:val="22"/>
          <w:lang w:val="en-US"/>
        </w:rPr>
        <w:t>Emerg Med J</w:t>
      </w:r>
      <w:r w:rsidRPr="00775C62">
        <w:rPr>
          <w:rFonts w:ascii="Garamond" w:hAnsi="Garamond" w:cs="Times New Roman"/>
          <w:noProof/>
          <w:sz w:val="22"/>
          <w:lang w:val="en-US"/>
        </w:rPr>
        <w:t xml:space="preserve"> 2004;</w:t>
      </w:r>
      <w:r w:rsidRPr="00775C62">
        <w:rPr>
          <w:rFonts w:ascii="Garamond" w:hAnsi="Garamond" w:cs="Times New Roman"/>
          <w:b/>
          <w:bCs/>
          <w:noProof/>
          <w:sz w:val="22"/>
          <w:lang w:val="en-US"/>
        </w:rPr>
        <w:t>21</w:t>
      </w:r>
      <w:r w:rsidRPr="00775C62">
        <w:rPr>
          <w:rFonts w:ascii="Garamond" w:hAnsi="Garamond" w:cs="Times New Roman"/>
          <w:noProof/>
          <w:sz w:val="22"/>
          <w:lang w:val="en-US"/>
        </w:rPr>
        <w:t>:575–6. doi:10.1136/emj.2004.015081</w:t>
      </w:r>
    </w:p>
    <w:p w14:paraId="18CAE515" w14:textId="77777777" w:rsidR="00775C62" w:rsidRPr="00775C62" w:rsidRDefault="00775C62" w:rsidP="00775C62">
      <w:pPr>
        <w:widowControl w:val="0"/>
        <w:autoSpaceDE w:val="0"/>
        <w:autoSpaceDN w:val="0"/>
        <w:adjustRightInd w:val="0"/>
        <w:spacing w:line="480" w:lineRule="auto"/>
        <w:ind w:left="640" w:hanging="640"/>
        <w:rPr>
          <w:rFonts w:ascii="Garamond" w:hAnsi="Garamond" w:cs="Times New Roman"/>
          <w:noProof/>
          <w:sz w:val="22"/>
          <w:lang w:val="en-US"/>
        </w:rPr>
      </w:pPr>
      <w:r w:rsidRPr="00775C62">
        <w:rPr>
          <w:rFonts w:ascii="Garamond" w:hAnsi="Garamond" w:cs="Times New Roman"/>
          <w:noProof/>
          <w:sz w:val="22"/>
          <w:lang w:val="en-US"/>
        </w:rPr>
        <w:lastRenderedPageBreak/>
        <w:t xml:space="preserve">48 </w:t>
      </w:r>
      <w:r w:rsidRPr="00775C62">
        <w:rPr>
          <w:rFonts w:ascii="Garamond" w:hAnsi="Garamond" w:cs="Times New Roman"/>
          <w:noProof/>
          <w:sz w:val="22"/>
          <w:lang w:val="en-US"/>
        </w:rPr>
        <w:tab/>
        <w:t xml:space="preserve">Krall S, O’Connor RE, Maercks L. Higher Inpatient Medical Surgical Bed Occupancy Extends Admitted Patients’ Stay. </w:t>
      </w:r>
      <w:r w:rsidRPr="00775C62">
        <w:rPr>
          <w:rFonts w:ascii="Garamond" w:hAnsi="Garamond" w:cs="Times New Roman"/>
          <w:i/>
          <w:iCs/>
          <w:noProof/>
          <w:sz w:val="22"/>
          <w:lang w:val="en-US"/>
        </w:rPr>
        <w:t>West J Emerg Med</w:t>
      </w:r>
      <w:r w:rsidRPr="00775C62">
        <w:rPr>
          <w:rFonts w:ascii="Garamond" w:hAnsi="Garamond" w:cs="Times New Roman"/>
          <w:noProof/>
          <w:sz w:val="22"/>
          <w:lang w:val="en-US"/>
        </w:rPr>
        <w:t xml:space="preserve"> 2009;</w:t>
      </w:r>
      <w:r w:rsidRPr="00775C62">
        <w:rPr>
          <w:rFonts w:ascii="Garamond" w:hAnsi="Garamond" w:cs="Times New Roman"/>
          <w:b/>
          <w:bCs/>
          <w:noProof/>
          <w:sz w:val="22"/>
          <w:lang w:val="en-US"/>
        </w:rPr>
        <w:t>10</w:t>
      </w:r>
      <w:r w:rsidRPr="00775C62">
        <w:rPr>
          <w:rFonts w:ascii="Garamond" w:hAnsi="Garamond" w:cs="Times New Roman"/>
          <w:noProof/>
          <w:sz w:val="22"/>
          <w:lang w:val="en-US"/>
        </w:rPr>
        <w:t>:93–6.</w:t>
      </w:r>
    </w:p>
    <w:p w14:paraId="3AC32408" w14:textId="77777777" w:rsidR="00775C62" w:rsidRPr="00775C62" w:rsidRDefault="00775C62" w:rsidP="00775C62">
      <w:pPr>
        <w:widowControl w:val="0"/>
        <w:autoSpaceDE w:val="0"/>
        <w:autoSpaceDN w:val="0"/>
        <w:adjustRightInd w:val="0"/>
        <w:spacing w:line="480" w:lineRule="auto"/>
        <w:ind w:left="640" w:hanging="640"/>
        <w:rPr>
          <w:rFonts w:ascii="Garamond" w:hAnsi="Garamond" w:cs="Times New Roman"/>
          <w:noProof/>
          <w:sz w:val="22"/>
          <w:lang w:val="en-US"/>
        </w:rPr>
      </w:pPr>
      <w:r w:rsidRPr="00775C62">
        <w:rPr>
          <w:rFonts w:ascii="Garamond" w:hAnsi="Garamond" w:cs="Times New Roman"/>
          <w:noProof/>
          <w:sz w:val="22"/>
          <w:lang w:val="en-US"/>
        </w:rPr>
        <w:t xml:space="preserve">49 </w:t>
      </w:r>
      <w:r w:rsidRPr="00775C62">
        <w:rPr>
          <w:rFonts w:ascii="Garamond" w:hAnsi="Garamond" w:cs="Times New Roman"/>
          <w:noProof/>
          <w:sz w:val="22"/>
          <w:lang w:val="en-US"/>
        </w:rPr>
        <w:tab/>
        <w:t>Friebel R, Steventon A. The multiple aims of pay-for- performance and the risk of unintended consequences. 2016. doi:10.1136/bmjqs-2016-005392</w:t>
      </w:r>
    </w:p>
    <w:p w14:paraId="6B4A12BB" w14:textId="77777777" w:rsidR="00775C62" w:rsidRPr="00775C62" w:rsidRDefault="00775C62" w:rsidP="00775C62">
      <w:pPr>
        <w:widowControl w:val="0"/>
        <w:autoSpaceDE w:val="0"/>
        <w:autoSpaceDN w:val="0"/>
        <w:adjustRightInd w:val="0"/>
        <w:spacing w:line="480" w:lineRule="auto"/>
        <w:ind w:left="640" w:hanging="640"/>
        <w:rPr>
          <w:rFonts w:ascii="Garamond" w:hAnsi="Garamond" w:cs="Times New Roman"/>
          <w:noProof/>
          <w:sz w:val="22"/>
          <w:lang w:val="en-US"/>
        </w:rPr>
      </w:pPr>
      <w:r w:rsidRPr="00775C62">
        <w:rPr>
          <w:rFonts w:ascii="Garamond" w:hAnsi="Garamond" w:cs="Times New Roman"/>
          <w:noProof/>
          <w:sz w:val="22"/>
          <w:lang w:val="en-US"/>
        </w:rPr>
        <w:t xml:space="preserve">50 </w:t>
      </w:r>
      <w:r w:rsidRPr="00775C62">
        <w:rPr>
          <w:rFonts w:ascii="Garamond" w:hAnsi="Garamond" w:cs="Times New Roman"/>
          <w:noProof/>
          <w:sz w:val="22"/>
          <w:lang w:val="en-US"/>
        </w:rPr>
        <w:tab/>
        <w:t>Department of Health. Quick Guide: Discharge to Assess. 2015.</w:t>
      </w:r>
    </w:p>
    <w:p w14:paraId="13BD893F" w14:textId="77777777" w:rsidR="00775C62" w:rsidRPr="00775C62" w:rsidRDefault="00775C62" w:rsidP="00775C62">
      <w:pPr>
        <w:widowControl w:val="0"/>
        <w:autoSpaceDE w:val="0"/>
        <w:autoSpaceDN w:val="0"/>
        <w:adjustRightInd w:val="0"/>
        <w:spacing w:line="480" w:lineRule="auto"/>
        <w:ind w:left="640" w:hanging="640"/>
        <w:rPr>
          <w:rFonts w:ascii="Garamond" w:hAnsi="Garamond" w:cs="Times New Roman"/>
          <w:noProof/>
          <w:sz w:val="22"/>
          <w:lang w:val="en-US"/>
        </w:rPr>
      </w:pPr>
      <w:r w:rsidRPr="00775C62">
        <w:rPr>
          <w:rFonts w:ascii="Garamond" w:hAnsi="Garamond" w:cs="Times New Roman"/>
          <w:noProof/>
          <w:sz w:val="22"/>
          <w:lang w:val="en-US"/>
        </w:rPr>
        <w:t xml:space="preserve">51 </w:t>
      </w:r>
      <w:r w:rsidRPr="00775C62">
        <w:rPr>
          <w:rFonts w:ascii="Garamond" w:hAnsi="Garamond" w:cs="Times New Roman"/>
          <w:noProof/>
          <w:sz w:val="22"/>
          <w:lang w:val="en-US"/>
        </w:rPr>
        <w:tab/>
        <w:t>Care C. NHS should employ more social workers, says chief social worker for adults. 2016.</w:t>
      </w:r>
    </w:p>
    <w:p w14:paraId="6946EC5B" w14:textId="77777777" w:rsidR="00775C62" w:rsidRPr="00775C62" w:rsidRDefault="00775C62" w:rsidP="00775C62">
      <w:pPr>
        <w:widowControl w:val="0"/>
        <w:autoSpaceDE w:val="0"/>
        <w:autoSpaceDN w:val="0"/>
        <w:adjustRightInd w:val="0"/>
        <w:spacing w:line="480" w:lineRule="auto"/>
        <w:ind w:left="640" w:hanging="640"/>
        <w:rPr>
          <w:rFonts w:ascii="Garamond" w:hAnsi="Garamond" w:cs="Times New Roman"/>
          <w:noProof/>
          <w:sz w:val="22"/>
          <w:lang w:val="en-US"/>
        </w:rPr>
      </w:pPr>
      <w:r w:rsidRPr="00775C62">
        <w:rPr>
          <w:rFonts w:ascii="Garamond" w:hAnsi="Garamond" w:cs="Times New Roman"/>
          <w:noProof/>
          <w:sz w:val="22"/>
          <w:lang w:val="en-US"/>
        </w:rPr>
        <w:t xml:space="preserve">52 </w:t>
      </w:r>
      <w:r w:rsidRPr="00775C62">
        <w:rPr>
          <w:rFonts w:ascii="Garamond" w:hAnsi="Garamond" w:cs="Times New Roman"/>
          <w:noProof/>
          <w:sz w:val="22"/>
          <w:lang w:val="en-US"/>
        </w:rPr>
        <w:tab/>
        <w:t xml:space="preserve">Department of Health. Transforming Primary Care. London: : Department of Health 2014. </w:t>
      </w:r>
    </w:p>
    <w:p w14:paraId="53AA409C" w14:textId="457D7903" w:rsidR="008C0982" w:rsidRPr="008C0982" w:rsidRDefault="00775C62" w:rsidP="008C0982">
      <w:pPr>
        <w:spacing w:line="360" w:lineRule="auto"/>
        <w:ind w:left="640" w:hanging="640"/>
        <w:rPr>
          <w:rFonts w:ascii="Garamond" w:hAnsi="Garamond"/>
          <w:sz w:val="22"/>
          <w:szCs w:val="22"/>
        </w:rPr>
      </w:pPr>
      <w:r w:rsidRPr="00775C62">
        <w:rPr>
          <w:rFonts w:ascii="Garamond" w:hAnsi="Garamond" w:cs="Times New Roman"/>
          <w:noProof/>
          <w:sz w:val="22"/>
          <w:lang w:val="en-US"/>
        </w:rPr>
        <w:t xml:space="preserve">53 </w:t>
      </w:r>
      <w:r w:rsidRPr="00775C62">
        <w:rPr>
          <w:rFonts w:ascii="Garamond" w:hAnsi="Garamond" w:cs="Times New Roman"/>
          <w:noProof/>
          <w:sz w:val="22"/>
          <w:lang w:val="en-US"/>
        </w:rPr>
        <w:tab/>
      </w:r>
      <w:r w:rsidRPr="008C0982">
        <w:rPr>
          <w:rFonts w:ascii="Garamond" w:hAnsi="Garamond" w:cs="Times New Roman"/>
          <w:noProof/>
          <w:sz w:val="22"/>
          <w:szCs w:val="22"/>
          <w:lang w:val="en-US"/>
        </w:rPr>
        <w:t xml:space="preserve">Barker I, Steventon A, Deeny SR. Association between continuity of care in general practice and hospital admissions for ambulatory care sensitive conditions: cross sectional study of routinely collected, person level data. </w:t>
      </w:r>
      <w:r w:rsidRPr="008C0982">
        <w:rPr>
          <w:rFonts w:ascii="Garamond" w:hAnsi="Garamond" w:cs="Times New Roman"/>
          <w:i/>
          <w:iCs/>
          <w:noProof/>
          <w:sz w:val="22"/>
          <w:szCs w:val="22"/>
          <w:lang w:val="en-US"/>
        </w:rPr>
        <w:t>BMJ</w:t>
      </w:r>
      <w:r w:rsidRPr="008C0982">
        <w:rPr>
          <w:rFonts w:ascii="Garamond" w:hAnsi="Garamond" w:cs="Times New Roman"/>
          <w:noProof/>
          <w:sz w:val="22"/>
          <w:szCs w:val="22"/>
          <w:lang w:val="en-US"/>
        </w:rPr>
        <w:t xml:space="preserve"> 2017</w:t>
      </w:r>
      <w:r w:rsidR="008C0982" w:rsidRPr="008C0982">
        <w:rPr>
          <w:rFonts w:ascii="Garamond" w:hAnsi="Garamond" w:cs="Times New Roman"/>
          <w:noProof/>
          <w:sz w:val="22"/>
          <w:szCs w:val="22"/>
          <w:lang w:val="en-US"/>
        </w:rPr>
        <w:t>; 356:</w:t>
      </w:r>
      <w:r w:rsidR="008C0982">
        <w:rPr>
          <w:rFonts w:ascii="Garamond" w:hAnsi="Garamond" w:cs="Times New Roman"/>
          <w:noProof/>
          <w:sz w:val="22"/>
          <w:szCs w:val="22"/>
          <w:lang w:val="en-US"/>
        </w:rPr>
        <w:t xml:space="preserve"> </w:t>
      </w:r>
      <w:r w:rsidR="008C0982" w:rsidRPr="008C0982">
        <w:rPr>
          <w:rFonts w:ascii="Garamond" w:hAnsi="Garamond" w:cs="Times New Roman"/>
          <w:noProof/>
          <w:sz w:val="22"/>
          <w:szCs w:val="22"/>
          <w:lang w:val="en-US"/>
        </w:rPr>
        <w:t xml:space="preserve">j84. </w:t>
      </w:r>
      <w:r w:rsidR="008C0982" w:rsidRPr="008C0982">
        <w:rPr>
          <w:rStyle w:val="apple-converted-space"/>
          <w:rFonts w:ascii="Garamond" w:hAnsi="Garamond"/>
          <w:color w:val="333333"/>
          <w:sz w:val="22"/>
          <w:szCs w:val="22"/>
          <w:shd w:val="clear" w:color="auto" w:fill="FFFFFF"/>
        </w:rPr>
        <w:t> </w:t>
      </w:r>
      <w:hyperlink r:id="rId8" w:history="1">
        <w:r w:rsidR="008C0982" w:rsidRPr="008C0982">
          <w:rPr>
            <w:rStyle w:val="Hyperlink"/>
            <w:rFonts w:ascii="Garamond" w:hAnsi="Garamond"/>
            <w:color w:val="2A6EBB"/>
            <w:sz w:val="22"/>
            <w:szCs w:val="22"/>
            <w:bdr w:val="none" w:sz="0" w:space="0" w:color="auto" w:frame="1"/>
          </w:rPr>
          <w:t>https://doi.org/10.1136/bmj.j84</w:t>
        </w:r>
      </w:hyperlink>
      <w:r w:rsidR="008C0982" w:rsidRPr="008C0982">
        <w:rPr>
          <w:rFonts w:ascii="Garamond" w:hAnsi="Garamond"/>
          <w:sz w:val="22"/>
          <w:szCs w:val="22"/>
        </w:rPr>
        <w:t>.</w:t>
      </w:r>
    </w:p>
    <w:p w14:paraId="012EFB86" w14:textId="77777777" w:rsidR="00775C62" w:rsidRPr="00775C62" w:rsidRDefault="00775C62" w:rsidP="00775C62">
      <w:pPr>
        <w:widowControl w:val="0"/>
        <w:autoSpaceDE w:val="0"/>
        <w:autoSpaceDN w:val="0"/>
        <w:adjustRightInd w:val="0"/>
        <w:spacing w:line="480" w:lineRule="auto"/>
        <w:ind w:left="640" w:hanging="640"/>
        <w:rPr>
          <w:rFonts w:ascii="Garamond" w:hAnsi="Garamond" w:cs="Times New Roman"/>
          <w:noProof/>
          <w:sz w:val="22"/>
          <w:lang w:val="en-US"/>
        </w:rPr>
      </w:pPr>
      <w:r w:rsidRPr="00775C62">
        <w:rPr>
          <w:rFonts w:ascii="Garamond" w:hAnsi="Garamond" w:cs="Times New Roman"/>
          <w:noProof/>
          <w:sz w:val="22"/>
          <w:lang w:val="en-US"/>
        </w:rPr>
        <w:t xml:space="preserve">54 </w:t>
      </w:r>
      <w:r w:rsidRPr="00775C62">
        <w:rPr>
          <w:rFonts w:ascii="Garamond" w:hAnsi="Garamond" w:cs="Times New Roman"/>
          <w:noProof/>
          <w:sz w:val="22"/>
          <w:lang w:val="en-US"/>
        </w:rPr>
        <w:tab/>
        <w:t xml:space="preserve">Busby J, Purdy S, Hollingworth W. How do population, general practice and hospital factors influence ambulatory care sensitive admissions: a cross sectional study. </w:t>
      </w:r>
      <w:r w:rsidRPr="00775C62">
        <w:rPr>
          <w:rFonts w:ascii="Garamond" w:hAnsi="Garamond" w:cs="Times New Roman"/>
          <w:i/>
          <w:iCs/>
          <w:noProof/>
          <w:sz w:val="22"/>
          <w:lang w:val="en-US"/>
        </w:rPr>
        <w:t>BMC Fam Pract</w:t>
      </w:r>
      <w:r w:rsidRPr="00775C62">
        <w:rPr>
          <w:rFonts w:ascii="Garamond" w:hAnsi="Garamond" w:cs="Times New Roman"/>
          <w:noProof/>
          <w:sz w:val="22"/>
          <w:lang w:val="en-US"/>
        </w:rPr>
        <w:t xml:space="preserve"> 2017;</w:t>
      </w:r>
      <w:r w:rsidRPr="00775C62">
        <w:rPr>
          <w:rFonts w:ascii="Garamond" w:hAnsi="Garamond" w:cs="Times New Roman"/>
          <w:b/>
          <w:bCs/>
          <w:noProof/>
          <w:sz w:val="22"/>
          <w:lang w:val="en-US"/>
        </w:rPr>
        <w:t>18</w:t>
      </w:r>
      <w:r w:rsidRPr="00775C62">
        <w:rPr>
          <w:rFonts w:ascii="Garamond" w:hAnsi="Garamond" w:cs="Times New Roman"/>
          <w:noProof/>
          <w:sz w:val="22"/>
          <w:lang w:val="en-US"/>
        </w:rPr>
        <w:t>:1–9. doi:10.1186/s12875-017-0638-9</w:t>
      </w:r>
    </w:p>
    <w:p w14:paraId="0273FA88" w14:textId="77777777" w:rsidR="00775C62" w:rsidRPr="00775C62" w:rsidRDefault="00775C62" w:rsidP="00775C62">
      <w:pPr>
        <w:widowControl w:val="0"/>
        <w:autoSpaceDE w:val="0"/>
        <w:autoSpaceDN w:val="0"/>
        <w:adjustRightInd w:val="0"/>
        <w:spacing w:line="480" w:lineRule="auto"/>
        <w:ind w:left="640" w:hanging="640"/>
        <w:rPr>
          <w:rFonts w:ascii="Garamond" w:hAnsi="Garamond" w:cs="Times New Roman"/>
          <w:noProof/>
          <w:sz w:val="22"/>
          <w:lang w:val="en-US"/>
        </w:rPr>
      </w:pPr>
      <w:r w:rsidRPr="00775C62">
        <w:rPr>
          <w:rFonts w:ascii="Garamond" w:hAnsi="Garamond" w:cs="Times New Roman"/>
          <w:noProof/>
          <w:sz w:val="22"/>
          <w:lang w:val="en-US"/>
        </w:rPr>
        <w:t xml:space="preserve">55 </w:t>
      </w:r>
      <w:r w:rsidRPr="00775C62">
        <w:rPr>
          <w:rFonts w:ascii="Garamond" w:hAnsi="Garamond" w:cs="Times New Roman"/>
          <w:noProof/>
          <w:sz w:val="22"/>
          <w:lang w:val="en-US"/>
        </w:rPr>
        <w:tab/>
        <w:t xml:space="preserve">Cowling TE, Cecil E V, Soljak MA, </w:t>
      </w:r>
      <w:r w:rsidRPr="00775C62">
        <w:rPr>
          <w:rFonts w:ascii="Garamond" w:hAnsi="Garamond" w:cs="Times New Roman"/>
          <w:i/>
          <w:iCs/>
          <w:noProof/>
          <w:sz w:val="22"/>
          <w:lang w:val="en-US"/>
        </w:rPr>
        <w:t>et al.</w:t>
      </w:r>
      <w:r w:rsidRPr="00775C62">
        <w:rPr>
          <w:rFonts w:ascii="Garamond" w:hAnsi="Garamond" w:cs="Times New Roman"/>
          <w:noProof/>
          <w:sz w:val="22"/>
          <w:lang w:val="en-US"/>
        </w:rPr>
        <w:t xml:space="preserve"> Access to Primary Care and Visits to Emergency Departments in England</w:t>
      </w:r>
      <w:r w:rsidRPr="00775C62">
        <w:rPr>
          <w:rFonts w:ascii="Times New Roman" w:hAnsi="Times New Roman" w:cs="Times New Roman"/>
          <w:noProof/>
          <w:sz w:val="22"/>
          <w:lang w:val="en-US"/>
        </w:rPr>
        <w:t> </w:t>
      </w:r>
      <w:r w:rsidRPr="00775C62">
        <w:rPr>
          <w:rFonts w:ascii="Garamond" w:hAnsi="Garamond" w:cs="Times New Roman"/>
          <w:noProof/>
          <w:sz w:val="22"/>
          <w:lang w:val="en-US"/>
        </w:rPr>
        <w:t>: A Cross-Sectional , Population- Based Study. 2013;</w:t>
      </w:r>
      <w:r w:rsidRPr="00775C62">
        <w:rPr>
          <w:rFonts w:ascii="Garamond" w:hAnsi="Garamond" w:cs="Times New Roman"/>
          <w:b/>
          <w:bCs/>
          <w:noProof/>
          <w:sz w:val="22"/>
          <w:lang w:val="en-US"/>
        </w:rPr>
        <w:t>8</w:t>
      </w:r>
      <w:r w:rsidRPr="00775C62">
        <w:rPr>
          <w:rFonts w:ascii="Garamond" w:hAnsi="Garamond" w:cs="Times New Roman"/>
          <w:noProof/>
          <w:sz w:val="22"/>
          <w:lang w:val="en-US"/>
        </w:rPr>
        <w:t>:6–11. doi:10.1371/journal.pone.0066699</w:t>
      </w:r>
    </w:p>
    <w:p w14:paraId="365EE563" w14:textId="77777777" w:rsidR="00775C62" w:rsidRPr="00775C62" w:rsidRDefault="00775C62" w:rsidP="00775C62">
      <w:pPr>
        <w:widowControl w:val="0"/>
        <w:autoSpaceDE w:val="0"/>
        <w:autoSpaceDN w:val="0"/>
        <w:adjustRightInd w:val="0"/>
        <w:spacing w:line="480" w:lineRule="auto"/>
        <w:ind w:left="640" w:hanging="640"/>
        <w:rPr>
          <w:rFonts w:ascii="Garamond" w:hAnsi="Garamond" w:cs="Times New Roman"/>
          <w:noProof/>
          <w:sz w:val="22"/>
          <w:lang w:val="en-US"/>
        </w:rPr>
      </w:pPr>
      <w:r w:rsidRPr="00775C62">
        <w:rPr>
          <w:rFonts w:ascii="Garamond" w:hAnsi="Garamond" w:cs="Times New Roman"/>
          <w:noProof/>
          <w:sz w:val="22"/>
          <w:lang w:val="en-US"/>
        </w:rPr>
        <w:t xml:space="preserve">56 </w:t>
      </w:r>
      <w:r w:rsidRPr="00775C62">
        <w:rPr>
          <w:rFonts w:ascii="Garamond" w:hAnsi="Garamond" w:cs="Times New Roman"/>
          <w:noProof/>
          <w:sz w:val="22"/>
          <w:lang w:val="en-US"/>
        </w:rPr>
        <w:tab/>
        <w:t xml:space="preserve">Gravelle H, Dusheiko M, Sheaff R, </w:t>
      </w:r>
      <w:r w:rsidRPr="00775C62">
        <w:rPr>
          <w:rFonts w:ascii="Garamond" w:hAnsi="Garamond" w:cs="Times New Roman"/>
          <w:i/>
          <w:iCs/>
          <w:noProof/>
          <w:sz w:val="22"/>
          <w:lang w:val="en-US"/>
        </w:rPr>
        <w:t>et al.</w:t>
      </w:r>
      <w:r w:rsidRPr="00775C62">
        <w:rPr>
          <w:rFonts w:ascii="Garamond" w:hAnsi="Garamond" w:cs="Times New Roman"/>
          <w:noProof/>
          <w:sz w:val="22"/>
          <w:lang w:val="en-US"/>
        </w:rPr>
        <w:t xml:space="preserve"> Impact of case management (Evercare) on frail elderly patients: controlled before and after analysis of quantitative outcome data. </w:t>
      </w:r>
      <w:r w:rsidRPr="00775C62">
        <w:rPr>
          <w:rFonts w:ascii="Garamond" w:hAnsi="Garamond" w:cs="Times New Roman"/>
          <w:i/>
          <w:iCs/>
          <w:noProof/>
          <w:sz w:val="22"/>
          <w:lang w:val="en-US"/>
        </w:rPr>
        <w:t>Br Med J</w:t>
      </w:r>
      <w:r w:rsidRPr="00775C62">
        <w:rPr>
          <w:rFonts w:ascii="Garamond" w:hAnsi="Garamond" w:cs="Times New Roman"/>
          <w:noProof/>
          <w:sz w:val="22"/>
          <w:lang w:val="en-US"/>
        </w:rPr>
        <w:t xml:space="preserve"> 2007;</w:t>
      </w:r>
      <w:r w:rsidRPr="00775C62">
        <w:rPr>
          <w:rFonts w:ascii="Garamond" w:hAnsi="Garamond" w:cs="Times New Roman"/>
          <w:b/>
          <w:bCs/>
          <w:noProof/>
          <w:sz w:val="22"/>
          <w:lang w:val="en-US"/>
        </w:rPr>
        <w:t>334</w:t>
      </w:r>
      <w:r w:rsidRPr="00775C62">
        <w:rPr>
          <w:rFonts w:ascii="Garamond" w:hAnsi="Garamond" w:cs="Times New Roman"/>
          <w:noProof/>
          <w:sz w:val="22"/>
          <w:lang w:val="en-US"/>
        </w:rPr>
        <w:t>:1–5. doi:10.1136/bmj.39020.413310.55</w:t>
      </w:r>
    </w:p>
    <w:p w14:paraId="7192CBDB" w14:textId="77777777" w:rsidR="00775C62" w:rsidRPr="00775C62" w:rsidRDefault="00775C62" w:rsidP="00775C62">
      <w:pPr>
        <w:widowControl w:val="0"/>
        <w:autoSpaceDE w:val="0"/>
        <w:autoSpaceDN w:val="0"/>
        <w:adjustRightInd w:val="0"/>
        <w:spacing w:line="480" w:lineRule="auto"/>
        <w:ind w:left="640" w:hanging="640"/>
        <w:rPr>
          <w:rFonts w:ascii="Garamond" w:hAnsi="Garamond" w:cs="Times New Roman"/>
          <w:noProof/>
          <w:sz w:val="22"/>
          <w:lang w:val="en-US"/>
        </w:rPr>
      </w:pPr>
      <w:r w:rsidRPr="00775C62">
        <w:rPr>
          <w:rFonts w:ascii="Garamond" w:hAnsi="Garamond" w:cs="Times New Roman"/>
          <w:noProof/>
          <w:sz w:val="22"/>
          <w:lang w:val="en-US"/>
        </w:rPr>
        <w:t xml:space="preserve">57 </w:t>
      </w:r>
      <w:r w:rsidRPr="00775C62">
        <w:rPr>
          <w:rFonts w:ascii="Garamond" w:hAnsi="Garamond" w:cs="Times New Roman"/>
          <w:noProof/>
          <w:sz w:val="22"/>
          <w:lang w:val="en-US"/>
        </w:rPr>
        <w:tab/>
        <w:t xml:space="preserve">Steventon A, Grieve R, Bardsley M. An approach to assess generalizability in comparative effectiveness </w:t>
      </w:r>
      <w:r w:rsidRPr="00775C62">
        <w:rPr>
          <w:rFonts w:ascii="Garamond" w:hAnsi="Garamond" w:cs="Times New Roman"/>
          <w:noProof/>
          <w:sz w:val="22"/>
          <w:lang w:val="en-US"/>
        </w:rPr>
        <w:lastRenderedPageBreak/>
        <w:t xml:space="preserve">research: a case study of the Whole Systems Demonstrator cluster randomized trial comparing telehealth with usual care for patients with chronic health conditions. </w:t>
      </w:r>
      <w:r w:rsidRPr="00775C62">
        <w:rPr>
          <w:rFonts w:ascii="Garamond" w:hAnsi="Garamond" w:cs="Times New Roman"/>
          <w:i/>
          <w:iCs/>
          <w:noProof/>
          <w:sz w:val="22"/>
          <w:lang w:val="en-US"/>
        </w:rPr>
        <w:t>Med Decis Mak</w:t>
      </w:r>
      <w:r w:rsidRPr="00775C62">
        <w:rPr>
          <w:rFonts w:ascii="Garamond" w:hAnsi="Garamond" w:cs="Times New Roman"/>
          <w:noProof/>
          <w:sz w:val="22"/>
          <w:lang w:val="en-US"/>
        </w:rPr>
        <w:t xml:space="preserve"> Published Online First: 2015. doi:10.1177/0272989X15585131</w:t>
      </w:r>
    </w:p>
    <w:p w14:paraId="27A38DB1" w14:textId="77777777" w:rsidR="00775C62" w:rsidRPr="00775C62" w:rsidRDefault="00775C62" w:rsidP="00775C62">
      <w:pPr>
        <w:widowControl w:val="0"/>
        <w:autoSpaceDE w:val="0"/>
        <w:autoSpaceDN w:val="0"/>
        <w:adjustRightInd w:val="0"/>
        <w:spacing w:line="480" w:lineRule="auto"/>
        <w:ind w:left="640" w:hanging="640"/>
        <w:rPr>
          <w:rFonts w:ascii="Garamond" w:hAnsi="Garamond" w:cs="Times New Roman"/>
          <w:noProof/>
          <w:sz w:val="22"/>
          <w:lang w:val="en-US"/>
        </w:rPr>
      </w:pPr>
      <w:r w:rsidRPr="00775C62">
        <w:rPr>
          <w:rFonts w:ascii="Garamond" w:hAnsi="Garamond" w:cs="Times New Roman"/>
          <w:noProof/>
          <w:sz w:val="22"/>
          <w:lang w:val="en-US"/>
        </w:rPr>
        <w:t xml:space="preserve">58 </w:t>
      </w:r>
      <w:r w:rsidRPr="00775C62">
        <w:rPr>
          <w:rFonts w:ascii="Garamond" w:hAnsi="Garamond" w:cs="Times New Roman"/>
          <w:noProof/>
          <w:sz w:val="22"/>
          <w:lang w:val="en-US"/>
        </w:rPr>
        <w:tab/>
        <w:t xml:space="preserve">Roland M, Lewis R, Llp Y, </w:t>
      </w:r>
      <w:r w:rsidRPr="00775C62">
        <w:rPr>
          <w:rFonts w:ascii="Garamond" w:hAnsi="Garamond" w:cs="Times New Roman"/>
          <w:i/>
          <w:iCs/>
          <w:noProof/>
          <w:sz w:val="22"/>
          <w:lang w:val="en-US"/>
        </w:rPr>
        <w:t>et al.</w:t>
      </w:r>
      <w:r w:rsidRPr="00775C62">
        <w:rPr>
          <w:rFonts w:ascii="Garamond" w:hAnsi="Garamond" w:cs="Times New Roman"/>
          <w:noProof/>
          <w:sz w:val="22"/>
          <w:lang w:val="en-US"/>
        </w:rPr>
        <w:t xml:space="preserve"> Case management for at-risk elderly patients in the English integrated care pilots</w:t>
      </w:r>
      <w:r w:rsidRPr="00775C62">
        <w:rPr>
          <w:rFonts w:ascii="Times New Roman" w:hAnsi="Times New Roman" w:cs="Times New Roman"/>
          <w:noProof/>
          <w:sz w:val="22"/>
          <w:lang w:val="en-US"/>
        </w:rPr>
        <w:t> </w:t>
      </w:r>
      <w:r w:rsidRPr="00775C62">
        <w:rPr>
          <w:rFonts w:ascii="Garamond" w:hAnsi="Garamond" w:cs="Times New Roman"/>
          <w:noProof/>
          <w:sz w:val="22"/>
          <w:lang w:val="en-US"/>
        </w:rPr>
        <w:t xml:space="preserve">: observational study of staff and patient experience and secondary care utilisation. </w:t>
      </w:r>
      <w:r w:rsidRPr="00775C62">
        <w:rPr>
          <w:rFonts w:ascii="Garamond" w:hAnsi="Garamond" w:cs="Times New Roman"/>
          <w:i/>
          <w:iCs/>
          <w:noProof/>
          <w:sz w:val="22"/>
          <w:lang w:val="en-US"/>
        </w:rPr>
        <w:t>Int J Integr Care</w:t>
      </w:r>
      <w:r w:rsidRPr="00775C62">
        <w:rPr>
          <w:rFonts w:ascii="Garamond" w:hAnsi="Garamond" w:cs="Times New Roman"/>
          <w:noProof/>
          <w:sz w:val="22"/>
          <w:lang w:val="en-US"/>
        </w:rPr>
        <w:t xml:space="preserve"> 2012;</w:t>
      </w:r>
      <w:r w:rsidRPr="00775C62">
        <w:rPr>
          <w:rFonts w:ascii="Garamond" w:hAnsi="Garamond" w:cs="Times New Roman"/>
          <w:b/>
          <w:bCs/>
          <w:noProof/>
          <w:sz w:val="22"/>
          <w:lang w:val="en-US"/>
        </w:rPr>
        <w:t>12</w:t>
      </w:r>
      <w:r w:rsidRPr="00775C62">
        <w:rPr>
          <w:rFonts w:ascii="Garamond" w:hAnsi="Garamond" w:cs="Times New Roman"/>
          <w:noProof/>
          <w:sz w:val="22"/>
          <w:lang w:val="en-US"/>
        </w:rPr>
        <w:t>:e130.</w:t>
      </w:r>
    </w:p>
    <w:p w14:paraId="487F7FF7" w14:textId="77777777" w:rsidR="00775C62" w:rsidRPr="00775C62" w:rsidRDefault="00775C62" w:rsidP="00775C62">
      <w:pPr>
        <w:widowControl w:val="0"/>
        <w:autoSpaceDE w:val="0"/>
        <w:autoSpaceDN w:val="0"/>
        <w:adjustRightInd w:val="0"/>
        <w:spacing w:line="480" w:lineRule="auto"/>
        <w:ind w:left="640" w:hanging="640"/>
        <w:rPr>
          <w:rFonts w:ascii="Garamond" w:hAnsi="Garamond" w:cs="Times New Roman"/>
          <w:noProof/>
          <w:sz w:val="22"/>
          <w:lang w:val="en-US"/>
        </w:rPr>
      </w:pPr>
      <w:r w:rsidRPr="00775C62">
        <w:rPr>
          <w:rFonts w:ascii="Garamond" w:hAnsi="Garamond" w:cs="Times New Roman"/>
          <w:noProof/>
          <w:sz w:val="22"/>
          <w:lang w:val="en-US"/>
        </w:rPr>
        <w:t xml:space="preserve">59 </w:t>
      </w:r>
      <w:r w:rsidRPr="00775C62">
        <w:rPr>
          <w:rFonts w:ascii="Garamond" w:hAnsi="Garamond" w:cs="Times New Roman"/>
          <w:noProof/>
          <w:sz w:val="22"/>
          <w:lang w:val="en-US"/>
        </w:rPr>
        <w:tab/>
        <w:t xml:space="preserve">Purdy S. Avoiding hospital admissions. </w:t>
      </w:r>
      <w:r w:rsidRPr="00775C62">
        <w:rPr>
          <w:rFonts w:ascii="Garamond" w:hAnsi="Garamond" w:cs="Times New Roman"/>
          <w:i/>
          <w:iCs/>
          <w:noProof/>
          <w:sz w:val="22"/>
          <w:lang w:val="en-US"/>
        </w:rPr>
        <w:t>What does Res Evid say</w:t>
      </w:r>
      <w:r w:rsidRPr="00775C62">
        <w:rPr>
          <w:rFonts w:ascii="Garamond" w:hAnsi="Garamond" w:cs="Times New Roman"/>
          <w:noProof/>
          <w:sz w:val="22"/>
          <w:lang w:val="en-US"/>
        </w:rPr>
        <w:t xml:space="preserve"> 2010;:1–28.</w:t>
      </w:r>
    </w:p>
    <w:p w14:paraId="5E5CF734" w14:textId="77777777" w:rsidR="00775C62" w:rsidRPr="00775C62" w:rsidRDefault="00775C62" w:rsidP="00775C62">
      <w:pPr>
        <w:widowControl w:val="0"/>
        <w:autoSpaceDE w:val="0"/>
        <w:autoSpaceDN w:val="0"/>
        <w:adjustRightInd w:val="0"/>
        <w:spacing w:line="480" w:lineRule="auto"/>
        <w:ind w:left="640" w:hanging="640"/>
        <w:rPr>
          <w:rFonts w:ascii="Garamond" w:hAnsi="Garamond" w:cs="Times New Roman"/>
          <w:noProof/>
          <w:sz w:val="22"/>
          <w:lang w:val="en-US"/>
        </w:rPr>
      </w:pPr>
      <w:r w:rsidRPr="00775C62">
        <w:rPr>
          <w:rFonts w:ascii="Garamond" w:hAnsi="Garamond" w:cs="Times New Roman"/>
          <w:noProof/>
          <w:sz w:val="22"/>
          <w:lang w:val="en-US"/>
        </w:rPr>
        <w:t xml:space="preserve">60 </w:t>
      </w:r>
      <w:r w:rsidRPr="00775C62">
        <w:rPr>
          <w:rFonts w:ascii="Garamond" w:hAnsi="Garamond" w:cs="Times New Roman"/>
          <w:noProof/>
          <w:sz w:val="22"/>
          <w:lang w:val="en-US"/>
        </w:rPr>
        <w:tab/>
        <w:t xml:space="preserve">Mclean S, Nurmatov U, Jly L, </w:t>
      </w:r>
      <w:r w:rsidRPr="00775C62">
        <w:rPr>
          <w:rFonts w:ascii="Garamond" w:hAnsi="Garamond" w:cs="Times New Roman"/>
          <w:i/>
          <w:iCs/>
          <w:noProof/>
          <w:sz w:val="22"/>
          <w:lang w:val="en-US"/>
        </w:rPr>
        <w:t>et al.</w:t>
      </w:r>
      <w:r w:rsidRPr="00775C62">
        <w:rPr>
          <w:rFonts w:ascii="Garamond" w:hAnsi="Garamond" w:cs="Times New Roman"/>
          <w:noProof/>
          <w:sz w:val="22"/>
          <w:lang w:val="en-US"/>
        </w:rPr>
        <w:t xml:space="preserve"> Telehealthcare for chronic obstructive pulmonary disease ( Review ). 2011. doi:10.1002/14651858.CD007718.pub2.</w:t>
      </w:r>
    </w:p>
    <w:p w14:paraId="2F8462E1" w14:textId="77777777" w:rsidR="00775C62" w:rsidRPr="00775C62" w:rsidRDefault="00775C62" w:rsidP="00775C62">
      <w:pPr>
        <w:widowControl w:val="0"/>
        <w:autoSpaceDE w:val="0"/>
        <w:autoSpaceDN w:val="0"/>
        <w:adjustRightInd w:val="0"/>
        <w:spacing w:line="480" w:lineRule="auto"/>
        <w:ind w:left="640" w:hanging="640"/>
        <w:rPr>
          <w:rFonts w:ascii="Garamond" w:hAnsi="Garamond" w:cs="Times New Roman"/>
          <w:noProof/>
          <w:sz w:val="22"/>
          <w:lang w:val="en-US"/>
        </w:rPr>
      </w:pPr>
      <w:r w:rsidRPr="00775C62">
        <w:rPr>
          <w:rFonts w:ascii="Garamond" w:hAnsi="Garamond" w:cs="Times New Roman"/>
          <w:noProof/>
          <w:sz w:val="22"/>
          <w:lang w:val="en-US"/>
        </w:rPr>
        <w:t xml:space="preserve">61 </w:t>
      </w:r>
      <w:r w:rsidRPr="00775C62">
        <w:rPr>
          <w:rFonts w:ascii="Garamond" w:hAnsi="Garamond" w:cs="Times New Roman"/>
          <w:noProof/>
          <w:sz w:val="22"/>
          <w:lang w:val="en-US"/>
        </w:rPr>
        <w:tab/>
        <w:t xml:space="preserve">Foundation TH. Improving patient flow. London, England: 2013. </w:t>
      </w:r>
    </w:p>
    <w:p w14:paraId="04D2152D" w14:textId="77777777" w:rsidR="00775C62" w:rsidRPr="00775C62" w:rsidRDefault="00775C62" w:rsidP="00775C62">
      <w:pPr>
        <w:widowControl w:val="0"/>
        <w:autoSpaceDE w:val="0"/>
        <w:autoSpaceDN w:val="0"/>
        <w:adjustRightInd w:val="0"/>
        <w:spacing w:line="480" w:lineRule="auto"/>
        <w:ind w:left="640" w:hanging="640"/>
        <w:rPr>
          <w:rFonts w:ascii="Garamond" w:hAnsi="Garamond" w:cs="Times New Roman"/>
          <w:noProof/>
          <w:sz w:val="22"/>
          <w:lang w:val="en-US"/>
        </w:rPr>
      </w:pPr>
      <w:r w:rsidRPr="00775C62">
        <w:rPr>
          <w:rFonts w:ascii="Garamond" w:hAnsi="Garamond" w:cs="Times New Roman"/>
          <w:noProof/>
          <w:sz w:val="22"/>
          <w:lang w:val="en-US"/>
        </w:rPr>
        <w:t xml:space="preserve">62 </w:t>
      </w:r>
      <w:r w:rsidRPr="00775C62">
        <w:rPr>
          <w:rFonts w:ascii="Garamond" w:hAnsi="Garamond" w:cs="Times New Roman"/>
          <w:noProof/>
          <w:sz w:val="22"/>
          <w:lang w:val="en-US"/>
        </w:rPr>
        <w:tab/>
        <w:t xml:space="preserve">NHS Improvement. Rapid improvement guide to trusted assessors. 2017. </w:t>
      </w:r>
    </w:p>
    <w:p w14:paraId="0A83251C" w14:textId="26D1C40C" w:rsidR="00775C62" w:rsidRPr="00775C62" w:rsidRDefault="00775C62" w:rsidP="00775C62">
      <w:pPr>
        <w:widowControl w:val="0"/>
        <w:autoSpaceDE w:val="0"/>
        <w:autoSpaceDN w:val="0"/>
        <w:adjustRightInd w:val="0"/>
        <w:spacing w:line="480" w:lineRule="auto"/>
        <w:ind w:left="640" w:hanging="640"/>
        <w:rPr>
          <w:rFonts w:ascii="Garamond" w:hAnsi="Garamond"/>
          <w:noProof/>
          <w:sz w:val="22"/>
        </w:rPr>
      </w:pPr>
      <w:r w:rsidRPr="00775C62">
        <w:rPr>
          <w:rFonts w:ascii="Garamond" w:hAnsi="Garamond" w:cs="Times New Roman"/>
          <w:noProof/>
          <w:sz w:val="22"/>
          <w:lang w:val="en-US"/>
        </w:rPr>
        <w:t xml:space="preserve">63 </w:t>
      </w:r>
      <w:r w:rsidRPr="00775C62">
        <w:rPr>
          <w:rFonts w:ascii="Garamond" w:hAnsi="Garamond" w:cs="Times New Roman"/>
          <w:noProof/>
          <w:sz w:val="22"/>
          <w:lang w:val="en-US"/>
        </w:rPr>
        <w:tab/>
      </w:r>
      <w:r w:rsidR="008C0982">
        <w:rPr>
          <w:rFonts w:ascii="Garamond" w:hAnsi="Garamond" w:cs="Times New Roman"/>
          <w:noProof/>
          <w:sz w:val="22"/>
          <w:lang w:val="en-US"/>
        </w:rPr>
        <w:t xml:space="preserve">NHS </w:t>
      </w:r>
      <w:r w:rsidRPr="00775C62">
        <w:rPr>
          <w:rFonts w:ascii="Garamond" w:hAnsi="Garamond" w:cs="Times New Roman"/>
          <w:noProof/>
          <w:sz w:val="22"/>
          <w:lang w:val="en-US"/>
        </w:rPr>
        <w:t xml:space="preserve">England. View sustainability and transformation plans. </w:t>
      </w:r>
    </w:p>
    <w:p w14:paraId="100A69EE" w14:textId="0DF6EBC9" w:rsidR="00386B68" w:rsidRDefault="00386B68" w:rsidP="008C0982">
      <w:pPr>
        <w:widowControl w:val="0"/>
        <w:autoSpaceDE w:val="0"/>
        <w:autoSpaceDN w:val="0"/>
        <w:adjustRightInd w:val="0"/>
        <w:spacing w:line="480" w:lineRule="auto"/>
        <w:rPr>
          <w:rFonts w:ascii="Garamond" w:hAnsi="Garamond"/>
          <w:sz w:val="22"/>
          <w:szCs w:val="22"/>
        </w:rPr>
      </w:pPr>
      <w:r w:rsidRPr="003D4046">
        <w:rPr>
          <w:rFonts w:ascii="Garamond" w:hAnsi="Garamond"/>
          <w:sz w:val="22"/>
          <w:szCs w:val="22"/>
        </w:rPr>
        <w:fldChar w:fldCharType="end"/>
      </w:r>
    </w:p>
    <w:p w14:paraId="08CE8B61" w14:textId="77777777" w:rsidR="00A76D46" w:rsidRDefault="00AA2762" w:rsidP="0036336A">
      <w:pPr>
        <w:widowControl w:val="0"/>
        <w:autoSpaceDE w:val="0"/>
        <w:autoSpaceDN w:val="0"/>
        <w:adjustRightInd w:val="0"/>
        <w:spacing w:line="480" w:lineRule="auto"/>
        <w:outlineLvl w:val="0"/>
        <w:rPr>
          <w:rFonts w:ascii="Garamond" w:hAnsi="Garamond"/>
          <w:b/>
          <w:sz w:val="22"/>
          <w:szCs w:val="22"/>
        </w:rPr>
      </w:pPr>
      <w:r w:rsidRPr="00AA2762">
        <w:rPr>
          <w:rFonts w:ascii="Garamond" w:hAnsi="Garamond"/>
          <w:b/>
          <w:sz w:val="22"/>
          <w:szCs w:val="22"/>
        </w:rPr>
        <w:t>Figure captions:</w:t>
      </w:r>
    </w:p>
    <w:p w14:paraId="1AD34C40" w14:textId="77777777" w:rsidR="00A76D46" w:rsidRDefault="00A76D46" w:rsidP="00A76D46">
      <w:pPr>
        <w:widowControl w:val="0"/>
        <w:autoSpaceDE w:val="0"/>
        <w:autoSpaceDN w:val="0"/>
        <w:adjustRightInd w:val="0"/>
        <w:spacing w:line="480" w:lineRule="auto"/>
        <w:rPr>
          <w:rFonts w:ascii="Garamond" w:hAnsi="Garamond"/>
          <w:b/>
          <w:sz w:val="22"/>
          <w:szCs w:val="22"/>
        </w:rPr>
      </w:pPr>
    </w:p>
    <w:p w14:paraId="4B595E3D" w14:textId="76C5BC3C" w:rsidR="00AA2762" w:rsidRPr="00A76D46" w:rsidRDefault="00AA2762" w:rsidP="00A76D46">
      <w:pPr>
        <w:widowControl w:val="0"/>
        <w:autoSpaceDE w:val="0"/>
        <w:autoSpaceDN w:val="0"/>
        <w:adjustRightInd w:val="0"/>
        <w:spacing w:line="480" w:lineRule="auto"/>
        <w:rPr>
          <w:rFonts w:ascii="Garamond" w:hAnsi="Garamond"/>
          <w:b/>
          <w:sz w:val="22"/>
          <w:szCs w:val="22"/>
        </w:rPr>
      </w:pPr>
      <w:r w:rsidRPr="00AA2762">
        <w:rPr>
          <w:rFonts w:ascii="Garamond" w:hAnsi="Garamond"/>
          <w:sz w:val="22"/>
          <w:szCs w:val="22"/>
        </w:rPr>
        <w:t xml:space="preserve">Figure 1: Dose response curves relating levels of bed occupancy to the risk-adjusted discharge rate (i) and the risk- adjusted readmission rate (ii) </w:t>
      </w:r>
    </w:p>
    <w:p w14:paraId="792BD95E" w14:textId="04A25A6F" w:rsidR="00AA2762" w:rsidRDefault="00AA2762" w:rsidP="00AA2762">
      <w:pPr>
        <w:widowControl w:val="0"/>
        <w:autoSpaceDE w:val="0"/>
        <w:autoSpaceDN w:val="0"/>
        <w:adjustRightInd w:val="0"/>
        <w:spacing w:line="480" w:lineRule="auto"/>
        <w:rPr>
          <w:rFonts w:ascii="Garamond" w:hAnsi="Garamond"/>
          <w:sz w:val="22"/>
          <w:szCs w:val="22"/>
        </w:rPr>
      </w:pPr>
    </w:p>
    <w:p w14:paraId="63170186" w14:textId="77777777" w:rsidR="00AA2762" w:rsidRPr="00AF6CAE" w:rsidRDefault="00AA2762" w:rsidP="00AA2762">
      <w:pPr>
        <w:widowControl w:val="0"/>
        <w:autoSpaceDE w:val="0"/>
        <w:autoSpaceDN w:val="0"/>
        <w:adjustRightInd w:val="0"/>
        <w:spacing w:line="480" w:lineRule="auto"/>
        <w:rPr>
          <w:rFonts w:ascii="Garamond" w:hAnsi="Garamond"/>
          <w:noProof/>
          <w:sz w:val="22"/>
          <w:lang w:val="en-US"/>
        </w:rPr>
      </w:pPr>
    </w:p>
    <w:sectPr w:rsidR="00AA2762" w:rsidRPr="00AF6CAE" w:rsidSect="004C3678">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45543" w14:textId="77777777" w:rsidR="00CD0B14" w:rsidRDefault="00CD0B14" w:rsidP="00C32BA4">
      <w:r>
        <w:separator/>
      </w:r>
    </w:p>
  </w:endnote>
  <w:endnote w:type="continuationSeparator" w:id="0">
    <w:p w14:paraId="6D9DBB7D" w14:textId="77777777" w:rsidR="00CD0B14" w:rsidRDefault="00CD0B14" w:rsidP="00C3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2FBE3" w14:textId="77777777" w:rsidR="00752790" w:rsidRDefault="00752790" w:rsidP="00D1591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232B49" w14:textId="77777777" w:rsidR="00752790" w:rsidRDefault="007527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5E00D" w14:textId="55F387D7" w:rsidR="00752790" w:rsidRDefault="00752790" w:rsidP="00D1591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76A4">
      <w:rPr>
        <w:rStyle w:val="PageNumber"/>
        <w:noProof/>
      </w:rPr>
      <w:t>1</w:t>
    </w:r>
    <w:r>
      <w:rPr>
        <w:rStyle w:val="PageNumber"/>
      </w:rPr>
      <w:fldChar w:fldCharType="end"/>
    </w:r>
  </w:p>
  <w:p w14:paraId="72EB1F80" w14:textId="77777777" w:rsidR="00752790" w:rsidRDefault="00752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37B9B" w14:textId="77777777" w:rsidR="00CD0B14" w:rsidRDefault="00CD0B14" w:rsidP="00C32BA4">
      <w:r>
        <w:separator/>
      </w:r>
    </w:p>
  </w:footnote>
  <w:footnote w:type="continuationSeparator" w:id="0">
    <w:p w14:paraId="524A1E5B" w14:textId="77777777" w:rsidR="00CD0B14" w:rsidRDefault="00CD0B14" w:rsidP="00C32B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F0137"/>
    <w:multiLevelType w:val="hybridMultilevel"/>
    <w:tmpl w:val="B79209FE"/>
    <w:lvl w:ilvl="0" w:tplc="ED765CB4">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5E61BD"/>
    <w:multiLevelType w:val="hybridMultilevel"/>
    <w:tmpl w:val="4EA6A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182A95"/>
    <w:multiLevelType w:val="hybridMultilevel"/>
    <w:tmpl w:val="B596DB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5B1F5A"/>
    <w:multiLevelType w:val="hybridMultilevel"/>
    <w:tmpl w:val="DA04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6F638E"/>
    <w:multiLevelType w:val="hybridMultilevel"/>
    <w:tmpl w:val="B9BE5BC4"/>
    <w:lvl w:ilvl="0" w:tplc="E872EFE4">
      <w:start w:val="4"/>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30117E"/>
    <w:multiLevelType w:val="hybridMultilevel"/>
    <w:tmpl w:val="1F149CC4"/>
    <w:lvl w:ilvl="0" w:tplc="6DE8BCD8">
      <w:start w:val="1"/>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7612DA"/>
    <w:multiLevelType w:val="hybridMultilevel"/>
    <w:tmpl w:val="579427AA"/>
    <w:lvl w:ilvl="0" w:tplc="DC125B5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BB1171"/>
    <w:multiLevelType w:val="hybridMultilevel"/>
    <w:tmpl w:val="AB6255CC"/>
    <w:lvl w:ilvl="0" w:tplc="61381464">
      <w:start w:val="4"/>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824517"/>
    <w:multiLevelType w:val="hybridMultilevel"/>
    <w:tmpl w:val="73306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8764F0"/>
    <w:multiLevelType w:val="hybridMultilevel"/>
    <w:tmpl w:val="79869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D820BA5"/>
    <w:multiLevelType w:val="hybridMultilevel"/>
    <w:tmpl w:val="7C76420E"/>
    <w:lvl w:ilvl="0" w:tplc="0500526C">
      <w:start w:val="50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D37F32"/>
    <w:multiLevelType w:val="hybridMultilevel"/>
    <w:tmpl w:val="CB2E4094"/>
    <w:lvl w:ilvl="0" w:tplc="C7883BF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07214C"/>
    <w:multiLevelType w:val="hybridMultilevel"/>
    <w:tmpl w:val="26CA8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9"/>
  </w:num>
  <w:num w:numId="5">
    <w:abstractNumId w:val="12"/>
  </w:num>
  <w:num w:numId="6">
    <w:abstractNumId w:val="3"/>
  </w:num>
  <w:num w:numId="7">
    <w:abstractNumId w:val="8"/>
  </w:num>
  <w:num w:numId="8">
    <w:abstractNumId w:val="4"/>
  </w:num>
  <w:num w:numId="9">
    <w:abstractNumId w:val="7"/>
  </w:num>
  <w:num w:numId="10">
    <w:abstractNumId w:val="5"/>
  </w:num>
  <w:num w:numId="11">
    <w:abstractNumId w:val="10"/>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68"/>
    <w:rsid w:val="0000025F"/>
    <w:rsid w:val="000005BE"/>
    <w:rsid w:val="00002B31"/>
    <w:rsid w:val="00003D0A"/>
    <w:rsid w:val="00004BF1"/>
    <w:rsid w:val="00007B6E"/>
    <w:rsid w:val="00011B16"/>
    <w:rsid w:val="0001432A"/>
    <w:rsid w:val="0001778E"/>
    <w:rsid w:val="00022A47"/>
    <w:rsid w:val="000233A6"/>
    <w:rsid w:val="00025FFB"/>
    <w:rsid w:val="0002720D"/>
    <w:rsid w:val="000273F1"/>
    <w:rsid w:val="0003482C"/>
    <w:rsid w:val="000353CF"/>
    <w:rsid w:val="00037C2B"/>
    <w:rsid w:val="00042108"/>
    <w:rsid w:val="0004547C"/>
    <w:rsid w:val="0004634C"/>
    <w:rsid w:val="00046B57"/>
    <w:rsid w:val="00047CDA"/>
    <w:rsid w:val="00051989"/>
    <w:rsid w:val="00052B78"/>
    <w:rsid w:val="00056BB0"/>
    <w:rsid w:val="00057FE2"/>
    <w:rsid w:val="000613A1"/>
    <w:rsid w:val="00067CA1"/>
    <w:rsid w:val="000720FC"/>
    <w:rsid w:val="00083082"/>
    <w:rsid w:val="00084CFB"/>
    <w:rsid w:val="00085D8A"/>
    <w:rsid w:val="00093B34"/>
    <w:rsid w:val="00095567"/>
    <w:rsid w:val="00097246"/>
    <w:rsid w:val="000A0D64"/>
    <w:rsid w:val="000A4474"/>
    <w:rsid w:val="000A4F1C"/>
    <w:rsid w:val="000A7C5B"/>
    <w:rsid w:val="000A7D82"/>
    <w:rsid w:val="000A7FBA"/>
    <w:rsid w:val="000B5694"/>
    <w:rsid w:val="000B7DE8"/>
    <w:rsid w:val="000B7FC4"/>
    <w:rsid w:val="000C188D"/>
    <w:rsid w:val="000C5893"/>
    <w:rsid w:val="000C7829"/>
    <w:rsid w:val="000D0408"/>
    <w:rsid w:val="000D0588"/>
    <w:rsid w:val="000D094A"/>
    <w:rsid w:val="000D531E"/>
    <w:rsid w:val="000E2215"/>
    <w:rsid w:val="000E29B1"/>
    <w:rsid w:val="000E49F6"/>
    <w:rsid w:val="000E5715"/>
    <w:rsid w:val="000E7156"/>
    <w:rsid w:val="000F0014"/>
    <w:rsid w:val="000F7A22"/>
    <w:rsid w:val="00103FA0"/>
    <w:rsid w:val="001049CF"/>
    <w:rsid w:val="00104CEE"/>
    <w:rsid w:val="00107702"/>
    <w:rsid w:val="00107BBA"/>
    <w:rsid w:val="00110170"/>
    <w:rsid w:val="00117C0D"/>
    <w:rsid w:val="0012193C"/>
    <w:rsid w:val="0012263B"/>
    <w:rsid w:val="00125413"/>
    <w:rsid w:val="0013507E"/>
    <w:rsid w:val="00135D56"/>
    <w:rsid w:val="00143784"/>
    <w:rsid w:val="00145292"/>
    <w:rsid w:val="0014531E"/>
    <w:rsid w:val="00147A77"/>
    <w:rsid w:val="0015224C"/>
    <w:rsid w:val="00152F02"/>
    <w:rsid w:val="00155934"/>
    <w:rsid w:val="0015791F"/>
    <w:rsid w:val="00160972"/>
    <w:rsid w:val="00163BFD"/>
    <w:rsid w:val="00165023"/>
    <w:rsid w:val="00165446"/>
    <w:rsid w:val="00166E24"/>
    <w:rsid w:val="00171092"/>
    <w:rsid w:val="00173623"/>
    <w:rsid w:val="00176AD5"/>
    <w:rsid w:val="0017738B"/>
    <w:rsid w:val="00180E28"/>
    <w:rsid w:val="001843BC"/>
    <w:rsid w:val="001855CD"/>
    <w:rsid w:val="001935B8"/>
    <w:rsid w:val="0019370C"/>
    <w:rsid w:val="001A227B"/>
    <w:rsid w:val="001A293D"/>
    <w:rsid w:val="001A29D9"/>
    <w:rsid w:val="001A519D"/>
    <w:rsid w:val="001A6381"/>
    <w:rsid w:val="001A716B"/>
    <w:rsid w:val="001A7B55"/>
    <w:rsid w:val="001B4481"/>
    <w:rsid w:val="001B6738"/>
    <w:rsid w:val="001C14C8"/>
    <w:rsid w:val="001C6566"/>
    <w:rsid w:val="001D1B30"/>
    <w:rsid w:val="001D2E03"/>
    <w:rsid w:val="001E026D"/>
    <w:rsid w:val="001E590B"/>
    <w:rsid w:val="001F27EE"/>
    <w:rsid w:val="00201283"/>
    <w:rsid w:val="002040B9"/>
    <w:rsid w:val="002129BC"/>
    <w:rsid w:val="00214951"/>
    <w:rsid w:val="0021730E"/>
    <w:rsid w:val="002238F6"/>
    <w:rsid w:val="00224D3B"/>
    <w:rsid w:val="00227F0A"/>
    <w:rsid w:val="00233240"/>
    <w:rsid w:val="0023377A"/>
    <w:rsid w:val="00234E8B"/>
    <w:rsid w:val="00236931"/>
    <w:rsid w:val="00240073"/>
    <w:rsid w:val="0024372E"/>
    <w:rsid w:val="00243A15"/>
    <w:rsid w:val="00244E0C"/>
    <w:rsid w:val="00247F3E"/>
    <w:rsid w:val="00250203"/>
    <w:rsid w:val="0025209F"/>
    <w:rsid w:val="00252D6C"/>
    <w:rsid w:val="00253DA6"/>
    <w:rsid w:val="002617C5"/>
    <w:rsid w:val="002646F2"/>
    <w:rsid w:val="00264CD7"/>
    <w:rsid w:val="0027245C"/>
    <w:rsid w:val="00274098"/>
    <w:rsid w:val="00287800"/>
    <w:rsid w:val="00290A8A"/>
    <w:rsid w:val="00290B51"/>
    <w:rsid w:val="00291248"/>
    <w:rsid w:val="002913FF"/>
    <w:rsid w:val="00296C29"/>
    <w:rsid w:val="00296C50"/>
    <w:rsid w:val="002A4622"/>
    <w:rsid w:val="002B0283"/>
    <w:rsid w:val="002B3054"/>
    <w:rsid w:val="002B753E"/>
    <w:rsid w:val="002C0B5E"/>
    <w:rsid w:val="002C3985"/>
    <w:rsid w:val="002C48A4"/>
    <w:rsid w:val="002C49E4"/>
    <w:rsid w:val="002C4B89"/>
    <w:rsid w:val="002C4E59"/>
    <w:rsid w:val="002C7260"/>
    <w:rsid w:val="002D0E7A"/>
    <w:rsid w:val="002D7AC8"/>
    <w:rsid w:val="002E2F70"/>
    <w:rsid w:val="002E46C8"/>
    <w:rsid w:val="002E50F9"/>
    <w:rsid w:val="002E6AB0"/>
    <w:rsid w:val="002E74A7"/>
    <w:rsid w:val="002E7985"/>
    <w:rsid w:val="002F1122"/>
    <w:rsid w:val="002F26C9"/>
    <w:rsid w:val="002F2C1E"/>
    <w:rsid w:val="002F4306"/>
    <w:rsid w:val="002F5E27"/>
    <w:rsid w:val="00301E61"/>
    <w:rsid w:val="00304C54"/>
    <w:rsid w:val="0030757C"/>
    <w:rsid w:val="003113C4"/>
    <w:rsid w:val="00313C8A"/>
    <w:rsid w:val="00321002"/>
    <w:rsid w:val="003235AC"/>
    <w:rsid w:val="00332E35"/>
    <w:rsid w:val="0033336E"/>
    <w:rsid w:val="0034084A"/>
    <w:rsid w:val="00345076"/>
    <w:rsid w:val="00352329"/>
    <w:rsid w:val="0036336A"/>
    <w:rsid w:val="003640A6"/>
    <w:rsid w:val="00365054"/>
    <w:rsid w:val="00365461"/>
    <w:rsid w:val="00366103"/>
    <w:rsid w:val="003662CE"/>
    <w:rsid w:val="003700C1"/>
    <w:rsid w:val="003705C5"/>
    <w:rsid w:val="0037310D"/>
    <w:rsid w:val="003846D3"/>
    <w:rsid w:val="00386B68"/>
    <w:rsid w:val="003877EE"/>
    <w:rsid w:val="00390294"/>
    <w:rsid w:val="0039683E"/>
    <w:rsid w:val="00397BEB"/>
    <w:rsid w:val="003A0121"/>
    <w:rsid w:val="003A3B13"/>
    <w:rsid w:val="003B13A2"/>
    <w:rsid w:val="003C5289"/>
    <w:rsid w:val="003C6ED8"/>
    <w:rsid w:val="003C6EDA"/>
    <w:rsid w:val="003C7744"/>
    <w:rsid w:val="003C77E1"/>
    <w:rsid w:val="003D2B0A"/>
    <w:rsid w:val="003D4046"/>
    <w:rsid w:val="003E1E0C"/>
    <w:rsid w:val="003E2BFC"/>
    <w:rsid w:val="003E5CA0"/>
    <w:rsid w:val="003E5CE0"/>
    <w:rsid w:val="003F03FB"/>
    <w:rsid w:val="003F1F82"/>
    <w:rsid w:val="003F3516"/>
    <w:rsid w:val="003F3890"/>
    <w:rsid w:val="003F5719"/>
    <w:rsid w:val="003F5EF8"/>
    <w:rsid w:val="003F61F5"/>
    <w:rsid w:val="003F71A2"/>
    <w:rsid w:val="003F7942"/>
    <w:rsid w:val="00401612"/>
    <w:rsid w:val="004024B8"/>
    <w:rsid w:val="00404211"/>
    <w:rsid w:val="00410440"/>
    <w:rsid w:val="00412404"/>
    <w:rsid w:val="004134C6"/>
    <w:rsid w:val="00421563"/>
    <w:rsid w:val="00424ED1"/>
    <w:rsid w:val="00425989"/>
    <w:rsid w:val="00426AB5"/>
    <w:rsid w:val="004308A7"/>
    <w:rsid w:val="0044207A"/>
    <w:rsid w:val="00443254"/>
    <w:rsid w:val="004454FB"/>
    <w:rsid w:val="00445B98"/>
    <w:rsid w:val="00445E95"/>
    <w:rsid w:val="004464D9"/>
    <w:rsid w:val="00447782"/>
    <w:rsid w:val="00450323"/>
    <w:rsid w:val="004509CB"/>
    <w:rsid w:val="00451AB6"/>
    <w:rsid w:val="00451AE9"/>
    <w:rsid w:val="0045241A"/>
    <w:rsid w:val="00453F58"/>
    <w:rsid w:val="004626F0"/>
    <w:rsid w:val="00474EA0"/>
    <w:rsid w:val="004776E1"/>
    <w:rsid w:val="00481CE7"/>
    <w:rsid w:val="0048274B"/>
    <w:rsid w:val="00482C59"/>
    <w:rsid w:val="00486351"/>
    <w:rsid w:val="004874A8"/>
    <w:rsid w:val="00487890"/>
    <w:rsid w:val="00490908"/>
    <w:rsid w:val="0049198F"/>
    <w:rsid w:val="00492A71"/>
    <w:rsid w:val="004930FF"/>
    <w:rsid w:val="00493502"/>
    <w:rsid w:val="004A1A46"/>
    <w:rsid w:val="004A2B9D"/>
    <w:rsid w:val="004A3F3B"/>
    <w:rsid w:val="004A4099"/>
    <w:rsid w:val="004A426C"/>
    <w:rsid w:val="004A5560"/>
    <w:rsid w:val="004A5715"/>
    <w:rsid w:val="004B4F9A"/>
    <w:rsid w:val="004B59CE"/>
    <w:rsid w:val="004B6CA2"/>
    <w:rsid w:val="004C12E4"/>
    <w:rsid w:val="004C3678"/>
    <w:rsid w:val="004C6EBF"/>
    <w:rsid w:val="004D060A"/>
    <w:rsid w:val="004D086A"/>
    <w:rsid w:val="004D3FCE"/>
    <w:rsid w:val="004D42AD"/>
    <w:rsid w:val="004D7B8F"/>
    <w:rsid w:val="004E1F68"/>
    <w:rsid w:val="004E3914"/>
    <w:rsid w:val="004E54C9"/>
    <w:rsid w:val="004E5904"/>
    <w:rsid w:val="004E7884"/>
    <w:rsid w:val="004F00AD"/>
    <w:rsid w:val="004F3C49"/>
    <w:rsid w:val="004F4E93"/>
    <w:rsid w:val="005109BF"/>
    <w:rsid w:val="005112AA"/>
    <w:rsid w:val="00514226"/>
    <w:rsid w:val="0051490F"/>
    <w:rsid w:val="0051565F"/>
    <w:rsid w:val="00521A73"/>
    <w:rsid w:val="00521F25"/>
    <w:rsid w:val="00522970"/>
    <w:rsid w:val="005249F6"/>
    <w:rsid w:val="005254B0"/>
    <w:rsid w:val="00526219"/>
    <w:rsid w:val="0053020E"/>
    <w:rsid w:val="0053289F"/>
    <w:rsid w:val="00533AB5"/>
    <w:rsid w:val="00533D03"/>
    <w:rsid w:val="0053524B"/>
    <w:rsid w:val="00535456"/>
    <w:rsid w:val="00540E66"/>
    <w:rsid w:val="00543A37"/>
    <w:rsid w:val="00543C2F"/>
    <w:rsid w:val="00544AD0"/>
    <w:rsid w:val="005457BA"/>
    <w:rsid w:val="005505BC"/>
    <w:rsid w:val="00550741"/>
    <w:rsid w:val="00561321"/>
    <w:rsid w:val="00561C32"/>
    <w:rsid w:val="00562F65"/>
    <w:rsid w:val="00570FB4"/>
    <w:rsid w:val="00571810"/>
    <w:rsid w:val="00580673"/>
    <w:rsid w:val="005809BC"/>
    <w:rsid w:val="005836D0"/>
    <w:rsid w:val="00590A10"/>
    <w:rsid w:val="0059161C"/>
    <w:rsid w:val="005939C7"/>
    <w:rsid w:val="005956A1"/>
    <w:rsid w:val="0059683E"/>
    <w:rsid w:val="00597B5B"/>
    <w:rsid w:val="005A2A18"/>
    <w:rsid w:val="005A32C2"/>
    <w:rsid w:val="005A738C"/>
    <w:rsid w:val="005A75D7"/>
    <w:rsid w:val="005A7E75"/>
    <w:rsid w:val="005B260C"/>
    <w:rsid w:val="005B2D15"/>
    <w:rsid w:val="005B3EC9"/>
    <w:rsid w:val="005B55E4"/>
    <w:rsid w:val="005D1F2A"/>
    <w:rsid w:val="005D3280"/>
    <w:rsid w:val="005D64EF"/>
    <w:rsid w:val="005D67A9"/>
    <w:rsid w:val="005E4AF7"/>
    <w:rsid w:val="005E7967"/>
    <w:rsid w:val="005F0189"/>
    <w:rsid w:val="005F1148"/>
    <w:rsid w:val="005F56B6"/>
    <w:rsid w:val="005F62F8"/>
    <w:rsid w:val="00603A2B"/>
    <w:rsid w:val="00605156"/>
    <w:rsid w:val="0061043C"/>
    <w:rsid w:val="0061131D"/>
    <w:rsid w:val="00611A8C"/>
    <w:rsid w:val="00615929"/>
    <w:rsid w:val="00624B5D"/>
    <w:rsid w:val="006250B1"/>
    <w:rsid w:val="00630A82"/>
    <w:rsid w:val="00634014"/>
    <w:rsid w:val="00642D9A"/>
    <w:rsid w:val="00644DD9"/>
    <w:rsid w:val="0064717A"/>
    <w:rsid w:val="0065015F"/>
    <w:rsid w:val="00650E1A"/>
    <w:rsid w:val="0065518E"/>
    <w:rsid w:val="00656F2A"/>
    <w:rsid w:val="00656F96"/>
    <w:rsid w:val="006614DC"/>
    <w:rsid w:val="00662D44"/>
    <w:rsid w:val="006632DE"/>
    <w:rsid w:val="006713ED"/>
    <w:rsid w:val="006738D3"/>
    <w:rsid w:val="006754E3"/>
    <w:rsid w:val="00676686"/>
    <w:rsid w:val="00677E7B"/>
    <w:rsid w:val="00682C7D"/>
    <w:rsid w:val="006865C5"/>
    <w:rsid w:val="00693353"/>
    <w:rsid w:val="00694583"/>
    <w:rsid w:val="006A2EED"/>
    <w:rsid w:val="006A42E7"/>
    <w:rsid w:val="006A6C8D"/>
    <w:rsid w:val="006B2F91"/>
    <w:rsid w:val="006B6B21"/>
    <w:rsid w:val="006C1799"/>
    <w:rsid w:val="006C2744"/>
    <w:rsid w:val="006C417D"/>
    <w:rsid w:val="006C4CE5"/>
    <w:rsid w:val="006C6553"/>
    <w:rsid w:val="006D62EA"/>
    <w:rsid w:val="006D71DD"/>
    <w:rsid w:val="006E002E"/>
    <w:rsid w:val="006E06F4"/>
    <w:rsid w:val="006E2D2A"/>
    <w:rsid w:val="006E30B5"/>
    <w:rsid w:val="006E3E15"/>
    <w:rsid w:val="006E6062"/>
    <w:rsid w:val="006E6C0B"/>
    <w:rsid w:val="006F0CCE"/>
    <w:rsid w:val="006F2318"/>
    <w:rsid w:val="006F2AD3"/>
    <w:rsid w:val="006F4E01"/>
    <w:rsid w:val="006F66EE"/>
    <w:rsid w:val="006F7E12"/>
    <w:rsid w:val="0070061B"/>
    <w:rsid w:val="00701045"/>
    <w:rsid w:val="00701DFC"/>
    <w:rsid w:val="00702A4E"/>
    <w:rsid w:val="0071179E"/>
    <w:rsid w:val="00711AFC"/>
    <w:rsid w:val="00711F16"/>
    <w:rsid w:val="00714388"/>
    <w:rsid w:val="0071495B"/>
    <w:rsid w:val="00716CB5"/>
    <w:rsid w:val="00717C6A"/>
    <w:rsid w:val="0072011A"/>
    <w:rsid w:val="0072118B"/>
    <w:rsid w:val="0072495A"/>
    <w:rsid w:val="007265AD"/>
    <w:rsid w:val="0072660A"/>
    <w:rsid w:val="00731A6E"/>
    <w:rsid w:val="00736685"/>
    <w:rsid w:val="0074110C"/>
    <w:rsid w:val="00741985"/>
    <w:rsid w:val="00747953"/>
    <w:rsid w:val="0075226E"/>
    <w:rsid w:val="00752790"/>
    <w:rsid w:val="00754458"/>
    <w:rsid w:val="007547B4"/>
    <w:rsid w:val="00760731"/>
    <w:rsid w:val="0076275B"/>
    <w:rsid w:val="007639F2"/>
    <w:rsid w:val="00764D4D"/>
    <w:rsid w:val="00771D48"/>
    <w:rsid w:val="007757D1"/>
    <w:rsid w:val="00775C62"/>
    <w:rsid w:val="00780BA2"/>
    <w:rsid w:val="00780D15"/>
    <w:rsid w:val="0078158F"/>
    <w:rsid w:val="0078667F"/>
    <w:rsid w:val="00796807"/>
    <w:rsid w:val="007A022A"/>
    <w:rsid w:val="007A722F"/>
    <w:rsid w:val="007A7E78"/>
    <w:rsid w:val="007B0132"/>
    <w:rsid w:val="007B250B"/>
    <w:rsid w:val="007B4451"/>
    <w:rsid w:val="007B7EAE"/>
    <w:rsid w:val="007C2AAB"/>
    <w:rsid w:val="007C3307"/>
    <w:rsid w:val="007C3B17"/>
    <w:rsid w:val="007C52F7"/>
    <w:rsid w:val="007C59EB"/>
    <w:rsid w:val="007C7F4C"/>
    <w:rsid w:val="007D0E8A"/>
    <w:rsid w:val="007D0E93"/>
    <w:rsid w:val="007D158E"/>
    <w:rsid w:val="007D1CB8"/>
    <w:rsid w:val="007D321F"/>
    <w:rsid w:val="007D6400"/>
    <w:rsid w:val="007E0606"/>
    <w:rsid w:val="007E2E12"/>
    <w:rsid w:val="007F1CE9"/>
    <w:rsid w:val="007F307C"/>
    <w:rsid w:val="007F3CE0"/>
    <w:rsid w:val="007F796C"/>
    <w:rsid w:val="008003C1"/>
    <w:rsid w:val="008065B6"/>
    <w:rsid w:val="008111EC"/>
    <w:rsid w:val="00811E6F"/>
    <w:rsid w:val="00816776"/>
    <w:rsid w:val="00825510"/>
    <w:rsid w:val="0082661A"/>
    <w:rsid w:val="00827A37"/>
    <w:rsid w:val="00834161"/>
    <w:rsid w:val="008341E7"/>
    <w:rsid w:val="00834CF2"/>
    <w:rsid w:val="00834EC4"/>
    <w:rsid w:val="00835AA1"/>
    <w:rsid w:val="008425C0"/>
    <w:rsid w:val="00843E8B"/>
    <w:rsid w:val="0084406E"/>
    <w:rsid w:val="008473A6"/>
    <w:rsid w:val="0085037F"/>
    <w:rsid w:val="00853013"/>
    <w:rsid w:val="00853BE9"/>
    <w:rsid w:val="00855805"/>
    <w:rsid w:val="00855D0A"/>
    <w:rsid w:val="0085709B"/>
    <w:rsid w:val="0086280B"/>
    <w:rsid w:val="008633F9"/>
    <w:rsid w:val="00867CB7"/>
    <w:rsid w:val="00881E21"/>
    <w:rsid w:val="0088371A"/>
    <w:rsid w:val="00884991"/>
    <w:rsid w:val="0088616B"/>
    <w:rsid w:val="008867F4"/>
    <w:rsid w:val="00887613"/>
    <w:rsid w:val="008947A4"/>
    <w:rsid w:val="008958A2"/>
    <w:rsid w:val="008958C6"/>
    <w:rsid w:val="008A02D4"/>
    <w:rsid w:val="008A0D18"/>
    <w:rsid w:val="008A0F23"/>
    <w:rsid w:val="008A13BF"/>
    <w:rsid w:val="008A2929"/>
    <w:rsid w:val="008A633D"/>
    <w:rsid w:val="008A7FD1"/>
    <w:rsid w:val="008B3E68"/>
    <w:rsid w:val="008B6E87"/>
    <w:rsid w:val="008C0982"/>
    <w:rsid w:val="008C23B6"/>
    <w:rsid w:val="008C4294"/>
    <w:rsid w:val="008C50FF"/>
    <w:rsid w:val="008C68F1"/>
    <w:rsid w:val="008D0500"/>
    <w:rsid w:val="008D2D0A"/>
    <w:rsid w:val="008E2C95"/>
    <w:rsid w:val="008E7CDD"/>
    <w:rsid w:val="008F17C6"/>
    <w:rsid w:val="008F1FA6"/>
    <w:rsid w:val="008F69AC"/>
    <w:rsid w:val="008F6E3E"/>
    <w:rsid w:val="008F6EA9"/>
    <w:rsid w:val="008F71A1"/>
    <w:rsid w:val="009054EE"/>
    <w:rsid w:val="0090590D"/>
    <w:rsid w:val="00907288"/>
    <w:rsid w:val="00907EEF"/>
    <w:rsid w:val="00910B64"/>
    <w:rsid w:val="00912CAD"/>
    <w:rsid w:val="009138C4"/>
    <w:rsid w:val="00915462"/>
    <w:rsid w:val="00927FE2"/>
    <w:rsid w:val="00933237"/>
    <w:rsid w:val="0093651D"/>
    <w:rsid w:val="00937213"/>
    <w:rsid w:val="00941B3B"/>
    <w:rsid w:val="0094310B"/>
    <w:rsid w:val="009434D8"/>
    <w:rsid w:val="009469D6"/>
    <w:rsid w:val="00951A69"/>
    <w:rsid w:val="00951B39"/>
    <w:rsid w:val="0095358D"/>
    <w:rsid w:val="00953A6A"/>
    <w:rsid w:val="00953EAE"/>
    <w:rsid w:val="00956B49"/>
    <w:rsid w:val="0095781D"/>
    <w:rsid w:val="0096297E"/>
    <w:rsid w:val="00965B34"/>
    <w:rsid w:val="00966F14"/>
    <w:rsid w:val="00970605"/>
    <w:rsid w:val="009717B7"/>
    <w:rsid w:val="00973802"/>
    <w:rsid w:val="00974BCB"/>
    <w:rsid w:val="00974E20"/>
    <w:rsid w:val="00992008"/>
    <w:rsid w:val="009920A5"/>
    <w:rsid w:val="0099288E"/>
    <w:rsid w:val="009929DA"/>
    <w:rsid w:val="00997FD7"/>
    <w:rsid w:val="009A09C4"/>
    <w:rsid w:val="009A2343"/>
    <w:rsid w:val="009A5745"/>
    <w:rsid w:val="009A5907"/>
    <w:rsid w:val="009A6728"/>
    <w:rsid w:val="009A6AC5"/>
    <w:rsid w:val="009A7705"/>
    <w:rsid w:val="009B19A2"/>
    <w:rsid w:val="009B3828"/>
    <w:rsid w:val="009B4F00"/>
    <w:rsid w:val="009B6F00"/>
    <w:rsid w:val="009B76F0"/>
    <w:rsid w:val="009C5EB2"/>
    <w:rsid w:val="009C6CBA"/>
    <w:rsid w:val="009D20B9"/>
    <w:rsid w:val="009D2E16"/>
    <w:rsid w:val="009D442B"/>
    <w:rsid w:val="009D5E76"/>
    <w:rsid w:val="009D62D3"/>
    <w:rsid w:val="009D62F5"/>
    <w:rsid w:val="009D6A6D"/>
    <w:rsid w:val="009D7AD0"/>
    <w:rsid w:val="009E197C"/>
    <w:rsid w:val="009E45DB"/>
    <w:rsid w:val="009F4196"/>
    <w:rsid w:val="009F564A"/>
    <w:rsid w:val="00A03A57"/>
    <w:rsid w:val="00A064CB"/>
    <w:rsid w:val="00A10EC9"/>
    <w:rsid w:val="00A10F3A"/>
    <w:rsid w:val="00A15486"/>
    <w:rsid w:val="00A173EF"/>
    <w:rsid w:val="00A17DD8"/>
    <w:rsid w:val="00A20B29"/>
    <w:rsid w:val="00A20D2F"/>
    <w:rsid w:val="00A20E8D"/>
    <w:rsid w:val="00A21293"/>
    <w:rsid w:val="00A219B9"/>
    <w:rsid w:val="00A2252D"/>
    <w:rsid w:val="00A25747"/>
    <w:rsid w:val="00A26B41"/>
    <w:rsid w:val="00A31033"/>
    <w:rsid w:val="00A4078F"/>
    <w:rsid w:val="00A41BED"/>
    <w:rsid w:val="00A4318D"/>
    <w:rsid w:val="00A468CA"/>
    <w:rsid w:val="00A468CF"/>
    <w:rsid w:val="00A54A3E"/>
    <w:rsid w:val="00A558EC"/>
    <w:rsid w:val="00A57013"/>
    <w:rsid w:val="00A571AB"/>
    <w:rsid w:val="00A57B0C"/>
    <w:rsid w:val="00A57CE9"/>
    <w:rsid w:val="00A60EEE"/>
    <w:rsid w:val="00A61074"/>
    <w:rsid w:val="00A61318"/>
    <w:rsid w:val="00A66284"/>
    <w:rsid w:val="00A66592"/>
    <w:rsid w:val="00A673C4"/>
    <w:rsid w:val="00A673CE"/>
    <w:rsid w:val="00A739CF"/>
    <w:rsid w:val="00A752C5"/>
    <w:rsid w:val="00A7538D"/>
    <w:rsid w:val="00A7605F"/>
    <w:rsid w:val="00A76D46"/>
    <w:rsid w:val="00A77754"/>
    <w:rsid w:val="00A80A7E"/>
    <w:rsid w:val="00A81135"/>
    <w:rsid w:val="00A815A6"/>
    <w:rsid w:val="00A862F1"/>
    <w:rsid w:val="00A865BB"/>
    <w:rsid w:val="00A92D7C"/>
    <w:rsid w:val="00A933E4"/>
    <w:rsid w:val="00AA10F2"/>
    <w:rsid w:val="00AA2762"/>
    <w:rsid w:val="00AA2A2E"/>
    <w:rsid w:val="00AA2BB2"/>
    <w:rsid w:val="00AA3208"/>
    <w:rsid w:val="00AA3B0F"/>
    <w:rsid w:val="00AA5736"/>
    <w:rsid w:val="00AA7883"/>
    <w:rsid w:val="00AB2E0C"/>
    <w:rsid w:val="00AB3212"/>
    <w:rsid w:val="00AB3E99"/>
    <w:rsid w:val="00AB44B7"/>
    <w:rsid w:val="00AC18F8"/>
    <w:rsid w:val="00AC1E87"/>
    <w:rsid w:val="00AC2633"/>
    <w:rsid w:val="00AD2092"/>
    <w:rsid w:val="00AD20EC"/>
    <w:rsid w:val="00AE201F"/>
    <w:rsid w:val="00AE5E76"/>
    <w:rsid w:val="00AE6146"/>
    <w:rsid w:val="00AF4C6D"/>
    <w:rsid w:val="00AF6C75"/>
    <w:rsid w:val="00AF6CAE"/>
    <w:rsid w:val="00AF6F5E"/>
    <w:rsid w:val="00B004E8"/>
    <w:rsid w:val="00B031F9"/>
    <w:rsid w:val="00B0430F"/>
    <w:rsid w:val="00B048A4"/>
    <w:rsid w:val="00B04A54"/>
    <w:rsid w:val="00B104BA"/>
    <w:rsid w:val="00B119AB"/>
    <w:rsid w:val="00B16FAF"/>
    <w:rsid w:val="00B173CF"/>
    <w:rsid w:val="00B215FC"/>
    <w:rsid w:val="00B24714"/>
    <w:rsid w:val="00B25119"/>
    <w:rsid w:val="00B26665"/>
    <w:rsid w:val="00B27527"/>
    <w:rsid w:val="00B27863"/>
    <w:rsid w:val="00B27991"/>
    <w:rsid w:val="00B35C89"/>
    <w:rsid w:val="00B35EE5"/>
    <w:rsid w:val="00B35F65"/>
    <w:rsid w:val="00B36AE2"/>
    <w:rsid w:val="00B4158B"/>
    <w:rsid w:val="00B456E7"/>
    <w:rsid w:val="00B46897"/>
    <w:rsid w:val="00B47A8E"/>
    <w:rsid w:val="00B526B4"/>
    <w:rsid w:val="00B533A1"/>
    <w:rsid w:val="00B612F7"/>
    <w:rsid w:val="00B64E04"/>
    <w:rsid w:val="00B70CD5"/>
    <w:rsid w:val="00B72C6F"/>
    <w:rsid w:val="00B72E22"/>
    <w:rsid w:val="00B73F16"/>
    <w:rsid w:val="00B82E68"/>
    <w:rsid w:val="00B850FB"/>
    <w:rsid w:val="00B91113"/>
    <w:rsid w:val="00B91986"/>
    <w:rsid w:val="00B93C2B"/>
    <w:rsid w:val="00BA248E"/>
    <w:rsid w:val="00BA322D"/>
    <w:rsid w:val="00BA55F2"/>
    <w:rsid w:val="00BA6BFF"/>
    <w:rsid w:val="00BB00E5"/>
    <w:rsid w:val="00BB0C96"/>
    <w:rsid w:val="00BB0DB8"/>
    <w:rsid w:val="00BB2EC5"/>
    <w:rsid w:val="00BB3EAE"/>
    <w:rsid w:val="00BB3ED6"/>
    <w:rsid w:val="00BC1ED1"/>
    <w:rsid w:val="00BC65F8"/>
    <w:rsid w:val="00BD279A"/>
    <w:rsid w:val="00BD2BF6"/>
    <w:rsid w:val="00BD4DCD"/>
    <w:rsid w:val="00BD5B25"/>
    <w:rsid w:val="00BD5E82"/>
    <w:rsid w:val="00BE24F7"/>
    <w:rsid w:val="00BE2742"/>
    <w:rsid w:val="00BF1DDA"/>
    <w:rsid w:val="00BF1DDE"/>
    <w:rsid w:val="00BF2030"/>
    <w:rsid w:val="00BF6891"/>
    <w:rsid w:val="00C06F9A"/>
    <w:rsid w:val="00C12601"/>
    <w:rsid w:val="00C12AFA"/>
    <w:rsid w:val="00C1484D"/>
    <w:rsid w:val="00C14B33"/>
    <w:rsid w:val="00C15B76"/>
    <w:rsid w:val="00C2028E"/>
    <w:rsid w:val="00C22776"/>
    <w:rsid w:val="00C229AA"/>
    <w:rsid w:val="00C23DF4"/>
    <w:rsid w:val="00C32BA4"/>
    <w:rsid w:val="00C34072"/>
    <w:rsid w:val="00C3766F"/>
    <w:rsid w:val="00C42C8C"/>
    <w:rsid w:val="00C4351F"/>
    <w:rsid w:val="00C45B2D"/>
    <w:rsid w:val="00C464A1"/>
    <w:rsid w:val="00C50BD4"/>
    <w:rsid w:val="00C616F9"/>
    <w:rsid w:val="00C63DCB"/>
    <w:rsid w:val="00C655A7"/>
    <w:rsid w:val="00C738CF"/>
    <w:rsid w:val="00C73B51"/>
    <w:rsid w:val="00C73C9E"/>
    <w:rsid w:val="00C74750"/>
    <w:rsid w:val="00C75432"/>
    <w:rsid w:val="00C75DF9"/>
    <w:rsid w:val="00C80719"/>
    <w:rsid w:val="00C84606"/>
    <w:rsid w:val="00C84B76"/>
    <w:rsid w:val="00C84C30"/>
    <w:rsid w:val="00C90182"/>
    <w:rsid w:val="00C948B6"/>
    <w:rsid w:val="00C96DF6"/>
    <w:rsid w:val="00CA3532"/>
    <w:rsid w:val="00CA417D"/>
    <w:rsid w:val="00CA73BD"/>
    <w:rsid w:val="00CA776C"/>
    <w:rsid w:val="00CB1A11"/>
    <w:rsid w:val="00CB218E"/>
    <w:rsid w:val="00CB23BC"/>
    <w:rsid w:val="00CB3D66"/>
    <w:rsid w:val="00CB5122"/>
    <w:rsid w:val="00CB53DE"/>
    <w:rsid w:val="00CB57DF"/>
    <w:rsid w:val="00CB5EF5"/>
    <w:rsid w:val="00CB64EF"/>
    <w:rsid w:val="00CB68B4"/>
    <w:rsid w:val="00CC043B"/>
    <w:rsid w:val="00CC0FA1"/>
    <w:rsid w:val="00CC51F5"/>
    <w:rsid w:val="00CC66EC"/>
    <w:rsid w:val="00CC69C7"/>
    <w:rsid w:val="00CC6A63"/>
    <w:rsid w:val="00CD0B14"/>
    <w:rsid w:val="00CD1174"/>
    <w:rsid w:val="00CD3611"/>
    <w:rsid w:val="00CD63B5"/>
    <w:rsid w:val="00CE0892"/>
    <w:rsid w:val="00CE54DA"/>
    <w:rsid w:val="00CE667D"/>
    <w:rsid w:val="00CF09AC"/>
    <w:rsid w:val="00CF1B89"/>
    <w:rsid w:val="00CF1CF3"/>
    <w:rsid w:val="00CF4207"/>
    <w:rsid w:val="00CF58FC"/>
    <w:rsid w:val="00D0357D"/>
    <w:rsid w:val="00D03ABF"/>
    <w:rsid w:val="00D1108C"/>
    <w:rsid w:val="00D11AD4"/>
    <w:rsid w:val="00D12911"/>
    <w:rsid w:val="00D15917"/>
    <w:rsid w:val="00D16FA2"/>
    <w:rsid w:val="00D17674"/>
    <w:rsid w:val="00D2047A"/>
    <w:rsid w:val="00D207F5"/>
    <w:rsid w:val="00D2167B"/>
    <w:rsid w:val="00D2712D"/>
    <w:rsid w:val="00D30C0D"/>
    <w:rsid w:val="00D319C2"/>
    <w:rsid w:val="00D33537"/>
    <w:rsid w:val="00D361F4"/>
    <w:rsid w:val="00D37864"/>
    <w:rsid w:val="00D37C38"/>
    <w:rsid w:val="00D446CC"/>
    <w:rsid w:val="00D51FB1"/>
    <w:rsid w:val="00D5743C"/>
    <w:rsid w:val="00D576A4"/>
    <w:rsid w:val="00D57CB9"/>
    <w:rsid w:val="00D60A98"/>
    <w:rsid w:val="00D61FA1"/>
    <w:rsid w:val="00D65D59"/>
    <w:rsid w:val="00D752A5"/>
    <w:rsid w:val="00D7600F"/>
    <w:rsid w:val="00D76B38"/>
    <w:rsid w:val="00D86429"/>
    <w:rsid w:val="00D90D71"/>
    <w:rsid w:val="00D91423"/>
    <w:rsid w:val="00D9269E"/>
    <w:rsid w:val="00D957D6"/>
    <w:rsid w:val="00D95DF3"/>
    <w:rsid w:val="00DA5098"/>
    <w:rsid w:val="00DB0B6B"/>
    <w:rsid w:val="00DB48E4"/>
    <w:rsid w:val="00DC0815"/>
    <w:rsid w:val="00DC095A"/>
    <w:rsid w:val="00DC1243"/>
    <w:rsid w:val="00DC2459"/>
    <w:rsid w:val="00DC43A4"/>
    <w:rsid w:val="00DD04C6"/>
    <w:rsid w:val="00DD67CA"/>
    <w:rsid w:val="00DD78FB"/>
    <w:rsid w:val="00DD7FCF"/>
    <w:rsid w:val="00DE1EC4"/>
    <w:rsid w:val="00DE32F7"/>
    <w:rsid w:val="00DE3F96"/>
    <w:rsid w:val="00DE7078"/>
    <w:rsid w:val="00DE7451"/>
    <w:rsid w:val="00DF3393"/>
    <w:rsid w:val="00DF700A"/>
    <w:rsid w:val="00E021C6"/>
    <w:rsid w:val="00E0523E"/>
    <w:rsid w:val="00E057B6"/>
    <w:rsid w:val="00E074EC"/>
    <w:rsid w:val="00E10A23"/>
    <w:rsid w:val="00E11CB7"/>
    <w:rsid w:val="00E13829"/>
    <w:rsid w:val="00E140F7"/>
    <w:rsid w:val="00E1508C"/>
    <w:rsid w:val="00E151F2"/>
    <w:rsid w:val="00E179DD"/>
    <w:rsid w:val="00E202EF"/>
    <w:rsid w:val="00E212D5"/>
    <w:rsid w:val="00E21B4D"/>
    <w:rsid w:val="00E24EA8"/>
    <w:rsid w:val="00E25353"/>
    <w:rsid w:val="00E26EB6"/>
    <w:rsid w:val="00E3328F"/>
    <w:rsid w:val="00E37F9C"/>
    <w:rsid w:val="00E41391"/>
    <w:rsid w:val="00E42878"/>
    <w:rsid w:val="00E44A53"/>
    <w:rsid w:val="00E456A5"/>
    <w:rsid w:val="00E46DFA"/>
    <w:rsid w:val="00E47690"/>
    <w:rsid w:val="00E51616"/>
    <w:rsid w:val="00E56113"/>
    <w:rsid w:val="00E5710F"/>
    <w:rsid w:val="00E57AAA"/>
    <w:rsid w:val="00E61D89"/>
    <w:rsid w:val="00E628A0"/>
    <w:rsid w:val="00E662A5"/>
    <w:rsid w:val="00E70D72"/>
    <w:rsid w:val="00E724B5"/>
    <w:rsid w:val="00E73F36"/>
    <w:rsid w:val="00E75FB6"/>
    <w:rsid w:val="00E76AFA"/>
    <w:rsid w:val="00E81D19"/>
    <w:rsid w:val="00E8481E"/>
    <w:rsid w:val="00E862FC"/>
    <w:rsid w:val="00E906C3"/>
    <w:rsid w:val="00E9145A"/>
    <w:rsid w:val="00E923FC"/>
    <w:rsid w:val="00EA042A"/>
    <w:rsid w:val="00EA2EE0"/>
    <w:rsid w:val="00EA5783"/>
    <w:rsid w:val="00EB2B38"/>
    <w:rsid w:val="00EC08ED"/>
    <w:rsid w:val="00EC148D"/>
    <w:rsid w:val="00EC1845"/>
    <w:rsid w:val="00EC2953"/>
    <w:rsid w:val="00EC4744"/>
    <w:rsid w:val="00EC5DB8"/>
    <w:rsid w:val="00ED4308"/>
    <w:rsid w:val="00EE15B7"/>
    <w:rsid w:val="00EE5C60"/>
    <w:rsid w:val="00EF01F0"/>
    <w:rsid w:val="00EF025F"/>
    <w:rsid w:val="00EF481D"/>
    <w:rsid w:val="00EF7955"/>
    <w:rsid w:val="00F01846"/>
    <w:rsid w:val="00F02226"/>
    <w:rsid w:val="00F05549"/>
    <w:rsid w:val="00F05A6F"/>
    <w:rsid w:val="00F07B56"/>
    <w:rsid w:val="00F1085F"/>
    <w:rsid w:val="00F10AF8"/>
    <w:rsid w:val="00F10F8C"/>
    <w:rsid w:val="00F16FDB"/>
    <w:rsid w:val="00F23E6F"/>
    <w:rsid w:val="00F30C30"/>
    <w:rsid w:val="00F32CE5"/>
    <w:rsid w:val="00F34CD5"/>
    <w:rsid w:val="00F3794F"/>
    <w:rsid w:val="00F413C0"/>
    <w:rsid w:val="00F41405"/>
    <w:rsid w:val="00F41AF8"/>
    <w:rsid w:val="00F43DDD"/>
    <w:rsid w:val="00F46557"/>
    <w:rsid w:val="00F47AE3"/>
    <w:rsid w:val="00F52AC4"/>
    <w:rsid w:val="00F52F22"/>
    <w:rsid w:val="00F6190C"/>
    <w:rsid w:val="00F63034"/>
    <w:rsid w:val="00F644A2"/>
    <w:rsid w:val="00F64BC9"/>
    <w:rsid w:val="00F70350"/>
    <w:rsid w:val="00F709C5"/>
    <w:rsid w:val="00F72931"/>
    <w:rsid w:val="00F73D99"/>
    <w:rsid w:val="00F763B3"/>
    <w:rsid w:val="00F76899"/>
    <w:rsid w:val="00F769DF"/>
    <w:rsid w:val="00F76DDD"/>
    <w:rsid w:val="00F809AB"/>
    <w:rsid w:val="00F81CAA"/>
    <w:rsid w:val="00F8456C"/>
    <w:rsid w:val="00F84987"/>
    <w:rsid w:val="00F8519A"/>
    <w:rsid w:val="00F85529"/>
    <w:rsid w:val="00F869F2"/>
    <w:rsid w:val="00F86C1B"/>
    <w:rsid w:val="00F94805"/>
    <w:rsid w:val="00FA3D70"/>
    <w:rsid w:val="00FA7FF4"/>
    <w:rsid w:val="00FB0C7E"/>
    <w:rsid w:val="00FB1006"/>
    <w:rsid w:val="00FB24B3"/>
    <w:rsid w:val="00FB27AE"/>
    <w:rsid w:val="00FB3D6C"/>
    <w:rsid w:val="00FB4927"/>
    <w:rsid w:val="00FB76B3"/>
    <w:rsid w:val="00FC1674"/>
    <w:rsid w:val="00FC18BC"/>
    <w:rsid w:val="00FD1101"/>
    <w:rsid w:val="00FD1535"/>
    <w:rsid w:val="00FD3A1F"/>
    <w:rsid w:val="00FD5D17"/>
    <w:rsid w:val="00FD7EEA"/>
    <w:rsid w:val="00FE0B4F"/>
    <w:rsid w:val="00FE3B00"/>
    <w:rsid w:val="00FF2C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9D9F92"/>
  <w14:defaultImageDpi w14:val="300"/>
  <w15:docId w15:val="{34E5C79B-E261-A04C-9F6F-87BD601D2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B68"/>
    <w:pPr>
      <w:ind w:left="720"/>
      <w:contextualSpacing/>
    </w:pPr>
  </w:style>
  <w:style w:type="character" w:styleId="CommentReference">
    <w:name w:val="annotation reference"/>
    <w:basedOn w:val="DefaultParagraphFont"/>
    <w:uiPriority w:val="99"/>
    <w:semiHidden/>
    <w:unhideWhenUsed/>
    <w:rsid w:val="00386B68"/>
    <w:rPr>
      <w:sz w:val="16"/>
      <w:szCs w:val="16"/>
    </w:rPr>
  </w:style>
  <w:style w:type="paragraph" w:styleId="CommentText">
    <w:name w:val="annotation text"/>
    <w:basedOn w:val="Normal"/>
    <w:link w:val="CommentTextChar"/>
    <w:uiPriority w:val="99"/>
    <w:unhideWhenUsed/>
    <w:rsid w:val="00386B68"/>
    <w:rPr>
      <w:sz w:val="20"/>
      <w:szCs w:val="20"/>
    </w:rPr>
  </w:style>
  <w:style w:type="character" w:customStyle="1" w:styleId="CommentTextChar">
    <w:name w:val="Comment Text Char"/>
    <w:basedOn w:val="DefaultParagraphFont"/>
    <w:link w:val="CommentText"/>
    <w:uiPriority w:val="99"/>
    <w:rsid w:val="00386B68"/>
    <w:rPr>
      <w:sz w:val="20"/>
      <w:szCs w:val="20"/>
    </w:rPr>
  </w:style>
  <w:style w:type="paragraph" w:styleId="BalloonText">
    <w:name w:val="Balloon Text"/>
    <w:basedOn w:val="Normal"/>
    <w:link w:val="BalloonTextChar"/>
    <w:uiPriority w:val="99"/>
    <w:semiHidden/>
    <w:unhideWhenUsed/>
    <w:rsid w:val="00386B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6B68"/>
    <w:rPr>
      <w:rFonts w:ascii="Lucida Grande" w:hAnsi="Lucida Grande" w:cs="Lucida Grande"/>
      <w:sz w:val="18"/>
      <w:szCs w:val="18"/>
    </w:rPr>
  </w:style>
  <w:style w:type="paragraph" w:customStyle="1" w:styleId="Body">
    <w:name w:val="Body"/>
    <w:rsid w:val="00B82E68"/>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val="en-US" w:eastAsia="en-GB"/>
    </w:rPr>
  </w:style>
  <w:style w:type="paragraph" w:styleId="CommentSubject">
    <w:name w:val="annotation subject"/>
    <w:basedOn w:val="CommentText"/>
    <w:next w:val="CommentText"/>
    <w:link w:val="CommentSubjectChar"/>
    <w:uiPriority w:val="99"/>
    <w:semiHidden/>
    <w:unhideWhenUsed/>
    <w:rsid w:val="006F7E12"/>
    <w:rPr>
      <w:b/>
      <w:bCs/>
    </w:rPr>
  </w:style>
  <w:style w:type="character" w:customStyle="1" w:styleId="CommentSubjectChar">
    <w:name w:val="Comment Subject Char"/>
    <w:basedOn w:val="CommentTextChar"/>
    <w:link w:val="CommentSubject"/>
    <w:uiPriority w:val="99"/>
    <w:semiHidden/>
    <w:rsid w:val="006F7E12"/>
    <w:rPr>
      <w:b/>
      <w:bCs/>
      <w:sz w:val="20"/>
      <w:szCs w:val="20"/>
    </w:rPr>
  </w:style>
  <w:style w:type="paragraph" w:styleId="Revision">
    <w:name w:val="Revision"/>
    <w:hidden/>
    <w:uiPriority w:val="99"/>
    <w:semiHidden/>
    <w:rsid w:val="00825510"/>
  </w:style>
  <w:style w:type="character" w:styleId="Hyperlink">
    <w:name w:val="Hyperlink"/>
    <w:basedOn w:val="DefaultParagraphFont"/>
    <w:uiPriority w:val="99"/>
    <w:unhideWhenUsed/>
    <w:rsid w:val="00825510"/>
    <w:rPr>
      <w:color w:val="0000FF" w:themeColor="hyperlink"/>
      <w:u w:val="single"/>
    </w:rPr>
  </w:style>
  <w:style w:type="paragraph" w:styleId="Header">
    <w:name w:val="header"/>
    <w:basedOn w:val="Normal"/>
    <w:link w:val="HeaderChar"/>
    <w:uiPriority w:val="99"/>
    <w:unhideWhenUsed/>
    <w:rsid w:val="00C32BA4"/>
    <w:pPr>
      <w:tabs>
        <w:tab w:val="center" w:pos="4513"/>
        <w:tab w:val="right" w:pos="9026"/>
      </w:tabs>
    </w:pPr>
  </w:style>
  <w:style w:type="character" w:customStyle="1" w:styleId="HeaderChar">
    <w:name w:val="Header Char"/>
    <w:basedOn w:val="DefaultParagraphFont"/>
    <w:link w:val="Header"/>
    <w:uiPriority w:val="99"/>
    <w:rsid w:val="00C32BA4"/>
  </w:style>
  <w:style w:type="paragraph" w:styleId="Footer">
    <w:name w:val="footer"/>
    <w:basedOn w:val="Normal"/>
    <w:link w:val="FooterChar"/>
    <w:uiPriority w:val="99"/>
    <w:unhideWhenUsed/>
    <w:rsid w:val="00C32BA4"/>
    <w:pPr>
      <w:tabs>
        <w:tab w:val="center" w:pos="4513"/>
        <w:tab w:val="right" w:pos="9026"/>
      </w:tabs>
    </w:pPr>
  </w:style>
  <w:style w:type="character" w:customStyle="1" w:styleId="FooterChar">
    <w:name w:val="Footer Char"/>
    <w:basedOn w:val="DefaultParagraphFont"/>
    <w:link w:val="Footer"/>
    <w:uiPriority w:val="99"/>
    <w:rsid w:val="00C32BA4"/>
  </w:style>
  <w:style w:type="character" w:styleId="PageNumber">
    <w:name w:val="page number"/>
    <w:basedOn w:val="DefaultParagraphFont"/>
    <w:uiPriority w:val="99"/>
    <w:semiHidden/>
    <w:unhideWhenUsed/>
    <w:rsid w:val="00C32BA4"/>
  </w:style>
  <w:style w:type="paragraph" w:styleId="NormalWeb">
    <w:name w:val="Normal (Web)"/>
    <w:basedOn w:val="Normal"/>
    <w:uiPriority w:val="99"/>
    <w:semiHidden/>
    <w:unhideWhenUsed/>
    <w:rsid w:val="000273F1"/>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152F02"/>
    <w:rPr>
      <w:color w:val="800080" w:themeColor="followedHyperlink"/>
      <w:u w:val="single"/>
    </w:rPr>
  </w:style>
  <w:style w:type="character" w:customStyle="1" w:styleId="apple-converted-space">
    <w:name w:val="apple-converted-space"/>
    <w:basedOn w:val="DefaultParagraphFont"/>
    <w:rsid w:val="008C0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45925">
      <w:bodyDiv w:val="1"/>
      <w:marLeft w:val="0"/>
      <w:marRight w:val="0"/>
      <w:marTop w:val="0"/>
      <w:marBottom w:val="0"/>
      <w:divBdr>
        <w:top w:val="none" w:sz="0" w:space="0" w:color="auto"/>
        <w:left w:val="none" w:sz="0" w:space="0" w:color="auto"/>
        <w:bottom w:val="none" w:sz="0" w:space="0" w:color="auto"/>
        <w:right w:val="none" w:sz="0" w:space="0" w:color="auto"/>
      </w:divBdr>
    </w:div>
    <w:div w:id="228006100">
      <w:bodyDiv w:val="1"/>
      <w:marLeft w:val="0"/>
      <w:marRight w:val="0"/>
      <w:marTop w:val="0"/>
      <w:marBottom w:val="0"/>
      <w:divBdr>
        <w:top w:val="none" w:sz="0" w:space="0" w:color="auto"/>
        <w:left w:val="none" w:sz="0" w:space="0" w:color="auto"/>
        <w:bottom w:val="none" w:sz="0" w:space="0" w:color="auto"/>
        <w:right w:val="none" w:sz="0" w:space="0" w:color="auto"/>
      </w:divBdr>
      <w:divsChild>
        <w:div w:id="1978412763">
          <w:marLeft w:val="0"/>
          <w:marRight w:val="0"/>
          <w:marTop w:val="0"/>
          <w:marBottom w:val="0"/>
          <w:divBdr>
            <w:top w:val="none" w:sz="0" w:space="0" w:color="auto"/>
            <w:left w:val="none" w:sz="0" w:space="0" w:color="auto"/>
            <w:bottom w:val="none" w:sz="0" w:space="0" w:color="auto"/>
            <w:right w:val="none" w:sz="0" w:space="0" w:color="auto"/>
          </w:divBdr>
          <w:divsChild>
            <w:div w:id="1015618281">
              <w:marLeft w:val="0"/>
              <w:marRight w:val="0"/>
              <w:marTop w:val="0"/>
              <w:marBottom w:val="0"/>
              <w:divBdr>
                <w:top w:val="none" w:sz="0" w:space="0" w:color="auto"/>
                <w:left w:val="none" w:sz="0" w:space="0" w:color="auto"/>
                <w:bottom w:val="none" w:sz="0" w:space="0" w:color="auto"/>
                <w:right w:val="none" w:sz="0" w:space="0" w:color="auto"/>
              </w:divBdr>
              <w:divsChild>
                <w:div w:id="938954889">
                  <w:marLeft w:val="0"/>
                  <w:marRight w:val="0"/>
                  <w:marTop w:val="0"/>
                  <w:marBottom w:val="0"/>
                  <w:divBdr>
                    <w:top w:val="none" w:sz="0" w:space="0" w:color="auto"/>
                    <w:left w:val="none" w:sz="0" w:space="0" w:color="auto"/>
                    <w:bottom w:val="none" w:sz="0" w:space="0" w:color="auto"/>
                    <w:right w:val="none" w:sz="0" w:space="0" w:color="auto"/>
                  </w:divBdr>
                  <w:divsChild>
                    <w:div w:id="112885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365642">
      <w:bodyDiv w:val="1"/>
      <w:marLeft w:val="0"/>
      <w:marRight w:val="0"/>
      <w:marTop w:val="0"/>
      <w:marBottom w:val="0"/>
      <w:divBdr>
        <w:top w:val="none" w:sz="0" w:space="0" w:color="auto"/>
        <w:left w:val="none" w:sz="0" w:space="0" w:color="auto"/>
        <w:bottom w:val="none" w:sz="0" w:space="0" w:color="auto"/>
        <w:right w:val="none" w:sz="0" w:space="0" w:color="auto"/>
      </w:divBdr>
    </w:div>
    <w:div w:id="594438424">
      <w:bodyDiv w:val="1"/>
      <w:marLeft w:val="0"/>
      <w:marRight w:val="0"/>
      <w:marTop w:val="0"/>
      <w:marBottom w:val="0"/>
      <w:divBdr>
        <w:top w:val="none" w:sz="0" w:space="0" w:color="auto"/>
        <w:left w:val="none" w:sz="0" w:space="0" w:color="auto"/>
        <w:bottom w:val="none" w:sz="0" w:space="0" w:color="auto"/>
        <w:right w:val="none" w:sz="0" w:space="0" w:color="auto"/>
      </w:divBdr>
    </w:div>
    <w:div w:id="1028139832">
      <w:bodyDiv w:val="1"/>
      <w:marLeft w:val="0"/>
      <w:marRight w:val="0"/>
      <w:marTop w:val="0"/>
      <w:marBottom w:val="0"/>
      <w:divBdr>
        <w:top w:val="none" w:sz="0" w:space="0" w:color="auto"/>
        <w:left w:val="none" w:sz="0" w:space="0" w:color="auto"/>
        <w:bottom w:val="none" w:sz="0" w:space="0" w:color="auto"/>
        <w:right w:val="none" w:sz="0" w:space="0" w:color="auto"/>
      </w:divBdr>
    </w:div>
    <w:div w:id="1285232649">
      <w:bodyDiv w:val="1"/>
      <w:marLeft w:val="0"/>
      <w:marRight w:val="0"/>
      <w:marTop w:val="0"/>
      <w:marBottom w:val="0"/>
      <w:divBdr>
        <w:top w:val="none" w:sz="0" w:space="0" w:color="auto"/>
        <w:left w:val="none" w:sz="0" w:space="0" w:color="auto"/>
        <w:bottom w:val="none" w:sz="0" w:space="0" w:color="auto"/>
        <w:right w:val="none" w:sz="0" w:space="0" w:color="auto"/>
      </w:divBdr>
    </w:div>
    <w:div w:id="1310525168">
      <w:bodyDiv w:val="1"/>
      <w:marLeft w:val="0"/>
      <w:marRight w:val="0"/>
      <w:marTop w:val="0"/>
      <w:marBottom w:val="0"/>
      <w:divBdr>
        <w:top w:val="none" w:sz="0" w:space="0" w:color="auto"/>
        <w:left w:val="none" w:sz="0" w:space="0" w:color="auto"/>
        <w:bottom w:val="none" w:sz="0" w:space="0" w:color="auto"/>
        <w:right w:val="none" w:sz="0" w:space="0" w:color="auto"/>
      </w:divBdr>
    </w:div>
    <w:div w:id="1556626063">
      <w:bodyDiv w:val="1"/>
      <w:marLeft w:val="0"/>
      <w:marRight w:val="0"/>
      <w:marTop w:val="0"/>
      <w:marBottom w:val="0"/>
      <w:divBdr>
        <w:top w:val="none" w:sz="0" w:space="0" w:color="auto"/>
        <w:left w:val="none" w:sz="0" w:space="0" w:color="auto"/>
        <w:bottom w:val="none" w:sz="0" w:space="0" w:color="auto"/>
        <w:right w:val="none" w:sz="0" w:space="0" w:color="auto"/>
      </w:divBdr>
    </w:div>
    <w:div w:id="1584534212">
      <w:bodyDiv w:val="1"/>
      <w:marLeft w:val="0"/>
      <w:marRight w:val="0"/>
      <w:marTop w:val="0"/>
      <w:marBottom w:val="0"/>
      <w:divBdr>
        <w:top w:val="none" w:sz="0" w:space="0" w:color="auto"/>
        <w:left w:val="none" w:sz="0" w:space="0" w:color="auto"/>
        <w:bottom w:val="none" w:sz="0" w:space="0" w:color="auto"/>
        <w:right w:val="none" w:sz="0" w:space="0" w:color="auto"/>
      </w:divBdr>
      <w:divsChild>
        <w:div w:id="1394504788">
          <w:marLeft w:val="0"/>
          <w:marRight w:val="0"/>
          <w:marTop w:val="0"/>
          <w:marBottom w:val="0"/>
          <w:divBdr>
            <w:top w:val="none" w:sz="0" w:space="0" w:color="auto"/>
            <w:left w:val="none" w:sz="0" w:space="0" w:color="auto"/>
            <w:bottom w:val="none" w:sz="0" w:space="0" w:color="auto"/>
            <w:right w:val="none" w:sz="0" w:space="0" w:color="auto"/>
          </w:divBdr>
          <w:divsChild>
            <w:div w:id="811362063">
              <w:marLeft w:val="0"/>
              <w:marRight w:val="0"/>
              <w:marTop w:val="0"/>
              <w:marBottom w:val="0"/>
              <w:divBdr>
                <w:top w:val="none" w:sz="0" w:space="0" w:color="auto"/>
                <w:left w:val="none" w:sz="0" w:space="0" w:color="auto"/>
                <w:bottom w:val="none" w:sz="0" w:space="0" w:color="auto"/>
                <w:right w:val="none" w:sz="0" w:space="0" w:color="auto"/>
              </w:divBdr>
              <w:divsChild>
                <w:div w:id="16179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59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36/bmj.j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0CBA6-EE3B-4AE3-9E89-173F163D6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27582</Words>
  <Characters>157224</Characters>
  <Application>Microsoft Office Word</Application>
  <DocSecurity>0</DocSecurity>
  <Lines>1310</Lines>
  <Paragraphs>368</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184438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Rocco Friebel</dc:creator>
  <cp:lastModifiedBy>Orson,R</cp:lastModifiedBy>
  <cp:revision>2</cp:revision>
  <cp:lastPrinted>2017-08-30T14:47:00Z</cp:lastPrinted>
  <dcterms:created xsi:type="dcterms:W3CDTF">2019-06-27T11:27:00Z</dcterms:created>
  <dcterms:modified xsi:type="dcterms:W3CDTF">2019-06-27T11:27:00Z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38f1ee72-e0cc-38f0-a445-1be115138f55</vt:lpwstr>
  </property>
  <property fmtid="{D5CDD505-2E9C-101B-9397-08002B2CF9AE}" pid="4" name="Mendeley Recent Style Id 0_1">
    <vt:lpwstr>http://www.zotero.org/styles/american-sociological-association</vt:lpwstr>
  </property>
  <property fmtid="{D5CDD505-2E9C-101B-9397-08002B2CF9AE}" pid="5" name="Mendeley Recent Style Name 0_1">
    <vt:lpwstr>American Sociological Association</vt:lpwstr>
  </property>
  <property fmtid="{D5CDD505-2E9C-101B-9397-08002B2CF9AE}" pid="6" name="Mendeley Recent Style Id 1_1">
    <vt:lpwstr>http://www.zotero.org/styles/bmj</vt:lpwstr>
  </property>
  <property fmtid="{D5CDD505-2E9C-101B-9397-08002B2CF9AE}" pid="7" name="Mendeley Recent Style Name 1_1">
    <vt:lpwstr>BMJ</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16th edition (author-date)</vt:lpwstr>
  </property>
  <property fmtid="{D5CDD505-2E9C-101B-9397-08002B2CF9AE}" pid="10" name="Mendeley Recent Style Id 3_1">
    <vt:lpwstr>http://www.zotero.org/styles/ieee</vt:lpwstr>
  </property>
  <property fmtid="{D5CDD505-2E9C-101B-9397-08002B2CF9AE}" pid="11" name="Mendeley Recent Style Name 3_1">
    <vt:lpwstr>IEEE</vt:lpwstr>
  </property>
  <property fmtid="{D5CDD505-2E9C-101B-9397-08002B2CF9AE}" pid="12" name="Mendeley Recent Style Id 4_1">
    <vt:lpwstr>http://www.zotero.org/styles/modern-humanities-research-association</vt:lpwstr>
  </property>
  <property fmtid="{D5CDD505-2E9C-101B-9397-08002B2CF9AE}" pid="13" name="Mendeley Recent Style Name 4_1">
    <vt:lpwstr>Modern Humanities Research Association 3rd edition (note with bibliography)</vt:lpwstr>
  </property>
  <property fmtid="{D5CDD505-2E9C-101B-9397-08002B2CF9AE}" pid="14" name="Mendeley Recent Style Id 5_1">
    <vt:lpwstr>http://www.zotero.org/styles/modern-language-association</vt:lpwstr>
  </property>
  <property fmtid="{D5CDD505-2E9C-101B-9397-08002B2CF9AE}" pid="15" name="Mendeley Recent Style Name 5_1">
    <vt:lpwstr>Modern Language Association 7th edition</vt:lpwstr>
  </property>
  <property fmtid="{D5CDD505-2E9C-101B-9397-08002B2CF9AE}" pid="16" name="Mendeley Recent Style Id 6_1">
    <vt:lpwstr>http://www.zotero.org/styles/plos-one</vt:lpwstr>
  </property>
  <property fmtid="{D5CDD505-2E9C-101B-9397-08002B2CF9AE}" pid="17" name="Mendeley Recent Style Name 6_1">
    <vt:lpwstr>PLOS ONE</vt:lpwstr>
  </property>
  <property fmtid="{D5CDD505-2E9C-101B-9397-08002B2CF9AE}" pid="18" name="Mendeley Recent Style Id 7_1">
    <vt:lpwstr>http://www.zotero.org/styles/the-lancet</vt:lpwstr>
  </property>
  <property fmtid="{D5CDD505-2E9C-101B-9397-08002B2CF9AE}" pid="19" name="Mendeley Recent Style Name 7_1">
    <vt:lpwstr>The Lancet</vt:lpwstr>
  </property>
  <property fmtid="{D5CDD505-2E9C-101B-9397-08002B2CF9AE}" pid="20" name="Mendeley Recent Style Id 8_1">
    <vt:lpwstr>http://www.zotero.org/styles/vancouver</vt:lpwstr>
  </property>
  <property fmtid="{D5CDD505-2E9C-101B-9397-08002B2CF9AE}" pid="21" name="Mendeley Recent Style Name 8_1">
    <vt:lpwstr>Vancouver</vt:lpwstr>
  </property>
  <property fmtid="{D5CDD505-2E9C-101B-9397-08002B2CF9AE}" pid="22" name="Mendeley Recent Style Id 9_1">
    <vt:lpwstr>http://csl.mendeley.com/styles/168268051/vancouver</vt:lpwstr>
  </property>
  <property fmtid="{D5CDD505-2E9C-101B-9397-08002B2CF9AE}" pid="23" name="Mendeley Recent Style Name 9_1">
    <vt:lpwstr>Vancouver - [square brackets]</vt:lpwstr>
  </property>
  <property fmtid="{D5CDD505-2E9C-101B-9397-08002B2CF9AE}" pid="24" name="Mendeley Citation Style_1">
    <vt:lpwstr>http://www.zotero.org/styles/bmj</vt:lpwstr>
  </property>
</Properties>
</file>