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F3" w:rsidRPr="00E04B25" w:rsidRDefault="00473A1D" w:rsidP="006A5430">
      <w:pPr>
        <w:spacing w:line="480" w:lineRule="auto"/>
        <w:jc w:val="both"/>
        <w:outlineLvl w:val="0"/>
        <w:rPr>
          <w:b/>
          <w:sz w:val="24"/>
          <w:lang w:val="en-GB"/>
        </w:rPr>
      </w:pPr>
      <w:r w:rsidRPr="00E04B25">
        <w:rPr>
          <w:b/>
          <w:sz w:val="24"/>
          <w:lang w:val="en-GB"/>
        </w:rPr>
        <w:t xml:space="preserve">The Europeanization of Eastern Europe: </w:t>
      </w:r>
      <w:proofErr w:type="gramStart"/>
      <w:r w:rsidRPr="00E04B25">
        <w:rPr>
          <w:b/>
          <w:sz w:val="24"/>
          <w:lang w:val="en-GB"/>
        </w:rPr>
        <w:t>the</w:t>
      </w:r>
      <w:proofErr w:type="gramEnd"/>
      <w:r w:rsidRPr="00E04B25">
        <w:rPr>
          <w:b/>
          <w:sz w:val="24"/>
          <w:lang w:val="en-GB"/>
        </w:rPr>
        <w:t xml:space="preserve"> External Incentives Model Revisited</w:t>
      </w:r>
    </w:p>
    <w:p w:rsidR="00D838D5" w:rsidRDefault="00094B0A" w:rsidP="006A5430">
      <w:pPr>
        <w:spacing w:line="480" w:lineRule="auto"/>
        <w:jc w:val="both"/>
        <w:rPr>
          <w:lang w:val="en-GB"/>
        </w:rPr>
      </w:pPr>
      <w:r>
        <w:rPr>
          <w:lang w:val="en-GB"/>
        </w:rPr>
        <w:t xml:space="preserve">Frank </w:t>
      </w:r>
      <w:proofErr w:type="spellStart"/>
      <w:r>
        <w:rPr>
          <w:lang w:val="en-GB"/>
        </w:rPr>
        <w:t>Schimmelfennig</w:t>
      </w:r>
      <w:proofErr w:type="spellEnd"/>
      <w:r>
        <w:rPr>
          <w:lang w:val="en-GB"/>
        </w:rPr>
        <w:t xml:space="preserve"> and Ulrich Sedelmeier</w:t>
      </w:r>
    </w:p>
    <w:p w:rsidR="00094B0A" w:rsidRDefault="00123CAB" w:rsidP="006A5430">
      <w:pPr>
        <w:spacing w:line="480" w:lineRule="auto"/>
        <w:jc w:val="both"/>
        <w:outlineLvl w:val="0"/>
        <w:rPr>
          <w:b/>
          <w:lang w:val="en-GB"/>
        </w:rPr>
      </w:pPr>
      <w:r>
        <w:rPr>
          <w:b/>
          <w:lang w:val="en-GB"/>
        </w:rPr>
        <w:t xml:space="preserve">Published in </w:t>
      </w:r>
      <w:r w:rsidRPr="00123CAB">
        <w:rPr>
          <w:b/>
          <w:i/>
          <w:lang w:val="en-GB"/>
        </w:rPr>
        <w:t>Journal of European Public Policy</w:t>
      </w:r>
      <w:r>
        <w:rPr>
          <w:b/>
          <w:lang w:val="en-GB"/>
        </w:rPr>
        <w:t>, online May 2019</w:t>
      </w:r>
    </w:p>
    <w:p w:rsidR="00123CAB" w:rsidRDefault="00123CAB" w:rsidP="006A5430">
      <w:pPr>
        <w:spacing w:line="480" w:lineRule="auto"/>
        <w:jc w:val="both"/>
        <w:outlineLvl w:val="0"/>
        <w:rPr>
          <w:b/>
          <w:lang w:val="en-GB"/>
        </w:rPr>
      </w:pPr>
      <w:r>
        <w:rPr>
          <w:b/>
          <w:lang w:val="en-GB"/>
        </w:rPr>
        <w:t xml:space="preserve">DOI: </w:t>
      </w:r>
      <w:hyperlink r:id="rId8" w:history="1">
        <w:r w:rsidRPr="00913E9F">
          <w:rPr>
            <w:rStyle w:val="Hyperlink"/>
            <w:b/>
            <w:lang w:val="en-GB"/>
          </w:rPr>
          <w:t>https://doi.org/10.1080/13501763.2019.1617333</w:t>
        </w:r>
      </w:hyperlink>
    </w:p>
    <w:p w:rsidR="00123CAB" w:rsidRDefault="00123CAB" w:rsidP="006A5430">
      <w:pPr>
        <w:spacing w:line="480" w:lineRule="auto"/>
        <w:jc w:val="both"/>
        <w:outlineLvl w:val="0"/>
        <w:rPr>
          <w:b/>
          <w:lang w:val="en-GB"/>
        </w:rPr>
      </w:pPr>
    </w:p>
    <w:p w:rsidR="00004F69" w:rsidRDefault="00004F69" w:rsidP="006A5430">
      <w:pPr>
        <w:spacing w:line="480" w:lineRule="auto"/>
        <w:jc w:val="both"/>
        <w:outlineLvl w:val="0"/>
        <w:rPr>
          <w:b/>
          <w:lang w:val="en-GB"/>
        </w:rPr>
      </w:pPr>
      <w:r w:rsidRPr="00E04B25">
        <w:rPr>
          <w:b/>
          <w:lang w:val="en-GB"/>
        </w:rPr>
        <w:t>Abstract</w:t>
      </w:r>
    </w:p>
    <w:p w:rsidR="000E6662" w:rsidRDefault="00004F69" w:rsidP="006A5430">
      <w:pPr>
        <w:spacing w:line="480" w:lineRule="auto"/>
        <w:jc w:val="both"/>
        <w:rPr>
          <w:lang w:val="en-GB"/>
        </w:rPr>
      </w:pPr>
      <w:r>
        <w:rPr>
          <w:lang w:val="en-GB"/>
        </w:rPr>
        <w:t xml:space="preserve">The External Incentives Model </w:t>
      </w:r>
      <w:r w:rsidR="00E1369D">
        <w:rPr>
          <w:lang w:val="en-GB"/>
        </w:rPr>
        <w:t xml:space="preserve">(EIM) </w:t>
      </w:r>
      <w:r w:rsidR="00FF7888">
        <w:rPr>
          <w:lang w:val="en-GB"/>
        </w:rPr>
        <w:t xml:space="preserve">was designed to explain </w:t>
      </w:r>
      <w:r>
        <w:rPr>
          <w:lang w:val="en-GB"/>
        </w:rPr>
        <w:t xml:space="preserve">the Europeanization of the Central and Eastern European countries (CEECs) </w:t>
      </w:r>
      <w:r w:rsidR="00F43389">
        <w:rPr>
          <w:lang w:val="en-GB"/>
        </w:rPr>
        <w:t>through the EU’s accession conditionality</w:t>
      </w:r>
      <w:r>
        <w:rPr>
          <w:lang w:val="en-GB"/>
        </w:rPr>
        <w:t xml:space="preserve">. This </w:t>
      </w:r>
      <w:r w:rsidR="00E1369D">
        <w:rPr>
          <w:lang w:val="en-GB"/>
        </w:rPr>
        <w:t xml:space="preserve">article </w:t>
      </w:r>
      <w:r>
        <w:rPr>
          <w:lang w:val="en-GB"/>
        </w:rPr>
        <w:t>asks how relevant the model remains beyond its original context</w:t>
      </w:r>
      <w:r w:rsidR="00FF7888">
        <w:rPr>
          <w:lang w:val="en-GB"/>
        </w:rPr>
        <w:t>.</w:t>
      </w:r>
      <w:r>
        <w:rPr>
          <w:lang w:val="en-GB"/>
        </w:rPr>
        <w:t xml:space="preserve"> </w:t>
      </w:r>
      <w:r w:rsidR="00FF7888">
        <w:rPr>
          <w:lang w:val="en-GB"/>
        </w:rPr>
        <w:t xml:space="preserve">We examine recent data and research on </w:t>
      </w:r>
      <w:r w:rsidR="00F43389">
        <w:rPr>
          <w:lang w:val="en-GB"/>
        </w:rPr>
        <w:t xml:space="preserve">the EU’s impact </w:t>
      </w:r>
      <w:r w:rsidR="00277995">
        <w:rPr>
          <w:lang w:val="en-GB"/>
        </w:rPr>
        <w:t xml:space="preserve">in two additional contexts: </w:t>
      </w:r>
      <w:r>
        <w:rPr>
          <w:lang w:val="en-GB"/>
        </w:rPr>
        <w:t>post-accession development</w:t>
      </w:r>
      <w:r w:rsidR="00F43389">
        <w:rPr>
          <w:lang w:val="en-GB"/>
        </w:rPr>
        <w:t>s</w:t>
      </w:r>
      <w:r>
        <w:rPr>
          <w:lang w:val="en-GB"/>
        </w:rPr>
        <w:t xml:space="preserve"> </w:t>
      </w:r>
      <w:r w:rsidR="00F43389">
        <w:rPr>
          <w:lang w:val="en-GB"/>
        </w:rPr>
        <w:t>in</w:t>
      </w:r>
      <w:r>
        <w:rPr>
          <w:lang w:val="en-GB"/>
        </w:rPr>
        <w:t xml:space="preserve"> the CEECs and </w:t>
      </w:r>
      <w:r w:rsidR="00F43389">
        <w:rPr>
          <w:lang w:val="en-GB"/>
        </w:rPr>
        <w:t xml:space="preserve">the Southeast European countries currently in </w:t>
      </w:r>
      <w:r w:rsidR="005C1FF9">
        <w:rPr>
          <w:lang w:val="en-GB"/>
        </w:rPr>
        <w:t xml:space="preserve">the </w:t>
      </w:r>
      <w:r>
        <w:rPr>
          <w:lang w:val="en-GB"/>
        </w:rPr>
        <w:t xml:space="preserve">accession process. </w:t>
      </w:r>
      <w:r w:rsidR="00C91DED">
        <w:rPr>
          <w:lang w:val="en-GB"/>
        </w:rPr>
        <w:t>W</w:t>
      </w:r>
      <w:r w:rsidR="00E04B25">
        <w:rPr>
          <w:lang w:val="en-GB"/>
        </w:rPr>
        <w:t>e find that t</w:t>
      </w:r>
      <w:r>
        <w:rPr>
          <w:lang w:val="en-GB"/>
        </w:rPr>
        <w:t xml:space="preserve">he model generally </w:t>
      </w:r>
      <w:r w:rsidR="008F0947">
        <w:rPr>
          <w:lang w:val="en-GB"/>
        </w:rPr>
        <w:t xml:space="preserve">accounts </w:t>
      </w:r>
      <w:r w:rsidR="00F43389">
        <w:rPr>
          <w:lang w:val="en-GB"/>
        </w:rPr>
        <w:t>well</w:t>
      </w:r>
      <w:r w:rsidR="008F0947">
        <w:rPr>
          <w:lang w:val="en-GB"/>
        </w:rPr>
        <w:t xml:space="preserve"> for</w:t>
      </w:r>
      <w:r w:rsidR="00F43389">
        <w:rPr>
          <w:lang w:val="en-GB"/>
        </w:rPr>
        <w:t xml:space="preserve"> the</w:t>
      </w:r>
      <w:r>
        <w:rPr>
          <w:lang w:val="en-GB"/>
        </w:rPr>
        <w:t xml:space="preserve"> variation in Europeanization across </w:t>
      </w:r>
      <w:r w:rsidR="00FF7888">
        <w:rPr>
          <w:lang w:val="en-GB"/>
        </w:rPr>
        <w:t>domains</w:t>
      </w:r>
      <w:r>
        <w:rPr>
          <w:lang w:val="en-GB"/>
        </w:rPr>
        <w:t xml:space="preserve"> and countries</w:t>
      </w:r>
      <w:r w:rsidR="00C91DED">
        <w:rPr>
          <w:lang w:val="en-GB"/>
        </w:rPr>
        <w:t>. More specifically</w:t>
      </w:r>
      <w:r>
        <w:rPr>
          <w:lang w:val="en-GB"/>
        </w:rPr>
        <w:t>,</w:t>
      </w:r>
      <w:r w:rsidR="00E04B25">
        <w:rPr>
          <w:lang w:val="en-GB"/>
        </w:rPr>
        <w:t xml:space="preserve"> </w:t>
      </w:r>
      <w:r>
        <w:rPr>
          <w:lang w:val="en-GB"/>
        </w:rPr>
        <w:t>the credibility of incentives stands out as a crucial condition</w:t>
      </w:r>
      <w:r w:rsidR="00CF3DCC">
        <w:rPr>
          <w:lang w:val="en-GB"/>
        </w:rPr>
        <w:t xml:space="preserve"> for </w:t>
      </w:r>
      <w:r w:rsidR="00E04B25">
        <w:rPr>
          <w:lang w:val="en-GB"/>
        </w:rPr>
        <w:t>the</w:t>
      </w:r>
      <w:r w:rsidR="002007D8">
        <w:rPr>
          <w:lang w:val="en-GB"/>
        </w:rPr>
        <w:t xml:space="preserve"> success</w:t>
      </w:r>
      <w:r w:rsidR="00E04B25">
        <w:rPr>
          <w:lang w:val="en-GB"/>
        </w:rPr>
        <w:t xml:space="preserve"> of EU conditionality</w:t>
      </w:r>
      <w:r>
        <w:rPr>
          <w:lang w:val="en-GB"/>
        </w:rPr>
        <w:t>.</w:t>
      </w:r>
      <w:r w:rsidR="00FF7888">
        <w:rPr>
          <w:lang w:val="en-GB"/>
        </w:rPr>
        <w:t xml:space="preserve"> </w:t>
      </w:r>
      <w:r w:rsidR="0085536A">
        <w:rPr>
          <w:lang w:val="en-GB"/>
        </w:rPr>
        <w:t>At the same</w:t>
      </w:r>
      <w:r w:rsidR="00C91DED">
        <w:rPr>
          <w:lang w:val="en-GB"/>
        </w:rPr>
        <w:t xml:space="preserve"> time</w:t>
      </w:r>
      <w:r w:rsidR="0085536A">
        <w:rPr>
          <w:lang w:val="en-GB"/>
        </w:rPr>
        <w:t xml:space="preserve">, we note </w:t>
      </w:r>
      <w:r w:rsidR="0085536A" w:rsidRPr="0085536A">
        <w:rPr>
          <w:lang w:val="en-GB"/>
        </w:rPr>
        <w:t>omissions and limitations of the original model</w:t>
      </w:r>
      <w:r w:rsidR="0085536A">
        <w:rPr>
          <w:lang w:val="en-GB"/>
        </w:rPr>
        <w:t>: first</w:t>
      </w:r>
      <w:r w:rsidR="0085536A" w:rsidRPr="0085536A">
        <w:rPr>
          <w:lang w:val="en-GB"/>
        </w:rPr>
        <w:t xml:space="preserve">, the model works with highly abstract conditions that require contextual specification to </w:t>
      </w:r>
      <w:r w:rsidR="006B6C1C">
        <w:rPr>
          <w:lang w:val="en-GB"/>
        </w:rPr>
        <w:t>render them</w:t>
      </w:r>
      <w:r w:rsidR="0085536A" w:rsidRPr="0085536A">
        <w:rPr>
          <w:lang w:val="en-GB"/>
        </w:rPr>
        <w:t xml:space="preserve"> more meaningful and better testable. Second, the EIM starts from generally favourable</w:t>
      </w:r>
      <w:r w:rsidR="006B6C1C">
        <w:rPr>
          <w:lang w:val="en-GB"/>
        </w:rPr>
        <w:t>,</w:t>
      </w:r>
      <w:r w:rsidR="0085536A" w:rsidRPr="0085536A">
        <w:rPr>
          <w:lang w:val="en-GB"/>
        </w:rPr>
        <w:t xml:space="preserve"> but underspecified</w:t>
      </w:r>
      <w:r w:rsidR="006B6C1C">
        <w:rPr>
          <w:lang w:val="en-GB"/>
        </w:rPr>
        <w:t>,</w:t>
      </w:r>
      <w:r w:rsidR="0085536A" w:rsidRPr="0085536A">
        <w:rPr>
          <w:lang w:val="en-GB"/>
        </w:rPr>
        <w:t xml:space="preserve"> background conditions. </w:t>
      </w:r>
    </w:p>
    <w:p w:rsidR="00004F69" w:rsidRDefault="00004F69" w:rsidP="006A5430">
      <w:pPr>
        <w:spacing w:line="480" w:lineRule="auto"/>
        <w:jc w:val="both"/>
        <w:rPr>
          <w:lang w:val="en-GB"/>
        </w:rPr>
      </w:pPr>
    </w:p>
    <w:p w:rsidR="00094B0A" w:rsidRDefault="00094B0A" w:rsidP="006A5430">
      <w:pPr>
        <w:spacing w:line="480" w:lineRule="auto"/>
        <w:jc w:val="both"/>
        <w:rPr>
          <w:b/>
          <w:lang w:val="en-GB"/>
        </w:rPr>
      </w:pPr>
      <w:r>
        <w:rPr>
          <w:b/>
          <w:lang w:val="en-GB"/>
        </w:rPr>
        <w:t>Keywords</w:t>
      </w:r>
    </w:p>
    <w:p w:rsidR="00094B0A" w:rsidRDefault="00094B0A" w:rsidP="006A5430">
      <w:pPr>
        <w:spacing w:line="480" w:lineRule="auto"/>
        <w:jc w:val="both"/>
        <w:rPr>
          <w:lang w:val="en-GB"/>
        </w:rPr>
      </w:pPr>
      <w:r>
        <w:rPr>
          <w:lang w:val="en-GB"/>
        </w:rPr>
        <w:t>Central and Eastern Europe, conditionality, European Union, Europeanization, external incentives, Southeast Europe</w:t>
      </w:r>
    </w:p>
    <w:p w:rsidR="00094B0A" w:rsidRPr="00094B0A" w:rsidRDefault="00094B0A" w:rsidP="006A5430">
      <w:pPr>
        <w:spacing w:line="480" w:lineRule="auto"/>
        <w:jc w:val="both"/>
        <w:rPr>
          <w:lang w:val="en-GB"/>
        </w:rPr>
      </w:pPr>
      <w:r>
        <w:rPr>
          <w:lang w:val="en-GB"/>
        </w:rPr>
        <w:t xml:space="preserve"> </w:t>
      </w:r>
    </w:p>
    <w:p w:rsidR="00250051" w:rsidRPr="009E1D3D" w:rsidRDefault="00250051" w:rsidP="006A5430">
      <w:pPr>
        <w:spacing w:line="480" w:lineRule="auto"/>
        <w:jc w:val="both"/>
        <w:outlineLvl w:val="0"/>
        <w:rPr>
          <w:b/>
          <w:lang w:val="en-GB"/>
        </w:rPr>
      </w:pPr>
      <w:r w:rsidRPr="009E1D3D">
        <w:rPr>
          <w:b/>
          <w:lang w:val="en-GB"/>
        </w:rPr>
        <w:t>Introduction</w:t>
      </w:r>
    </w:p>
    <w:p w:rsidR="00477FD6" w:rsidRDefault="00B156A9" w:rsidP="006A5430">
      <w:pPr>
        <w:spacing w:line="480" w:lineRule="auto"/>
        <w:jc w:val="both"/>
        <w:rPr>
          <w:rFonts w:cs="Times New Roman"/>
          <w:szCs w:val="24"/>
          <w:lang w:val="en-GB"/>
        </w:rPr>
      </w:pPr>
      <w:r>
        <w:rPr>
          <w:lang w:val="en-GB"/>
        </w:rPr>
        <w:t>I</w:t>
      </w:r>
      <w:r w:rsidR="00B73CF6">
        <w:rPr>
          <w:lang w:val="en-GB"/>
        </w:rPr>
        <w:t>n 200</w:t>
      </w:r>
      <w:r w:rsidR="00FF7888">
        <w:rPr>
          <w:lang w:val="en-GB"/>
        </w:rPr>
        <w:t>4</w:t>
      </w:r>
      <w:r w:rsidR="00B73CF6">
        <w:rPr>
          <w:lang w:val="en-GB"/>
        </w:rPr>
        <w:t xml:space="preserve">, </w:t>
      </w:r>
      <w:r w:rsidR="00473A1D" w:rsidRPr="009E1D3D">
        <w:rPr>
          <w:lang w:val="en-GB"/>
        </w:rPr>
        <w:t>t</w:t>
      </w:r>
      <w:r w:rsidR="00F43BD6" w:rsidRPr="009E1D3D">
        <w:rPr>
          <w:lang w:val="en-GB"/>
        </w:rPr>
        <w:t xml:space="preserve">he European Union (EU) </w:t>
      </w:r>
      <w:r w:rsidR="00FF7888">
        <w:rPr>
          <w:lang w:val="en-GB"/>
        </w:rPr>
        <w:t xml:space="preserve">admitted </w:t>
      </w:r>
      <w:r w:rsidR="00E87AEA">
        <w:rPr>
          <w:lang w:val="en-GB"/>
        </w:rPr>
        <w:t>the first wave of</w:t>
      </w:r>
      <w:r w:rsidR="00B5436E">
        <w:rPr>
          <w:lang w:val="en-GB"/>
        </w:rPr>
        <w:t xml:space="preserve"> </w:t>
      </w:r>
      <w:r w:rsidR="00E73629" w:rsidRPr="009E1D3D">
        <w:rPr>
          <w:lang w:val="en-GB"/>
        </w:rPr>
        <w:t>Central and East European countries (CEECs)</w:t>
      </w:r>
      <w:r w:rsidR="00473A1D" w:rsidRPr="009E1D3D">
        <w:rPr>
          <w:lang w:val="en-GB"/>
        </w:rPr>
        <w:t xml:space="preserve">. </w:t>
      </w:r>
      <w:r w:rsidR="000E6873" w:rsidRPr="009E1D3D">
        <w:rPr>
          <w:lang w:val="en-GB"/>
        </w:rPr>
        <w:t xml:space="preserve">Accession to the EU completed the new member states’ long </w:t>
      </w:r>
      <w:r w:rsidR="00E22A11" w:rsidRPr="009E1D3D">
        <w:rPr>
          <w:lang w:val="en-GB"/>
        </w:rPr>
        <w:t>‘</w:t>
      </w:r>
      <w:r w:rsidR="000E6873" w:rsidRPr="009E1D3D">
        <w:rPr>
          <w:lang w:val="en-GB"/>
        </w:rPr>
        <w:t>return to Europe</w:t>
      </w:r>
      <w:r w:rsidR="00E22A11" w:rsidRPr="009E1D3D">
        <w:rPr>
          <w:lang w:val="en-GB"/>
        </w:rPr>
        <w:t>’</w:t>
      </w:r>
      <w:r w:rsidR="000E6873" w:rsidRPr="009E1D3D">
        <w:rPr>
          <w:lang w:val="en-GB"/>
        </w:rPr>
        <w:t xml:space="preserve"> </w:t>
      </w:r>
      <w:r w:rsidR="002007D8">
        <w:rPr>
          <w:lang w:val="en-GB"/>
        </w:rPr>
        <w:t xml:space="preserve">after </w:t>
      </w:r>
      <w:r w:rsidR="0037663D" w:rsidRPr="009E1D3D">
        <w:rPr>
          <w:lang w:val="en-GB"/>
        </w:rPr>
        <w:t xml:space="preserve">the </w:t>
      </w:r>
      <w:r w:rsidR="00B73CF6">
        <w:rPr>
          <w:lang w:val="en-GB"/>
        </w:rPr>
        <w:t xml:space="preserve">end of the Cold War.  </w:t>
      </w:r>
      <w:r w:rsidR="00E22A11" w:rsidRPr="009E1D3D">
        <w:rPr>
          <w:lang w:val="en-GB"/>
        </w:rPr>
        <w:t>‘</w:t>
      </w:r>
      <w:r w:rsidR="000E6873" w:rsidRPr="009E1D3D">
        <w:rPr>
          <w:lang w:val="en-GB"/>
        </w:rPr>
        <w:t>Europeanization</w:t>
      </w:r>
      <w:r w:rsidR="00E22A11" w:rsidRPr="009E1D3D">
        <w:rPr>
          <w:lang w:val="en-GB"/>
        </w:rPr>
        <w:t>’</w:t>
      </w:r>
      <w:r w:rsidR="003E68EE" w:rsidRPr="009E1D3D">
        <w:rPr>
          <w:lang w:val="en-GB"/>
        </w:rPr>
        <w:t>, defined</w:t>
      </w:r>
      <w:r w:rsidR="000E6873" w:rsidRPr="009E1D3D">
        <w:rPr>
          <w:lang w:val="en-GB"/>
        </w:rPr>
        <w:t xml:space="preserve"> </w:t>
      </w:r>
      <w:r w:rsidR="003E68EE" w:rsidRPr="009E1D3D">
        <w:rPr>
          <w:lang w:val="en-GB"/>
        </w:rPr>
        <w:t>as a ‘process in which states adopt EU rules’ (</w:t>
      </w:r>
      <w:proofErr w:type="spellStart"/>
      <w:r w:rsidR="003E68EE" w:rsidRPr="009E1D3D">
        <w:rPr>
          <w:lang w:val="en-GB"/>
        </w:rPr>
        <w:t>Schimmelfennig</w:t>
      </w:r>
      <w:proofErr w:type="spellEnd"/>
      <w:r w:rsidR="003E68EE" w:rsidRPr="009E1D3D">
        <w:rPr>
          <w:lang w:val="en-GB"/>
        </w:rPr>
        <w:t xml:space="preserve"> and Sedelmeier 2005b: 7) </w:t>
      </w:r>
      <w:r w:rsidR="002007D8">
        <w:rPr>
          <w:lang w:val="en-GB"/>
        </w:rPr>
        <w:t>accompanied</w:t>
      </w:r>
      <w:r w:rsidR="002007D8" w:rsidRPr="009E1D3D">
        <w:rPr>
          <w:lang w:val="en-GB"/>
        </w:rPr>
        <w:t xml:space="preserve"> their democratic and market-economic transitions</w:t>
      </w:r>
      <w:r w:rsidR="000E6873" w:rsidRPr="009E1D3D">
        <w:rPr>
          <w:lang w:val="en-GB"/>
        </w:rPr>
        <w:t xml:space="preserve">. </w:t>
      </w:r>
      <w:r w:rsidR="00F178B9">
        <w:rPr>
          <w:rFonts w:cs="Times New Roman"/>
          <w:szCs w:val="24"/>
          <w:lang w:val="en-GB"/>
        </w:rPr>
        <w:t xml:space="preserve">A </w:t>
      </w:r>
      <w:r w:rsidR="00697491">
        <w:rPr>
          <w:rFonts w:cs="Times New Roman"/>
          <w:szCs w:val="24"/>
          <w:lang w:val="en-GB"/>
        </w:rPr>
        <w:t xml:space="preserve">number of studies suggested that the EU and its conditionality played an important role in successful post-communist democratization and Europeanization of public policies </w:t>
      </w:r>
      <w:r w:rsidR="00F178B9">
        <w:rPr>
          <w:rFonts w:cs="Times New Roman"/>
          <w:szCs w:val="24"/>
          <w:lang w:val="en-GB"/>
        </w:rPr>
        <w:t>(</w:t>
      </w:r>
      <w:r w:rsidR="00C237AA">
        <w:rPr>
          <w:rFonts w:cs="Times New Roman"/>
          <w:szCs w:val="24"/>
          <w:lang w:val="en-GB"/>
        </w:rPr>
        <w:t xml:space="preserve">e.g. </w:t>
      </w:r>
      <w:proofErr w:type="spellStart"/>
      <w:r w:rsidR="00F178B9">
        <w:rPr>
          <w:spacing w:val="-2"/>
          <w:lang w:val="en-GB"/>
        </w:rPr>
        <w:t>Grabbe</w:t>
      </w:r>
      <w:proofErr w:type="spellEnd"/>
      <w:r w:rsidR="00F178B9">
        <w:rPr>
          <w:spacing w:val="-2"/>
          <w:lang w:val="en-GB"/>
        </w:rPr>
        <w:t xml:space="preserve"> 2006; Kelley 2004; </w:t>
      </w:r>
      <w:proofErr w:type="spellStart"/>
      <w:r w:rsidR="00F178B9">
        <w:rPr>
          <w:spacing w:val="-2"/>
          <w:lang w:val="en-GB"/>
        </w:rPr>
        <w:t>Pridham</w:t>
      </w:r>
      <w:proofErr w:type="spellEnd"/>
      <w:r w:rsidR="00F178B9">
        <w:rPr>
          <w:spacing w:val="-2"/>
          <w:lang w:val="en-GB"/>
        </w:rPr>
        <w:t xml:space="preserve"> 2005</w:t>
      </w:r>
      <w:r w:rsidR="003B3911">
        <w:rPr>
          <w:spacing w:val="-2"/>
          <w:lang w:val="en-GB"/>
        </w:rPr>
        <w:t>;</w:t>
      </w:r>
      <w:r w:rsidR="00F178B9">
        <w:rPr>
          <w:spacing w:val="-2"/>
          <w:lang w:val="en-GB"/>
        </w:rPr>
        <w:t xml:space="preserve"> </w:t>
      </w:r>
      <w:proofErr w:type="spellStart"/>
      <w:r w:rsidR="00F178B9" w:rsidRPr="009E1D3D">
        <w:rPr>
          <w:spacing w:val="-2"/>
          <w:lang w:val="en-GB"/>
        </w:rPr>
        <w:t>Schimmelfennig</w:t>
      </w:r>
      <w:proofErr w:type="spellEnd"/>
      <w:r w:rsidR="00F178B9" w:rsidRPr="009E1D3D">
        <w:rPr>
          <w:spacing w:val="-2"/>
          <w:lang w:val="en-GB"/>
        </w:rPr>
        <w:t xml:space="preserve"> and Sedelmeier </w:t>
      </w:r>
      <w:r w:rsidR="00F178B9">
        <w:rPr>
          <w:spacing w:val="-2"/>
          <w:lang w:val="en-GB"/>
        </w:rPr>
        <w:t xml:space="preserve">2004, </w:t>
      </w:r>
      <w:r w:rsidR="00F178B9" w:rsidRPr="009E1D3D">
        <w:rPr>
          <w:spacing w:val="-2"/>
          <w:lang w:val="en-GB"/>
        </w:rPr>
        <w:t xml:space="preserve">2005a; </w:t>
      </w:r>
      <w:proofErr w:type="spellStart"/>
      <w:r w:rsidR="00F178B9" w:rsidRPr="009E1D3D">
        <w:rPr>
          <w:spacing w:val="-2"/>
          <w:lang w:val="en-GB"/>
        </w:rPr>
        <w:t>Schimmelfennig</w:t>
      </w:r>
      <w:proofErr w:type="spellEnd"/>
      <w:r w:rsidR="00F178B9" w:rsidRPr="009E1D3D">
        <w:rPr>
          <w:spacing w:val="-2"/>
          <w:lang w:val="en-GB"/>
        </w:rPr>
        <w:t xml:space="preserve"> et al. 2006</w:t>
      </w:r>
      <w:r w:rsidR="00F178B9">
        <w:rPr>
          <w:spacing w:val="-2"/>
          <w:lang w:val="en-GB"/>
        </w:rPr>
        <w:t xml:space="preserve">; </w:t>
      </w:r>
      <w:proofErr w:type="spellStart"/>
      <w:r w:rsidR="00697491">
        <w:rPr>
          <w:rFonts w:cs="Times New Roman"/>
          <w:szCs w:val="24"/>
          <w:lang w:val="en-GB"/>
        </w:rPr>
        <w:t>Vachudova</w:t>
      </w:r>
      <w:proofErr w:type="spellEnd"/>
      <w:r w:rsidR="00697491">
        <w:rPr>
          <w:rFonts w:cs="Times New Roman"/>
          <w:szCs w:val="24"/>
          <w:lang w:val="en-GB"/>
        </w:rPr>
        <w:t xml:space="preserve"> 2005)</w:t>
      </w:r>
      <w:r w:rsidR="006435AC">
        <w:rPr>
          <w:rFonts w:cs="Times New Roman"/>
          <w:szCs w:val="24"/>
          <w:lang w:val="en-GB"/>
        </w:rPr>
        <w:t xml:space="preserve">. </w:t>
      </w:r>
    </w:p>
    <w:p w:rsidR="00A44720" w:rsidRDefault="00B156A9" w:rsidP="006A5430">
      <w:pPr>
        <w:spacing w:line="480" w:lineRule="auto"/>
        <w:jc w:val="both"/>
        <w:rPr>
          <w:rFonts w:cs="Times New Roman"/>
          <w:szCs w:val="24"/>
          <w:lang w:val="en-GB"/>
        </w:rPr>
      </w:pPr>
      <w:r>
        <w:rPr>
          <w:rFonts w:cs="Times New Roman"/>
          <w:szCs w:val="24"/>
          <w:lang w:val="en-GB"/>
        </w:rPr>
        <w:t>Fifteen years</w:t>
      </w:r>
      <w:r w:rsidR="00C91DED">
        <w:rPr>
          <w:rFonts w:cs="Times New Roman"/>
          <w:szCs w:val="24"/>
          <w:lang w:val="en-GB"/>
        </w:rPr>
        <w:t xml:space="preserve"> later</w:t>
      </w:r>
      <w:r w:rsidR="003B3911">
        <w:rPr>
          <w:rFonts w:cs="Times New Roman"/>
          <w:szCs w:val="24"/>
          <w:lang w:val="en-GB"/>
        </w:rPr>
        <w:t>, there are increasing doubts</w:t>
      </w:r>
      <w:r w:rsidR="00976F82">
        <w:rPr>
          <w:rFonts w:cs="Times New Roman"/>
          <w:szCs w:val="24"/>
          <w:lang w:val="en-GB"/>
        </w:rPr>
        <w:t xml:space="preserve"> </w:t>
      </w:r>
      <w:r w:rsidR="00E934C7">
        <w:rPr>
          <w:rFonts w:cs="Times New Roman"/>
          <w:szCs w:val="24"/>
          <w:lang w:val="en-GB"/>
        </w:rPr>
        <w:t>whether the apparent success of conditionality is</w:t>
      </w:r>
      <w:r w:rsidR="003B3911">
        <w:rPr>
          <w:rFonts w:cs="Times New Roman"/>
          <w:szCs w:val="24"/>
          <w:lang w:val="en-GB"/>
        </w:rPr>
        <w:t xml:space="preserve"> </w:t>
      </w:r>
      <w:r w:rsidR="00976F82">
        <w:rPr>
          <w:spacing w:val="-2"/>
          <w:lang w:val="en-GB"/>
        </w:rPr>
        <w:t>sustainab</w:t>
      </w:r>
      <w:r w:rsidR="00E934C7">
        <w:rPr>
          <w:spacing w:val="-2"/>
          <w:lang w:val="en-GB"/>
        </w:rPr>
        <w:t xml:space="preserve">le and whether it can be replicated </w:t>
      </w:r>
      <w:r w:rsidR="00976F82">
        <w:rPr>
          <w:spacing w:val="-2"/>
          <w:lang w:val="en-GB"/>
        </w:rPr>
        <w:t xml:space="preserve">in different contexts. First, signs of </w:t>
      </w:r>
      <w:r w:rsidR="00976F82">
        <w:rPr>
          <w:rFonts w:cs="Times New Roman"/>
          <w:szCs w:val="24"/>
          <w:lang w:val="en-GB"/>
        </w:rPr>
        <w:t>d</w:t>
      </w:r>
      <w:r w:rsidR="00976F82">
        <w:rPr>
          <w:spacing w:val="-2"/>
          <w:lang w:val="en-GB"/>
        </w:rPr>
        <w:t xml:space="preserve">emocratic backsliding and non-compliance with EU legislation on the allocation of asylum-seekers in several new member states </w:t>
      </w:r>
      <w:r w:rsidR="00D71882">
        <w:rPr>
          <w:spacing w:val="-2"/>
          <w:lang w:val="en-GB"/>
        </w:rPr>
        <w:t xml:space="preserve">in </w:t>
      </w:r>
      <w:r w:rsidR="00D71882" w:rsidRPr="009E1D3D">
        <w:rPr>
          <w:spacing w:val="-2"/>
          <w:lang w:val="en-GB"/>
        </w:rPr>
        <w:t>Central and Eastern Europe</w:t>
      </w:r>
      <w:r w:rsidR="00D71882">
        <w:rPr>
          <w:spacing w:val="-2"/>
          <w:lang w:val="en-GB"/>
        </w:rPr>
        <w:t xml:space="preserve"> (CEE)</w:t>
      </w:r>
      <w:r w:rsidR="00D71882" w:rsidRPr="009E1D3D">
        <w:rPr>
          <w:spacing w:val="-2"/>
          <w:lang w:val="en-GB"/>
        </w:rPr>
        <w:t xml:space="preserve"> </w:t>
      </w:r>
      <w:r w:rsidR="00976F82">
        <w:rPr>
          <w:spacing w:val="-2"/>
          <w:lang w:val="en-GB"/>
        </w:rPr>
        <w:t xml:space="preserve">raise concerns about the sustainability of conditionality-induced Europeanization after </w:t>
      </w:r>
      <w:r w:rsidR="00E934C7">
        <w:rPr>
          <w:spacing w:val="-2"/>
          <w:lang w:val="en-GB"/>
        </w:rPr>
        <w:t xml:space="preserve">accession. Second, the slow progress and </w:t>
      </w:r>
      <w:r w:rsidR="00A44720">
        <w:rPr>
          <w:spacing w:val="-2"/>
          <w:lang w:val="en-GB"/>
        </w:rPr>
        <w:t>set-backs</w:t>
      </w:r>
      <w:r w:rsidR="00E934C7">
        <w:rPr>
          <w:spacing w:val="-2"/>
          <w:lang w:val="en-GB"/>
        </w:rPr>
        <w:t xml:space="preserve"> of Europeanization</w:t>
      </w:r>
      <w:r w:rsidR="00A44720">
        <w:rPr>
          <w:spacing w:val="-2"/>
          <w:lang w:val="en-GB"/>
        </w:rPr>
        <w:t xml:space="preserve"> </w:t>
      </w:r>
      <w:r w:rsidR="00E934C7">
        <w:rPr>
          <w:rFonts w:cs="Times New Roman"/>
          <w:szCs w:val="24"/>
          <w:lang w:val="en-GB"/>
        </w:rPr>
        <w:t>in</w:t>
      </w:r>
      <w:r w:rsidR="00976F82">
        <w:rPr>
          <w:rFonts w:cs="Times New Roman"/>
          <w:szCs w:val="24"/>
          <w:lang w:val="en-GB"/>
        </w:rPr>
        <w:t xml:space="preserve"> the current group of candidate countries for EU membership in </w:t>
      </w:r>
      <w:r w:rsidR="00AF3166">
        <w:rPr>
          <w:rFonts w:cs="Times New Roman"/>
          <w:szCs w:val="24"/>
          <w:lang w:val="en-GB"/>
        </w:rPr>
        <w:t>South</w:t>
      </w:r>
      <w:r w:rsidR="00094B0A">
        <w:rPr>
          <w:rFonts w:cs="Times New Roman"/>
          <w:szCs w:val="24"/>
          <w:lang w:val="en-GB"/>
        </w:rPr>
        <w:t>east</w:t>
      </w:r>
      <w:r w:rsidR="00C013CE">
        <w:rPr>
          <w:rFonts w:cs="Times New Roman"/>
          <w:szCs w:val="24"/>
          <w:lang w:val="en-GB"/>
        </w:rPr>
        <w:t xml:space="preserve"> Europe (SEE)</w:t>
      </w:r>
      <w:r w:rsidR="00A44720">
        <w:rPr>
          <w:rFonts w:cs="Times New Roman"/>
          <w:szCs w:val="24"/>
          <w:lang w:val="en-GB"/>
        </w:rPr>
        <w:t xml:space="preserve"> </w:t>
      </w:r>
      <w:r w:rsidR="00C10B34">
        <w:rPr>
          <w:rFonts w:cs="Times New Roman"/>
          <w:szCs w:val="24"/>
          <w:lang w:val="en-GB"/>
        </w:rPr>
        <w:t xml:space="preserve">question whether the EU can </w:t>
      </w:r>
      <w:r w:rsidR="00C10B34" w:rsidRPr="009E1D3D">
        <w:rPr>
          <w:spacing w:val="-2"/>
          <w:lang w:val="en-GB"/>
        </w:rPr>
        <w:t xml:space="preserve">repeat its successful Europeanization policy </w:t>
      </w:r>
      <w:r w:rsidR="00A44720">
        <w:rPr>
          <w:rFonts w:cs="Times New Roman"/>
          <w:szCs w:val="24"/>
          <w:lang w:val="en-GB"/>
        </w:rPr>
        <w:t xml:space="preserve">in </w:t>
      </w:r>
      <w:r w:rsidR="00C10B34">
        <w:rPr>
          <w:rFonts w:cs="Times New Roman"/>
          <w:szCs w:val="24"/>
          <w:lang w:val="en-GB"/>
        </w:rPr>
        <w:t>a different group of candidate countries</w:t>
      </w:r>
      <w:r w:rsidR="00976F82">
        <w:rPr>
          <w:rFonts w:cs="Times New Roman"/>
          <w:szCs w:val="24"/>
          <w:lang w:val="en-GB"/>
        </w:rPr>
        <w:t>.</w:t>
      </w:r>
    </w:p>
    <w:p w:rsidR="003B3911" w:rsidRDefault="00A44720" w:rsidP="006A5430">
      <w:pPr>
        <w:spacing w:line="480" w:lineRule="auto"/>
        <w:jc w:val="both"/>
        <w:rPr>
          <w:spacing w:val="-2"/>
          <w:lang w:val="en-GB"/>
        </w:rPr>
      </w:pPr>
      <w:r>
        <w:rPr>
          <w:rFonts w:cs="Times New Roman"/>
          <w:szCs w:val="24"/>
          <w:lang w:val="en-GB"/>
        </w:rPr>
        <w:t xml:space="preserve">How well do theories that were designed to explain </w:t>
      </w:r>
      <w:r w:rsidR="00514C48">
        <w:rPr>
          <w:rFonts w:cs="Times New Roman"/>
          <w:szCs w:val="24"/>
          <w:lang w:val="en-GB"/>
        </w:rPr>
        <w:t xml:space="preserve">why and how the </w:t>
      </w:r>
      <w:r>
        <w:rPr>
          <w:rFonts w:cs="Times New Roman"/>
          <w:szCs w:val="24"/>
          <w:lang w:val="en-GB"/>
        </w:rPr>
        <w:t>European</w:t>
      </w:r>
      <w:r w:rsidR="00514C48">
        <w:rPr>
          <w:rFonts w:cs="Times New Roman"/>
          <w:szCs w:val="24"/>
          <w:lang w:val="en-GB"/>
        </w:rPr>
        <w:t>ization</w:t>
      </w:r>
      <w:r>
        <w:rPr>
          <w:rFonts w:cs="Times New Roman"/>
          <w:szCs w:val="24"/>
          <w:lang w:val="en-GB"/>
        </w:rPr>
        <w:t xml:space="preserve"> </w:t>
      </w:r>
      <w:r w:rsidR="00514C48">
        <w:rPr>
          <w:rFonts w:cs="Times New Roman"/>
          <w:szCs w:val="24"/>
          <w:lang w:val="en-GB"/>
        </w:rPr>
        <w:t>of CEE</w:t>
      </w:r>
      <w:r>
        <w:rPr>
          <w:rFonts w:cs="Times New Roman"/>
          <w:szCs w:val="24"/>
          <w:lang w:val="en-GB"/>
        </w:rPr>
        <w:t xml:space="preserve"> </w:t>
      </w:r>
      <w:r w:rsidR="00514C48">
        <w:rPr>
          <w:rFonts w:cs="Times New Roman"/>
          <w:szCs w:val="24"/>
          <w:lang w:val="en-GB"/>
        </w:rPr>
        <w:t xml:space="preserve">occurred and succeeded in the 2000s </w:t>
      </w:r>
      <w:r>
        <w:rPr>
          <w:rFonts w:cs="Times New Roman"/>
          <w:szCs w:val="24"/>
          <w:lang w:val="en-GB"/>
        </w:rPr>
        <w:t>far</w:t>
      </w:r>
      <w:r w:rsidR="00C05788">
        <w:rPr>
          <w:rFonts w:cs="Times New Roman"/>
          <w:szCs w:val="24"/>
          <w:lang w:val="en-GB"/>
        </w:rPr>
        <w:t>e</w:t>
      </w:r>
      <w:r>
        <w:rPr>
          <w:rFonts w:cs="Times New Roman"/>
          <w:szCs w:val="24"/>
          <w:lang w:val="en-GB"/>
        </w:rPr>
        <w:t xml:space="preserve"> in </w:t>
      </w:r>
      <w:r w:rsidR="00514C48">
        <w:rPr>
          <w:rFonts w:cs="Times New Roman"/>
          <w:szCs w:val="24"/>
          <w:lang w:val="en-GB"/>
        </w:rPr>
        <w:t>accounting for the present limitations of the EU’s Europeanization through conditionality?</w:t>
      </w:r>
      <w:r w:rsidR="00810BBD">
        <w:rPr>
          <w:rFonts w:cs="Times New Roman"/>
          <w:szCs w:val="24"/>
          <w:lang w:val="en-GB"/>
        </w:rPr>
        <w:t xml:space="preserve"> The main theoretical framework </w:t>
      </w:r>
      <w:r w:rsidR="007505CA">
        <w:rPr>
          <w:rFonts w:cs="Times New Roman"/>
          <w:szCs w:val="24"/>
          <w:lang w:val="en-GB"/>
        </w:rPr>
        <w:t>that explains</w:t>
      </w:r>
      <w:r w:rsidR="00810BBD">
        <w:rPr>
          <w:rFonts w:cs="Times New Roman"/>
          <w:szCs w:val="24"/>
          <w:lang w:val="en-GB"/>
        </w:rPr>
        <w:t xml:space="preserve"> </w:t>
      </w:r>
      <w:r w:rsidR="00955F7C">
        <w:rPr>
          <w:rFonts w:cs="Times New Roman"/>
          <w:szCs w:val="24"/>
          <w:lang w:val="en-GB"/>
        </w:rPr>
        <w:t>when</w:t>
      </w:r>
      <w:r w:rsidR="008F7D33">
        <w:rPr>
          <w:rFonts w:cs="Times New Roman"/>
          <w:szCs w:val="24"/>
          <w:lang w:val="en-GB"/>
        </w:rPr>
        <w:t xml:space="preserve"> </w:t>
      </w:r>
      <w:r w:rsidR="00810BBD">
        <w:rPr>
          <w:rFonts w:cs="Times New Roman"/>
          <w:szCs w:val="24"/>
          <w:lang w:val="en-GB"/>
        </w:rPr>
        <w:t>EU conditionality leads to domestic change is t</w:t>
      </w:r>
      <w:r w:rsidR="00E13435" w:rsidRPr="009E1D3D">
        <w:rPr>
          <w:spacing w:val="-1"/>
          <w:lang w:val="en-GB"/>
        </w:rPr>
        <w:t xml:space="preserve">he </w:t>
      </w:r>
      <w:r w:rsidR="00C10B34">
        <w:rPr>
          <w:spacing w:val="-1"/>
          <w:lang w:val="en-GB"/>
        </w:rPr>
        <w:t>E</w:t>
      </w:r>
      <w:r w:rsidR="00E13435" w:rsidRPr="009E1D3D">
        <w:rPr>
          <w:spacing w:val="-1"/>
          <w:lang w:val="en-GB"/>
        </w:rPr>
        <w:t xml:space="preserve">xternal </w:t>
      </w:r>
      <w:r w:rsidR="00C10B34">
        <w:rPr>
          <w:spacing w:val="-1"/>
          <w:lang w:val="en-GB"/>
        </w:rPr>
        <w:t>I</w:t>
      </w:r>
      <w:r w:rsidR="00E13435" w:rsidRPr="009E1D3D">
        <w:rPr>
          <w:spacing w:val="-1"/>
          <w:lang w:val="en-GB"/>
        </w:rPr>
        <w:t xml:space="preserve">ncentives </w:t>
      </w:r>
      <w:r w:rsidR="00C10B34">
        <w:rPr>
          <w:spacing w:val="-1"/>
          <w:lang w:val="en-GB"/>
        </w:rPr>
        <w:t>M</w:t>
      </w:r>
      <w:r w:rsidR="00125020" w:rsidRPr="009E1D3D">
        <w:rPr>
          <w:spacing w:val="-1"/>
          <w:lang w:val="en-GB"/>
        </w:rPr>
        <w:t xml:space="preserve">odel </w:t>
      </w:r>
      <w:r w:rsidR="00E13435" w:rsidRPr="009E1D3D">
        <w:rPr>
          <w:spacing w:val="-1"/>
          <w:lang w:val="en-GB"/>
        </w:rPr>
        <w:t>(EIM)</w:t>
      </w:r>
      <w:r w:rsidR="00D27EF6">
        <w:rPr>
          <w:spacing w:val="-1"/>
          <w:lang w:val="en-GB"/>
        </w:rPr>
        <w:t xml:space="preserve"> of Europeanization (</w:t>
      </w:r>
      <w:proofErr w:type="spellStart"/>
      <w:r w:rsidR="00D27EF6">
        <w:rPr>
          <w:spacing w:val="-1"/>
          <w:lang w:val="en-GB"/>
        </w:rPr>
        <w:t>Schimmelfennig</w:t>
      </w:r>
      <w:proofErr w:type="spellEnd"/>
      <w:r w:rsidR="00D27EF6">
        <w:rPr>
          <w:spacing w:val="-1"/>
          <w:lang w:val="en-GB"/>
        </w:rPr>
        <w:t xml:space="preserve"> and Sedelmeier 2004; 2005b). </w:t>
      </w:r>
      <w:r w:rsidR="00810BBD">
        <w:rPr>
          <w:spacing w:val="-1"/>
          <w:lang w:val="en-GB"/>
        </w:rPr>
        <w:t>The</w:t>
      </w:r>
      <w:r w:rsidR="00D27EF6">
        <w:rPr>
          <w:spacing w:val="-1"/>
          <w:lang w:val="en-GB"/>
        </w:rPr>
        <w:t xml:space="preserve"> EIM</w:t>
      </w:r>
      <w:r w:rsidR="00E13435" w:rsidRPr="009E1D3D">
        <w:rPr>
          <w:spacing w:val="-1"/>
          <w:lang w:val="en-GB"/>
        </w:rPr>
        <w:t xml:space="preserve"> </w:t>
      </w:r>
      <w:r w:rsidR="00125020" w:rsidRPr="009E1D3D">
        <w:rPr>
          <w:spacing w:val="-1"/>
          <w:lang w:val="en-GB"/>
        </w:rPr>
        <w:t xml:space="preserve">assumes that the EU drives Europeanization </w:t>
      </w:r>
      <w:r w:rsidR="00125020" w:rsidRPr="009E1D3D">
        <w:rPr>
          <w:lang w:val="en-GB"/>
        </w:rPr>
        <w:t>through</w:t>
      </w:r>
      <w:r w:rsidR="00125020" w:rsidRPr="009E1D3D">
        <w:rPr>
          <w:spacing w:val="-3"/>
          <w:lang w:val="en-GB"/>
        </w:rPr>
        <w:t xml:space="preserve"> </w:t>
      </w:r>
      <w:r w:rsidR="00125020" w:rsidRPr="009E1D3D">
        <w:rPr>
          <w:spacing w:val="-1"/>
          <w:lang w:val="en-GB"/>
        </w:rPr>
        <w:t>sanctions</w:t>
      </w:r>
      <w:r w:rsidR="00125020" w:rsidRPr="009E1D3D">
        <w:rPr>
          <w:lang w:val="en-GB"/>
        </w:rPr>
        <w:t xml:space="preserve"> </w:t>
      </w:r>
      <w:r w:rsidR="00125020" w:rsidRPr="009E1D3D">
        <w:rPr>
          <w:spacing w:val="-1"/>
          <w:lang w:val="en-GB"/>
        </w:rPr>
        <w:t xml:space="preserve">and </w:t>
      </w:r>
      <w:r w:rsidR="00125020" w:rsidRPr="009E1D3D">
        <w:rPr>
          <w:lang w:val="en-GB"/>
        </w:rPr>
        <w:t>rewards</w:t>
      </w:r>
      <w:r w:rsidR="00125020" w:rsidRPr="009E1D3D">
        <w:rPr>
          <w:spacing w:val="-2"/>
          <w:lang w:val="en-GB"/>
        </w:rPr>
        <w:t xml:space="preserve"> </w:t>
      </w:r>
      <w:r w:rsidR="00125020" w:rsidRPr="009E1D3D">
        <w:rPr>
          <w:lang w:val="en-GB"/>
        </w:rPr>
        <w:t>that</w:t>
      </w:r>
      <w:r w:rsidR="00125020" w:rsidRPr="009E1D3D">
        <w:rPr>
          <w:spacing w:val="-2"/>
          <w:lang w:val="en-GB"/>
        </w:rPr>
        <w:t xml:space="preserve"> </w:t>
      </w:r>
      <w:r w:rsidR="00125020" w:rsidRPr="009E1D3D">
        <w:rPr>
          <w:spacing w:val="-1"/>
          <w:lang w:val="en-GB"/>
        </w:rPr>
        <w:t xml:space="preserve">alter </w:t>
      </w:r>
      <w:r w:rsidR="00125020" w:rsidRPr="009E1D3D">
        <w:rPr>
          <w:lang w:val="en-GB"/>
        </w:rPr>
        <w:t>the</w:t>
      </w:r>
      <w:r w:rsidR="00125020" w:rsidRPr="009E1D3D">
        <w:rPr>
          <w:spacing w:val="-2"/>
          <w:lang w:val="en-GB"/>
        </w:rPr>
        <w:t xml:space="preserve"> </w:t>
      </w:r>
      <w:r w:rsidR="00125020" w:rsidRPr="009E1D3D">
        <w:rPr>
          <w:spacing w:val="-1"/>
          <w:lang w:val="en-GB"/>
        </w:rPr>
        <w:t>cost-benefit</w:t>
      </w:r>
      <w:r w:rsidR="00125020" w:rsidRPr="009E1D3D">
        <w:rPr>
          <w:spacing w:val="-2"/>
          <w:lang w:val="en-GB"/>
        </w:rPr>
        <w:t xml:space="preserve"> </w:t>
      </w:r>
      <w:r w:rsidR="00125020" w:rsidRPr="009E1D3D">
        <w:rPr>
          <w:spacing w:val="-1"/>
          <w:lang w:val="en-GB"/>
        </w:rPr>
        <w:t>calculations</w:t>
      </w:r>
      <w:r w:rsidR="00125020" w:rsidRPr="009E1D3D">
        <w:rPr>
          <w:lang w:val="en-GB"/>
        </w:rPr>
        <w:t xml:space="preserve"> of</w:t>
      </w:r>
      <w:r w:rsidR="00125020" w:rsidRPr="009E1D3D">
        <w:rPr>
          <w:spacing w:val="-2"/>
          <w:lang w:val="en-GB"/>
        </w:rPr>
        <w:t xml:space="preserve"> </w:t>
      </w:r>
      <w:r w:rsidR="00C10B34">
        <w:rPr>
          <w:spacing w:val="-2"/>
          <w:lang w:val="en-GB"/>
        </w:rPr>
        <w:t>governments in candidate countries</w:t>
      </w:r>
      <w:r w:rsidR="00FE7AB5">
        <w:rPr>
          <w:spacing w:val="-2"/>
          <w:lang w:val="en-GB"/>
        </w:rPr>
        <w:t xml:space="preserve"> and specifies under what conditions </w:t>
      </w:r>
      <w:r w:rsidR="00951A1E">
        <w:rPr>
          <w:spacing w:val="-2"/>
          <w:lang w:val="en-GB"/>
        </w:rPr>
        <w:t xml:space="preserve">such calculations </w:t>
      </w:r>
      <w:r w:rsidR="00722DDD">
        <w:rPr>
          <w:spacing w:val="-2"/>
          <w:lang w:val="en-GB"/>
        </w:rPr>
        <w:t>a</w:t>
      </w:r>
      <w:r w:rsidR="00951A1E">
        <w:rPr>
          <w:spacing w:val="-2"/>
          <w:lang w:val="en-GB"/>
        </w:rPr>
        <w:t xml:space="preserve">re expected to lead </w:t>
      </w:r>
      <w:r w:rsidR="002E6FA5">
        <w:rPr>
          <w:spacing w:val="-2"/>
          <w:lang w:val="en-GB"/>
        </w:rPr>
        <w:t xml:space="preserve">these </w:t>
      </w:r>
      <w:r w:rsidR="00951A1E">
        <w:rPr>
          <w:spacing w:val="-2"/>
          <w:lang w:val="en-GB"/>
        </w:rPr>
        <w:t>governments to adopt EU rules</w:t>
      </w:r>
      <w:r w:rsidR="002D3CA3">
        <w:rPr>
          <w:spacing w:val="-2"/>
          <w:lang w:val="en-GB"/>
        </w:rPr>
        <w:t>:</w:t>
      </w:r>
      <w:r w:rsidR="002D3CA3" w:rsidRPr="002D3CA3">
        <w:rPr>
          <w:lang w:val="en-GB"/>
        </w:rPr>
        <w:t xml:space="preserve"> </w:t>
      </w:r>
      <w:r w:rsidR="002D3CA3" w:rsidRPr="009E1D3D">
        <w:rPr>
          <w:lang w:val="en-GB"/>
        </w:rPr>
        <w:t xml:space="preserve">the size of </w:t>
      </w:r>
      <w:r w:rsidR="002D3CA3">
        <w:rPr>
          <w:lang w:val="en-GB"/>
        </w:rPr>
        <w:t xml:space="preserve">the EU’s </w:t>
      </w:r>
      <w:r w:rsidR="002D3CA3" w:rsidRPr="009E1D3D">
        <w:rPr>
          <w:lang w:val="en-GB"/>
        </w:rPr>
        <w:t xml:space="preserve">rewards, the determinacy of the conditions, the credibility of conditionality, and the size of the </w:t>
      </w:r>
      <w:r w:rsidR="002D3CA3">
        <w:rPr>
          <w:lang w:val="en-GB"/>
        </w:rPr>
        <w:t>adjustment</w:t>
      </w:r>
      <w:r w:rsidR="002D3CA3" w:rsidRPr="009E1D3D">
        <w:rPr>
          <w:lang w:val="en-GB"/>
        </w:rPr>
        <w:t xml:space="preserve"> costs</w:t>
      </w:r>
      <w:r w:rsidR="002D3CA3">
        <w:rPr>
          <w:lang w:val="en-GB"/>
        </w:rPr>
        <w:t xml:space="preserve"> of </w:t>
      </w:r>
      <w:r w:rsidR="00722DDD">
        <w:rPr>
          <w:lang w:val="en-GB"/>
        </w:rPr>
        <w:t xml:space="preserve">compliance </w:t>
      </w:r>
      <w:r w:rsidR="002D3CA3">
        <w:rPr>
          <w:lang w:val="en-GB"/>
        </w:rPr>
        <w:t>for target governments</w:t>
      </w:r>
      <w:r w:rsidR="00FE7AB5">
        <w:rPr>
          <w:spacing w:val="-2"/>
          <w:lang w:val="en-GB"/>
        </w:rPr>
        <w:t xml:space="preserve">. </w:t>
      </w:r>
    </w:p>
    <w:p w:rsidR="00292122" w:rsidRDefault="00C91DED" w:rsidP="006A5430">
      <w:pPr>
        <w:spacing w:line="480" w:lineRule="auto"/>
        <w:jc w:val="both"/>
        <w:rPr>
          <w:spacing w:val="-2"/>
          <w:lang w:val="en-GB"/>
        </w:rPr>
      </w:pPr>
      <w:r>
        <w:rPr>
          <w:spacing w:val="-2"/>
          <w:lang w:val="en-GB"/>
        </w:rPr>
        <w:t>D</w:t>
      </w:r>
      <w:r w:rsidR="00D564C8">
        <w:rPr>
          <w:spacing w:val="-2"/>
          <w:lang w:val="en-GB"/>
        </w:rPr>
        <w:t xml:space="preserve">oes </w:t>
      </w:r>
      <w:r w:rsidR="003B08E1" w:rsidRPr="009E1D3D">
        <w:rPr>
          <w:spacing w:val="-2"/>
          <w:lang w:val="en-GB"/>
        </w:rPr>
        <w:t xml:space="preserve">the </w:t>
      </w:r>
      <w:r w:rsidR="00D564C8">
        <w:rPr>
          <w:spacing w:val="-2"/>
          <w:lang w:val="en-GB"/>
        </w:rPr>
        <w:t xml:space="preserve">explanatory power of the </w:t>
      </w:r>
      <w:r w:rsidR="00287A4F" w:rsidRPr="009E1D3D">
        <w:rPr>
          <w:spacing w:val="-2"/>
          <w:lang w:val="en-GB"/>
        </w:rPr>
        <w:t xml:space="preserve">EIM </w:t>
      </w:r>
      <w:r w:rsidR="003B08E1" w:rsidRPr="009E1D3D">
        <w:rPr>
          <w:spacing w:val="-2"/>
          <w:lang w:val="en-GB"/>
        </w:rPr>
        <w:t xml:space="preserve">hold </w:t>
      </w:r>
      <w:r w:rsidR="00B376E6" w:rsidRPr="009E1D3D">
        <w:rPr>
          <w:spacing w:val="-2"/>
          <w:lang w:val="en-GB"/>
        </w:rPr>
        <w:t xml:space="preserve">beyond the original </w:t>
      </w:r>
      <w:r w:rsidR="00ED3526">
        <w:rPr>
          <w:spacing w:val="-2"/>
          <w:lang w:val="en-GB"/>
        </w:rPr>
        <w:t>CEE</w:t>
      </w:r>
      <w:r w:rsidR="00ED3526" w:rsidRPr="009E1D3D">
        <w:rPr>
          <w:spacing w:val="-2"/>
          <w:lang w:val="en-GB"/>
        </w:rPr>
        <w:t xml:space="preserve"> </w:t>
      </w:r>
      <w:r w:rsidR="00B376E6" w:rsidRPr="009E1D3D">
        <w:rPr>
          <w:spacing w:val="-2"/>
          <w:lang w:val="en-GB"/>
        </w:rPr>
        <w:t>enlarg</w:t>
      </w:r>
      <w:r w:rsidR="00591372" w:rsidRPr="009E1D3D">
        <w:rPr>
          <w:spacing w:val="-2"/>
          <w:lang w:val="en-GB"/>
        </w:rPr>
        <w:t>ement context</w:t>
      </w:r>
      <w:r w:rsidR="00D564C8">
        <w:rPr>
          <w:spacing w:val="-2"/>
          <w:lang w:val="en-GB"/>
        </w:rPr>
        <w:t>? C</w:t>
      </w:r>
      <w:r w:rsidR="00F76D95">
        <w:rPr>
          <w:spacing w:val="-2"/>
          <w:lang w:val="en-GB"/>
        </w:rPr>
        <w:t>an</w:t>
      </w:r>
      <w:r w:rsidR="00D564C8">
        <w:rPr>
          <w:spacing w:val="-2"/>
          <w:lang w:val="en-GB"/>
        </w:rPr>
        <w:t xml:space="preserve"> it</w:t>
      </w:r>
      <w:r w:rsidR="00F76D95">
        <w:rPr>
          <w:spacing w:val="-2"/>
          <w:lang w:val="en-GB"/>
        </w:rPr>
        <w:t xml:space="preserve"> </w:t>
      </w:r>
      <w:r w:rsidR="00F76D95" w:rsidRPr="00F5292A">
        <w:rPr>
          <w:spacing w:val="-2"/>
          <w:lang w:val="en-GB"/>
        </w:rPr>
        <w:t>explain</w:t>
      </w:r>
      <w:r w:rsidR="00F76D95">
        <w:rPr>
          <w:spacing w:val="-2"/>
          <w:lang w:val="en-GB"/>
        </w:rPr>
        <w:t xml:space="preserve"> the recent success or failure of conditionality</w:t>
      </w:r>
      <w:r w:rsidR="00D564C8">
        <w:rPr>
          <w:spacing w:val="-2"/>
          <w:lang w:val="en-GB"/>
        </w:rPr>
        <w:t>?</w:t>
      </w:r>
      <w:r w:rsidR="00591372" w:rsidRPr="009E1D3D">
        <w:rPr>
          <w:spacing w:val="-2"/>
          <w:lang w:val="en-GB"/>
        </w:rPr>
        <w:t xml:space="preserve"> </w:t>
      </w:r>
      <w:r w:rsidR="00B73CF6">
        <w:rPr>
          <w:spacing w:val="-2"/>
          <w:lang w:val="en-GB"/>
        </w:rPr>
        <w:t>To be sure</w:t>
      </w:r>
      <w:r w:rsidR="00E07CFD" w:rsidRPr="009E1D3D">
        <w:rPr>
          <w:spacing w:val="-2"/>
          <w:lang w:val="en-GB"/>
        </w:rPr>
        <w:t xml:space="preserve">, the </w:t>
      </w:r>
      <w:r w:rsidR="003B08E1" w:rsidRPr="009E1D3D">
        <w:rPr>
          <w:spacing w:val="-2"/>
          <w:lang w:val="en-GB"/>
        </w:rPr>
        <w:t xml:space="preserve">explanatory success of the </w:t>
      </w:r>
      <w:r w:rsidR="00287A4F" w:rsidRPr="009E1D3D">
        <w:rPr>
          <w:spacing w:val="-2"/>
          <w:lang w:val="en-GB"/>
        </w:rPr>
        <w:t xml:space="preserve">EIM </w:t>
      </w:r>
      <w:r w:rsidR="00E07CFD" w:rsidRPr="009E1D3D">
        <w:rPr>
          <w:spacing w:val="-2"/>
          <w:lang w:val="en-GB"/>
        </w:rPr>
        <w:t xml:space="preserve">does </w:t>
      </w:r>
      <w:r w:rsidR="003B08E1" w:rsidRPr="009E1D3D">
        <w:rPr>
          <w:spacing w:val="-2"/>
          <w:lang w:val="en-GB"/>
        </w:rPr>
        <w:t xml:space="preserve">not depend on the success of the EU’s conditionality policy. </w:t>
      </w:r>
      <w:r w:rsidR="002E6FA5">
        <w:rPr>
          <w:spacing w:val="-2"/>
          <w:lang w:val="en-GB"/>
        </w:rPr>
        <w:t xml:space="preserve">For example, Europeanization scholars </w:t>
      </w:r>
      <w:r w:rsidR="002E6FA5" w:rsidRPr="009E1D3D">
        <w:rPr>
          <w:spacing w:val="-2"/>
          <w:lang w:val="en-GB"/>
        </w:rPr>
        <w:t>were</w:t>
      </w:r>
      <w:r w:rsidR="002E6FA5">
        <w:rPr>
          <w:spacing w:val="-2"/>
          <w:lang w:val="en-GB"/>
        </w:rPr>
        <w:t xml:space="preserve"> </w:t>
      </w:r>
      <w:r w:rsidR="002E6FA5" w:rsidRPr="009E1D3D">
        <w:rPr>
          <w:spacing w:val="-2"/>
          <w:lang w:val="en-GB"/>
        </w:rPr>
        <w:t>s</w:t>
      </w:r>
      <w:r w:rsidR="002E6FA5">
        <w:rPr>
          <w:spacing w:val="-2"/>
          <w:lang w:val="en-GB"/>
        </w:rPr>
        <w:t>c</w:t>
      </w:r>
      <w:r w:rsidR="002E6FA5" w:rsidRPr="009E1D3D">
        <w:rPr>
          <w:spacing w:val="-2"/>
          <w:lang w:val="en-GB"/>
        </w:rPr>
        <w:t xml:space="preserve">eptical regarding the </w:t>
      </w:r>
      <w:r w:rsidR="002E6FA5">
        <w:rPr>
          <w:spacing w:val="-2"/>
          <w:lang w:val="en-GB"/>
        </w:rPr>
        <w:t>robustness</w:t>
      </w:r>
      <w:r w:rsidR="002E6FA5" w:rsidRPr="009E1D3D">
        <w:rPr>
          <w:spacing w:val="-2"/>
          <w:lang w:val="en-GB"/>
        </w:rPr>
        <w:t xml:space="preserve"> of Europeanization when EU conditionality weakened after accession (</w:t>
      </w:r>
      <w:proofErr w:type="spellStart"/>
      <w:r w:rsidR="002E6FA5" w:rsidRPr="009E1D3D">
        <w:rPr>
          <w:spacing w:val="-2"/>
          <w:lang w:val="en-GB"/>
        </w:rPr>
        <w:t>Schimmelfennig</w:t>
      </w:r>
      <w:proofErr w:type="spellEnd"/>
      <w:r w:rsidR="002E6FA5" w:rsidRPr="009E1D3D">
        <w:rPr>
          <w:spacing w:val="-2"/>
          <w:lang w:val="en-GB"/>
        </w:rPr>
        <w:t xml:space="preserve"> and Sedelmeier 2005c: 226-228</w:t>
      </w:r>
      <w:r w:rsidR="002E6FA5">
        <w:rPr>
          <w:spacing w:val="-2"/>
          <w:lang w:val="en-GB"/>
        </w:rPr>
        <w:t xml:space="preserve">; </w:t>
      </w:r>
      <w:r w:rsidR="002E6FA5" w:rsidRPr="009E1D3D">
        <w:rPr>
          <w:spacing w:val="-2"/>
          <w:lang w:val="en-GB"/>
        </w:rPr>
        <w:t>Epstein and Sedelmeier 2008; Sedelmeier 2008)</w:t>
      </w:r>
      <w:r w:rsidR="002E6FA5">
        <w:rPr>
          <w:spacing w:val="-2"/>
          <w:lang w:val="en-GB"/>
        </w:rPr>
        <w:t xml:space="preserve">. </w:t>
      </w:r>
      <w:r w:rsidR="00B73CF6">
        <w:rPr>
          <w:spacing w:val="-2"/>
          <w:lang w:val="en-GB"/>
        </w:rPr>
        <w:t>W</w:t>
      </w:r>
      <w:r w:rsidR="003B08E1" w:rsidRPr="009E1D3D">
        <w:rPr>
          <w:spacing w:val="-2"/>
          <w:lang w:val="en-GB"/>
        </w:rPr>
        <w:t>hat counts is whether Europeanization succeeds for the reasons specified by the model, and</w:t>
      </w:r>
      <w:r w:rsidR="00FE52EB">
        <w:rPr>
          <w:spacing w:val="-2"/>
          <w:lang w:val="en-GB"/>
        </w:rPr>
        <w:t xml:space="preserve">, </w:t>
      </w:r>
      <w:r w:rsidR="00F76D95">
        <w:rPr>
          <w:spacing w:val="-2"/>
          <w:lang w:val="en-GB"/>
        </w:rPr>
        <w:t>conversely</w:t>
      </w:r>
      <w:r w:rsidR="00FE52EB">
        <w:rPr>
          <w:spacing w:val="-2"/>
          <w:lang w:val="en-GB"/>
        </w:rPr>
        <w:t xml:space="preserve">, whether it fails </w:t>
      </w:r>
      <w:r w:rsidR="00681820">
        <w:rPr>
          <w:spacing w:val="-2"/>
          <w:lang w:val="en-GB"/>
        </w:rPr>
        <w:t>because of</w:t>
      </w:r>
      <w:r w:rsidR="003B08E1" w:rsidRPr="009E1D3D">
        <w:rPr>
          <w:spacing w:val="-2"/>
          <w:lang w:val="en-GB"/>
        </w:rPr>
        <w:t xml:space="preserve"> the theoretically expected conditions.</w:t>
      </w:r>
      <w:r w:rsidR="00287A4F" w:rsidRPr="009E1D3D">
        <w:rPr>
          <w:spacing w:val="-2"/>
          <w:lang w:val="en-GB"/>
        </w:rPr>
        <w:t xml:space="preserve"> </w:t>
      </w:r>
      <w:r w:rsidR="000950D8">
        <w:rPr>
          <w:spacing w:val="-2"/>
          <w:lang w:val="en-GB"/>
        </w:rPr>
        <w:t>We find</w:t>
      </w:r>
      <w:r w:rsidR="00001164" w:rsidRPr="009E1D3D">
        <w:rPr>
          <w:spacing w:val="-2"/>
          <w:lang w:val="en-GB"/>
        </w:rPr>
        <w:t xml:space="preserve"> that t</w:t>
      </w:r>
      <w:r w:rsidR="009064D0" w:rsidRPr="009E1D3D">
        <w:rPr>
          <w:spacing w:val="-2"/>
          <w:lang w:val="en-GB"/>
        </w:rPr>
        <w:t xml:space="preserve">his is </w:t>
      </w:r>
      <w:r w:rsidR="00681820">
        <w:rPr>
          <w:spacing w:val="-2"/>
          <w:lang w:val="en-GB"/>
        </w:rPr>
        <w:t xml:space="preserve">indeed </w:t>
      </w:r>
      <w:r w:rsidR="007A4C74" w:rsidRPr="009E1D3D">
        <w:rPr>
          <w:spacing w:val="-2"/>
          <w:lang w:val="en-GB"/>
        </w:rPr>
        <w:t xml:space="preserve">still </w:t>
      </w:r>
      <w:r w:rsidR="009064D0" w:rsidRPr="009E1D3D">
        <w:rPr>
          <w:spacing w:val="-2"/>
          <w:lang w:val="en-GB"/>
        </w:rPr>
        <w:t>largely the case.</w:t>
      </w:r>
      <w:r w:rsidR="00E07CFD" w:rsidRPr="009E1D3D">
        <w:rPr>
          <w:spacing w:val="-2"/>
          <w:lang w:val="en-GB"/>
        </w:rPr>
        <w:t xml:space="preserve"> </w:t>
      </w:r>
    </w:p>
    <w:p w:rsidR="00FA2659" w:rsidRDefault="00964BC2" w:rsidP="006A5430">
      <w:pPr>
        <w:spacing w:line="480" w:lineRule="auto"/>
        <w:jc w:val="both"/>
        <w:rPr>
          <w:spacing w:val="-2"/>
          <w:lang w:val="en-GB"/>
        </w:rPr>
      </w:pPr>
      <w:r>
        <w:rPr>
          <w:spacing w:val="-2"/>
          <w:lang w:val="en-GB"/>
        </w:rPr>
        <w:t>To test the explanatory power of the EIM, we draw on</w:t>
      </w:r>
      <w:r w:rsidRPr="009E1D3D">
        <w:rPr>
          <w:spacing w:val="-2"/>
          <w:lang w:val="en-GB"/>
        </w:rPr>
        <w:t xml:space="preserve"> </w:t>
      </w:r>
      <w:r w:rsidR="000B3EEC">
        <w:rPr>
          <w:spacing w:val="-2"/>
          <w:lang w:val="en-GB"/>
        </w:rPr>
        <w:t xml:space="preserve">the empirical </w:t>
      </w:r>
      <w:r w:rsidRPr="009E1D3D">
        <w:rPr>
          <w:spacing w:val="-2"/>
          <w:lang w:val="en-GB"/>
        </w:rPr>
        <w:t xml:space="preserve">findings </w:t>
      </w:r>
      <w:r>
        <w:rPr>
          <w:spacing w:val="-2"/>
          <w:lang w:val="en-GB"/>
        </w:rPr>
        <w:t xml:space="preserve">from </w:t>
      </w:r>
      <w:r w:rsidR="006E2F49">
        <w:rPr>
          <w:spacing w:val="-2"/>
          <w:lang w:val="en-GB"/>
        </w:rPr>
        <w:t>existing</w:t>
      </w:r>
      <w:r>
        <w:rPr>
          <w:spacing w:val="-2"/>
          <w:lang w:val="en-GB"/>
        </w:rPr>
        <w:t xml:space="preserve"> </w:t>
      </w:r>
      <w:r w:rsidRPr="009E1D3D">
        <w:rPr>
          <w:spacing w:val="-2"/>
          <w:lang w:val="en-GB"/>
        </w:rPr>
        <w:t>studies</w:t>
      </w:r>
      <w:r w:rsidR="006E2F49">
        <w:rPr>
          <w:spacing w:val="-2"/>
          <w:lang w:val="en-GB"/>
        </w:rPr>
        <w:t xml:space="preserve"> that assess the EU’s domestic impact</w:t>
      </w:r>
      <w:r w:rsidRPr="009E1D3D">
        <w:rPr>
          <w:spacing w:val="-2"/>
          <w:lang w:val="en-GB"/>
        </w:rPr>
        <w:t xml:space="preserve">, </w:t>
      </w:r>
      <w:r>
        <w:rPr>
          <w:spacing w:val="-2"/>
          <w:lang w:val="en-GB"/>
        </w:rPr>
        <w:t>complemented</w:t>
      </w:r>
      <w:r w:rsidRPr="009E1D3D">
        <w:rPr>
          <w:spacing w:val="-2"/>
          <w:lang w:val="en-GB"/>
        </w:rPr>
        <w:t xml:space="preserve"> by </w:t>
      </w:r>
      <w:r>
        <w:rPr>
          <w:spacing w:val="-2"/>
          <w:lang w:val="en-GB"/>
        </w:rPr>
        <w:t xml:space="preserve">recent </w:t>
      </w:r>
      <w:r w:rsidRPr="009E1D3D">
        <w:rPr>
          <w:spacing w:val="-2"/>
          <w:lang w:val="en-GB"/>
        </w:rPr>
        <w:t xml:space="preserve">data on political developments in Eastern Europe. </w:t>
      </w:r>
      <w:r w:rsidR="001219BF">
        <w:rPr>
          <w:spacing w:val="-2"/>
          <w:lang w:val="en-GB"/>
        </w:rPr>
        <w:t>We</w:t>
      </w:r>
      <w:r w:rsidR="00681820">
        <w:rPr>
          <w:spacing w:val="-2"/>
          <w:lang w:val="en-GB"/>
        </w:rPr>
        <w:t xml:space="preserve"> compare</w:t>
      </w:r>
      <w:r w:rsidR="001219BF">
        <w:rPr>
          <w:spacing w:val="-2"/>
          <w:lang w:val="en-GB"/>
        </w:rPr>
        <w:t xml:space="preserve"> </w:t>
      </w:r>
      <w:r w:rsidR="00681820">
        <w:rPr>
          <w:spacing w:val="-2"/>
          <w:lang w:val="en-GB"/>
        </w:rPr>
        <w:t xml:space="preserve">the </w:t>
      </w:r>
      <w:r w:rsidR="001219BF">
        <w:rPr>
          <w:spacing w:val="-2"/>
          <w:lang w:val="en-GB"/>
        </w:rPr>
        <w:t xml:space="preserve">pre-accession </w:t>
      </w:r>
      <w:r w:rsidR="00681820">
        <w:rPr>
          <w:spacing w:val="-2"/>
          <w:lang w:val="en-GB"/>
        </w:rPr>
        <w:t>Europeanization of the CEECs with</w:t>
      </w:r>
      <w:r w:rsidR="00B73CF6" w:rsidRPr="00B73CF6">
        <w:rPr>
          <w:spacing w:val="-2"/>
          <w:lang w:val="en-GB"/>
        </w:rPr>
        <w:t xml:space="preserve"> alternative contexts</w:t>
      </w:r>
      <w:r w:rsidR="00681820">
        <w:rPr>
          <w:spacing w:val="-2"/>
          <w:lang w:val="en-GB"/>
        </w:rPr>
        <w:t>,</w:t>
      </w:r>
      <w:r w:rsidR="00B73CF6" w:rsidRPr="00B73CF6">
        <w:rPr>
          <w:spacing w:val="-2"/>
          <w:lang w:val="en-GB"/>
        </w:rPr>
        <w:t xml:space="preserve"> characterized by variation in </w:t>
      </w:r>
      <w:r w:rsidR="00CC1CB5">
        <w:rPr>
          <w:spacing w:val="-2"/>
          <w:lang w:val="en-GB"/>
        </w:rPr>
        <w:t xml:space="preserve">explanatory </w:t>
      </w:r>
      <w:r w:rsidR="00B73CF6" w:rsidRPr="00B73CF6">
        <w:rPr>
          <w:spacing w:val="-2"/>
          <w:lang w:val="en-GB"/>
        </w:rPr>
        <w:t xml:space="preserve">conditions and outcomes: the post-accession phase of the CEECs </w:t>
      </w:r>
      <w:r w:rsidR="00B45837">
        <w:rPr>
          <w:spacing w:val="-2"/>
          <w:lang w:val="en-GB"/>
        </w:rPr>
        <w:t xml:space="preserve">(with regard to both the </w:t>
      </w:r>
      <w:r w:rsidR="00B45837" w:rsidRPr="00F5292A">
        <w:rPr>
          <w:i/>
          <w:spacing w:val="-2"/>
          <w:lang w:val="en-GB"/>
        </w:rPr>
        <w:t>acquis</w:t>
      </w:r>
      <w:r w:rsidR="00B45837">
        <w:rPr>
          <w:spacing w:val="-2"/>
          <w:lang w:val="en-GB"/>
        </w:rPr>
        <w:t xml:space="preserve"> and democratization) </w:t>
      </w:r>
      <w:r w:rsidR="00B73CF6" w:rsidRPr="00B73CF6">
        <w:rPr>
          <w:spacing w:val="-2"/>
          <w:lang w:val="en-GB"/>
        </w:rPr>
        <w:t>and the pre-accession phase of the current Southeast European (SEE) candidates in the Western Balkans and Turkey</w:t>
      </w:r>
      <w:r w:rsidR="00B45837">
        <w:rPr>
          <w:spacing w:val="-2"/>
          <w:lang w:val="en-GB"/>
        </w:rPr>
        <w:t xml:space="preserve"> (with regard to democratization only)</w:t>
      </w:r>
      <w:r w:rsidR="00B73CF6" w:rsidRPr="00B73CF6">
        <w:rPr>
          <w:spacing w:val="-2"/>
          <w:lang w:val="en-GB"/>
        </w:rPr>
        <w:t xml:space="preserve">. </w:t>
      </w:r>
      <w:r w:rsidR="00C73C36">
        <w:rPr>
          <w:spacing w:val="-2"/>
          <w:lang w:val="en-GB"/>
        </w:rPr>
        <w:t>Compared to pre-accession in CEE, t</w:t>
      </w:r>
      <w:r w:rsidR="00B73CF6" w:rsidRPr="009E1D3D">
        <w:rPr>
          <w:spacing w:val="-2"/>
          <w:lang w:val="en-GB"/>
        </w:rPr>
        <w:t xml:space="preserve">he size of the EU rewards and the credibility of the threat to exclude states </w:t>
      </w:r>
      <w:r w:rsidR="00247FB2">
        <w:rPr>
          <w:spacing w:val="-2"/>
          <w:lang w:val="en-GB"/>
        </w:rPr>
        <w:t>decline</w:t>
      </w:r>
      <w:r w:rsidR="005C026D" w:rsidRPr="009E1D3D">
        <w:rPr>
          <w:spacing w:val="-2"/>
          <w:lang w:val="en-GB"/>
        </w:rPr>
        <w:t xml:space="preserve"> </w:t>
      </w:r>
      <w:r w:rsidR="00B73CF6" w:rsidRPr="009E1D3D">
        <w:rPr>
          <w:spacing w:val="-2"/>
          <w:lang w:val="en-GB"/>
        </w:rPr>
        <w:t xml:space="preserve">in the </w:t>
      </w:r>
      <w:r w:rsidR="00247FB2">
        <w:rPr>
          <w:spacing w:val="-2"/>
          <w:lang w:val="en-GB"/>
        </w:rPr>
        <w:t xml:space="preserve">CEE </w:t>
      </w:r>
      <w:r w:rsidR="00B73CF6" w:rsidRPr="009E1D3D">
        <w:rPr>
          <w:spacing w:val="-2"/>
          <w:lang w:val="en-GB"/>
        </w:rPr>
        <w:t>post-accession context</w:t>
      </w:r>
      <w:r w:rsidR="00C73C36">
        <w:rPr>
          <w:spacing w:val="-2"/>
          <w:lang w:val="en-GB"/>
        </w:rPr>
        <w:t>.</w:t>
      </w:r>
      <w:r w:rsidR="00B73CF6" w:rsidRPr="009E1D3D">
        <w:rPr>
          <w:spacing w:val="-2"/>
          <w:lang w:val="en-GB"/>
        </w:rPr>
        <w:t xml:space="preserve"> </w:t>
      </w:r>
      <w:r w:rsidR="00C73C36">
        <w:rPr>
          <w:spacing w:val="-2"/>
          <w:lang w:val="en-GB"/>
        </w:rPr>
        <w:t>A</w:t>
      </w:r>
      <w:r w:rsidR="00B73CF6" w:rsidRPr="009E1D3D">
        <w:rPr>
          <w:spacing w:val="-2"/>
          <w:lang w:val="en-GB"/>
        </w:rPr>
        <w:t>cross the CEE and SEE pre-accession contexts</w:t>
      </w:r>
      <w:r w:rsidR="00C73C36">
        <w:rPr>
          <w:spacing w:val="-2"/>
          <w:lang w:val="en-GB"/>
        </w:rPr>
        <w:t xml:space="preserve">, the size of rewards is largely the same, but </w:t>
      </w:r>
      <w:r w:rsidR="00B73CF6" w:rsidRPr="009E1D3D">
        <w:rPr>
          <w:spacing w:val="-2"/>
          <w:lang w:val="en-GB"/>
        </w:rPr>
        <w:t xml:space="preserve">the domestic </w:t>
      </w:r>
      <w:r w:rsidR="005C026D">
        <w:rPr>
          <w:spacing w:val="-2"/>
          <w:lang w:val="en-GB"/>
        </w:rPr>
        <w:t>adoption</w:t>
      </w:r>
      <w:r w:rsidR="005C026D" w:rsidRPr="009E1D3D">
        <w:rPr>
          <w:spacing w:val="-2"/>
          <w:lang w:val="en-GB"/>
        </w:rPr>
        <w:t xml:space="preserve"> </w:t>
      </w:r>
      <w:r w:rsidR="00B73CF6" w:rsidRPr="009E1D3D">
        <w:rPr>
          <w:spacing w:val="-2"/>
          <w:lang w:val="en-GB"/>
        </w:rPr>
        <w:t xml:space="preserve">costs and the credibility of the promise of membership have changed. </w:t>
      </w:r>
    </w:p>
    <w:p w:rsidR="000950D8" w:rsidRPr="009E1D3D" w:rsidRDefault="00FA2659" w:rsidP="006A5430">
      <w:pPr>
        <w:spacing w:line="480" w:lineRule="auto"/>
        <w:jc w:val="both"/>
        <w:rPr>
          <w:spacing w:val="-2"/>
          <w:lang w:val="en-GB"/>
        </w:rPr>
      </w:pPr>
      <w:r>
        <w:rPr>
          <w:spacing w:val="-2"/>
          <w:lang w:val="en-GB"/>
        </w:rPr>
        <w:t>We argue that t</w:t>
      </w:r>
      <w:r w:rsidR="007A4C74" w:rsidRPr="009E1D3D">
        <w:rPr>
          <w:spacing w:val="-2"/>
          <w:lang w:val="en-GB"/>
        </w:rPr>
        <w:t xml:space="preserve">he credibility of positive and negative incentives respectively </w:t>
      </w:r>
      <w:r w:rsidR="00ED3526">
        <w:rPr>
          <w:spacing w:val="-2"/>
          <w:lang w:val="en-GB"/>
        </w:rPr>
        <w:t xml:space="preserve">therefore </w:t>
      </w:r>
      <w:r w:rsidR="009064D0" w:rsidRPr="009E1D3D">
        <w:rPr>
          <w:spacing w:val="-2"/>
          <w:lang w:val="en-GB"/>
        </w:rPr>
        <w:t xml:space="preserve">stands out as the crucial condition explaining successes in pre-accession </w:t>
      </w:r>
      <w:r w:rsidR="00184B6F">
        <w:rPr>
          <w:spacing w:val="-2"/>
          <w:lang w:val="en-GB"/>
        </w:rPr>
        <w:t>Europeanization</w:t>
      </w:r>
      <w:r w:rsidR="00184B6F" w:rsidRPr="009E1D3D">
        <w:rPr>
          <w:spacing w:val="-2"/>
          <w:lang w:val="en-GB"/>
        </w:rPr>
        <w:t xml:space="preserve"> </w:t>
      </w:r>
      <w:r w:rsidR="00B23B7B" w:rsidRPr="009E1D3D">
        <w:rPr>
          <w:spacing w:val="-2"/>
          <w:lang w:val="en-GB"/>
        </w:rPr>
        <w:t xml:space="preserve">of the CEE candidates </w:t>
      </w:r>
      <w:r w:rsidR="009064D0" w:rsidRPr="009E1D3D">
        <w:rPr>
          <w:spacing w:val="-2"/>
          <w:lang w:val="en-GB"/>
        </w:rPr>
        <w:t xml:space="preserve">and </w:t>
      </w:r>
      <w:r w:rsidR="00B23B7B" w:rsidRPr="009E1D3D">
        <w:rPr>
          <w:spacing w:val="-2"/>
          <w:lang w:val="en-GB"/>
        </w:rPr>
        <w:t xml:space="preserve">their </w:t>
      </w:r>
      <w:r w:rsidR="00FE52EB">
        <w:rPr>
          <w:spacing w:val="-2"/>
          <w:lang w:val="en-GB"/>
        </w:rPr>
        <w:t xml:space="preserve">enduring </w:t>
      </w:r>
      <w:r w:rsidR="009064D0" w:rsidRPr="009E1D3D">
        <w:rPr>
          <w:spacing w:val="-2"/>
          <w:lang w:val="en-GB"/>
        </w:rPr>
        <w:t xml:space="preserve">post-accession compliance with the acquis. </w:t>
      </w:r>
      <w:r>
        <w:rPr>
          <w:spacing w:val="-2"/>
          <w:lang w:val="en-GB"/>
        </w:rPr>
        <w:t>Conversely</w:t>
      </w:r>
      <w:r w:rsidR="009064D0" w:rsidRPr="009E1D3D">
        <w:rPr>
          <w:spacing w:val="-2"/>
          <w:lang w:val="en-GB"/>
        </w:rPr>
        <w:t xml:space="preserve">, </w:t>
      </w:r>
      <w:r>
        <w:rPr>
          <w:spacing w:val="-2"/>
          <w:lang w:val="en-GB"/>
        </w:rPr>
        <w:t xml:space="preserve">a </w:t>
      </w:r>
      <w:r w:rsidR="009064D0" w:rsidRPr="009E1D3D">
        <w:rPr>
          <w:spacing w:val="-2"/>
          <w:lang w:val="en-GB"/>
        </w:rPr>
        <w:t xml:space="preserve">lack of credibility has undermined </w:t>
      </w:r>
      <w:r w:rsidR="007A4C74" w:rsidRPr="009E1D3D">
        <w:rPr>
          <w:spacing w:val="-2"/>
          <w:lang w:val="en-GB"/>
        </w:rPr>
        <w:t xml:space="preserve">the effectiveness of </w:t>
      </w:r>
      <w:r w:rsidR="009064D0" w:rsidRPr="009E1D3D">
        <w:rPr>
          <w:spacing w:val="-2"/>
          <w:lang w:val="en-GB"/>
        </w:rPr>
        <w:t xml:space="preserve">pre-accession conditionality in SEE and </w:t>
      </w:r>
      <w:r w:rsidR="000A5001">
        <w:rPr>
          <w:spacing w:val="-2"/>
          <w:lang w:val="en-GB"/>
        </w:rPr>
        <w:t xml:space="preserve">of </w:t>
      </w:r>
      <w:r w:rsidR="009064D0" w:rsidRPr="009E1D3D">
        <w:rPr>
          <w:spacing w:val="-2"/>
          <w:lang w:val="en-GB"/>
        </w:rPr>
        <w:t>post-accession sanctions against democratic backsliding</w:t>
      </w:r>
      <w:r w:rsidR="00B23B7B" w:rsidRPr="009E1D3D">
        <w:rPr>
          <w:spacing w:val="-2"/>
          <w:lang w:val="en-GB"/>
        </w:rPr>
        <w:t xml:space="preserve"> in CEE</w:t>
      </w:r>
      <w:r w:rsidR="009064D0" w:rsidRPr="009E1D3D">
        <w:rPr>
          <w:spacing w:val="-2"/>
          <w:lang w:val="en-GB"/>
        </w:rPr>
        <w:t>.</w:t>
      </w:r>
      <w:r w:rsidR="00CC1CB5">
        <w:rPr>
          <w:spacing w:val="-2"/>
          <w:lang w:val="en-GB"/>
        </w:rPr>
        <w:t xml:space="preserve"> </w:t>
      </w:r>
      <w:r w:rsidR="002A2331">
        <w:rPr>
          <w:spacing w:val="-2"/>
          <w:lang w:val="en-GB"/>
        </w:rPr>
        <w:t>In addition</w:t>
      </w:r>
      <w:r w:rsidR="006B6C1C">
        <w:rPr>
          <w:spacing w:val="-2"/>
          <w:lang w:val="en-GB"/>
        </w:rPr>
        <w:t xml:space="preserve"> to these substantive findings</w:t>
      </w:r>
      <w:r w:rsidR="00C23F05">
        <w:rPr>
          <w:spacing w:val="-2"/>
          <w:lang w:val="en-GB"/>
        </w:rPr>
        <w:t xml:space="preserve"> and the concomitant refinement of the EIM</w:t>
      </w:r>
      <w:r w:rsidR="002A2331">
        <w:rPr>
          <w:spacing w:val="-2"/>
          <w:lang w:val="en-GB"/>
        </w:rPr>
        <w:t xml:space="preserve">, the revisiting exercise </w:t>
      </w:r>
      <w:r w:rsidR="00292122">
        <w:rPr>
          <w:spacing w:val="-2"/>
          <w:lang w:val="en-GB"/>
        </w:rPr>
        <w:t>points to omissions and limitation</w:t>
      </w:r>
      <w:r w:rsidR="002A2331">
        <w:rPr>
          <w:spacing w:val="-2"/>
          <w:lang w:val="en-GB"/>
        </w:rPr>
        <w:t>s of the original model that we return to in the conclusions</w:t>
      </w:r>
      <w:r w:rsidR="00292122">
        <w:rPr>
          <w:spacing w:val="-2"/>
          <w:lang w:val="en-GB"/>
        </w:rPr>
        <w:t xml:space="preserve">. First, </w:t>
      </w:r>
      <w:r w:rsidR="002A2331">
        <w:rPr>
          <w:spacing w:val="-2"/>
          <w:lang w:val="en-GB"/>
        </w:rPr>
        <w:t xml:space="preserve">the model works with abstract conditions that require contextual specification to become more meaningful and better testable. </w:t>
      </w:r>
      <w:r w:rsidR="00292122">
        <w:rPr>
          <w:spacing w:val="-2"/>
          <w:lang w:val="en-GB"/>
        </w:rPr>
        <w:t xml:space="preserve">Second, the EIM starts from generally favourable </w:t>
      </w:r>
      <w:r w:rsidR="002A2331">
        <w:rPr>
          <w:spacing w:val="-2"/>
          <w:lang w:val="en-GB"/>
        </w:rPr>
        <w:t xml:space="preserve">but underspecified </w:t>
      </w:r>
      <w:r w:rsidR="00292122">
        <w:rPr>
          <w:spacing w:val="-2"/>
          <w:lang w:val="en-GB"/>
        </w:rPr>
        <w:t xml:space="preserve">background conditions. </w:t>
      </w:r>
    </w:p>
    <w:p w:rsidR="004F487E" w:rsidRPr="009E1D3D" w:rsidRDefault="004F487E" w:rsidP="006A5430">
      <w:pPr>
        <w:spacing w:line="480" w:lineRule="auto"/>
        <w:jc w:val="both"/>
        <w:rPr>
          <w:spacing w:val="-2"/>
          <w:lang w:val="en-GB"/>
        </w:rPr>
      </w:pPr>
      <w:r w:rsidRPr="009E1D3D">
        <w:rPr>
          <w:spacing w:val="-2"/>
          <w:lang w:val="en-GB"/>
        </w:rPr>
        <w:t xml:space="preserve">We start by summarizing the main assumptions and propositions of the </w:t>
      </w:r>
      <w:r w:rsidR="00287A4F" w:rsidRPr="009E1D3D">
        <w:rPr>
          <w:spacing w:val="-2"/>
          <w:lang w:val="en-GB"/>
        </w:rPr>
        <w:t>EIM</w:t>
      </w:r>
      <w:r w:rsidR="00E6098B">
        <w:rPr>
          <w:spacing w:val="-2"/>
          <w:lang w:val="en-GB"/>
        </w:rPr>
        <w:t xml:space="preserve"> and give an overview of the research design</w:t>
      </w:r>
      <w:r w:rsidR="00591372" w:rsidRPr="009E1D3D">
        <w:rPr>
          <w:spacing w:val="-2"/>
          <w:lang w:val="en-GB"/>
        </w:rPr>
        <w:t xml:space="preserve">. Subsequently, we turn to </w:t>
      </w:r>
      <w:r w:rsidR="004A5705">
        <w:rPr>
          <w:spacing w:val="-2"/>
          <w:lang w:val="en-GB"/>
        </w:rPr>
        <w:t xml:space="preserve">the two new contexts in which we test the EIM: </w:t>
      </w:r>
      <w:r w:rsidR="00EA1D6C">
        <w:rPr>
          <w:spacing w:val="-2"/>
          <w:lang w:val="en-GB"/>
        </w:rPr>
        <w:t xml:space="preserve">first, </w:t>
      </w:r>
      <w:r w:rsidR="00591372" w:rsidRPr="009E1D3D">
        <w:rPr>
          <w:spacing w:val="-2"/>
          <w:lang w:val="en-GB"/>
        </w:rPr>
        <w:t>post-accession Europeanization of the new member states and</w:t>
      </w:r>
      <w:r w:rsidR="00EA1D6C">
        <w:rPr>
          <w:spacing w:val="-2"/>
          <w:lang w:val="en-GB"/>
        </w:rPr>
        <w:t xml:space="preserve">, second, </w:t>
      </w:r>
      <w:r w:rsidR="00591372" w:rsidRPr="009E1D3D">
        <w:rPr>
          <w:spacing w:val="-2"/>
          <w:lang w:val="en-GB"/>
        </w:rPr>
        <w:t xml:space="preserve">the pre-accession Europeanization of current candidates. </w:t>
      </w:r>
      <w:r w:rsidR="004A5705">
        <w:rPr>
          <w:spacing w:val="-2"/>
          <w:lang w:val="en-GB"/>
        </w:rPr>
        <w:t xml:space="preserve">For each of these contexts we establish </w:t>
      </w:r>
      <w:r w:rsidR="00F21010">
        <w:rPr>
          <w:spacing w:val="-2"/>
          <w:lang w:val="en-GB"/>
        </w:rPr>
        <w:t xml:space="preserve">whether the settings with regard to each of the </w:t>
      </w:r>
      <w:r w:rsidR="004A5705">
        <w:rPr>
          <w:spacing w:val="-2"/>
          <w:lang w:val="en-GB"/>
        </w:rPr>
        <w:t xml:space="preserve">specific </w:t>
      </w:r>
      <w:r w:rsidR="00F21010">
        <w:rPr>
          <w:spacing w:val="-2"/>
          <w:lang w:val="en-GB"/>
        </w:rPr>
        <w:t xml:space="preserve">explanatory </w:t>
      </w:r>
      <w:r w:rsidR="004A5705">
        <w:rPr>
          <w:spacing w:val="-2"/>
          <w:lang w:val="en-GB"/>
        </w:rPr>
        <w:t xml:space="preserve">conditions </w:t>
      </w:r>
      <w:r w:rsidR="00F21010">
        <w:rPr>
          <w:spacing w:val="-2"/>
          <w:lang w:val="en-GB"/>
        </w:rPr>
        <w:t xml:space="preserve">is favourable or unfavourable to Europeanization, and contrast the resulting expectations of the EIM with the actual outcomes. </w:t>
      </w:r>
      <w:r w:rsidR="00591372" w:rsidRPr="009E1D3D">
        <w:rPr>
          <w:spacing w:val="-2"/>
          <w:lang w:val="en-GB"/>
        </w:rPr>
        <w:t>The concluding section provides a comparative assessment</w:t>
      </w:r>
      <w:r w:rsidR="00EA1D6C">
        <w:rPr>
          <w:spacing w:val="-2"/>
          <w:lang w:val="en-GB"/>
        </w:rPr>
        <w:t xml:space="preserve"> of the explanatory power of the EIM in these two settings</w:t>
      </w:r>
      <w:r w:rsidR="00591372" w:rsidRPr="009E1D3D">
        <w:rPr>
          <w:spacing w:val="-2"/>
          <w:lang w:val="en-GB"/>
        </w:rPr>
        <w:t>.</w:t>
      </w:r>
    </w:p>
    <w:p w:rsidR="00250051" w:rsidRPr="009E1D3D" w:rsidRDefault="00250051" w:rsidP="006A5430">
      <w:pPr>
        <w:spacing w:line="480" w:lineRule="auto"/>
        <w:jc w:val="both"/>
        <w:rPr>
          <w:spacing w:val="-2"/>
          <w:lang w:val="en-GB"/>
        </w:rPr>
      </w:pPr>
    </w:p>
    <w:p w:rsidR="00250051" w:rsidRPr="009E1D3D" w:rsidRDefault="00250051" w:rsidP="006A5430">
      <w:pPr>
        <w:keepNext/>
        <w:spacing w:line="480" w:lineRule="auto"/>
        <w:jc w:val="both"/>
        <w:outlineLvl w:val="0"/>
        <w:rPr>
          <w:b/>
          <w:spacing w:val="-2"/>
          <w:lang w:val="en-GB"/>
        </w:rPr>
      </w:pPr>
      <w:r w:rsidRPr="009E1D3D">
        <w:rPr>
          <w:b/>
          <w:spacing w:val="-2"/>
          <w:lang w:val="en-GB"/>
        </w:rPr>
        <w:t>The External Incentives Model</w:t>
      </w:r>
    </w:p>
    <w:p w:rsidR="0083493D" w:rsidRPr="009E1D3D" w:rsidRDefault="00250051" w:rsidP="006A5430">
      <w:pPr>
        <w:spacing w:line="480" w:lineRule="auto"/>
        <w:jc w:val="both"/>
        <w:rPr>
          <w:lang w:val="en-GB"/>
        </w:rPr>
      </w:pPr>
      <w:r w:rsidRPr="009E1D3D">
        <w:rPr>
          <w:lang w:val="en-GB"/>
        </w:rPr>
        <w:t xml:space="preserve">The </w:t>
      </w:r>
      <w:r w:rsidR="00287A4F" w:rsidRPr="009E1D3D">
        <w:rPr>
          <w:lang w:val="en-GB"/>
        </w:rPr>
        <w:t xml:space="preserve">EIM is a </w:t>
      </w:r>
      <w:r w:rsidRPr="009E1D3D">
        <w:rPr>
          <w:lang w:val="en-GB"/>
        </w:rPr>
        <w:t>bargaining</w:t>
      </w:r>
      <w:r w:rsidR="00287A4F" w:rsidRPr="009E1D3D">
        <w:rPr>
          <w:lang w:val="en-GB"/>
        </w:rPr>
        <w:t xml:space="preserve"> model</w:t>
      </w:r>
      <w:r w:rsidR="00832C30">
        <w:rPr>
          <w:lang w:val="en-GB"/>
        </w:rPr>
        <w:t xml:space="preserve">, in which </w:t>
      </w:r>
      <w:r w:rsidR="00477200" w:rsidRPr="009E1D3D">
        <w:rPr>
          <w:lang w:val="en-GB"/>
        </w:rPr>
        <w:t xml:space="preserve">the </w:t>
      </w:r>
      <w:r w:rsidR="008C3EC6" w:rsidRPr="009E1D3D">
        <w:rPr>
          <w:lang w:val="en-GB"/>
        </w:rPr>
        <w:t xml:space="preserve">key instrument </w:t>
      </w:r>
      <w:r w:rsidR="00477200" w:rsidRPr="009E1D3D">
        <w:rPr>
          <w:lang w:val="en-GB"/>
        </w:rPr>
        <w:t>of Europeanization is conditionality</w:t>
      </w:r>
      <w:r w:rsidR="0083493D" w:rsidRPr="009E1D3D">
        <w:rPr>
          <w:lang w:val="en-GB"/>
        </w:rPr>
        <w:t xml:space="preserve"> (</w:t>
      </w:r>
      <w:proofErr w:type="spellStart"/>
      <w:r w:rsidR="0083493D" w:rsidRPr="009E1D3D">
        <w:rPr>
          <w:lang w:val="en-GB"/>
        </w:rPr>
        <w:t>Schimmelfennig</w:t>
      </w:r>
      <w:proofErr w:type="spellEnd"/>
      <w:r w:rsidR="0083493D" w:rsidRPr="009E1D3D">
        <w:rPr>
          <w:lang w:val="en-GB"/>
        </w:rPr>
        <w:t xml:space="preserve"> and Sedelmeier 2005b: 10-12)</w:t>
      </w:r>
      <w:r w:rsidR="00477200" w:rsidRPr="009E1D3D">
        <w:rPr>
          <w:lang w:val="en-GB"/>
        </w:rPr>
        <w:t>. The EU sets the adoption of its norms and rules as conditions that t</w:t>
      </w:r>
      <w:r w:rsidR="00D838D5">
        <w:rPr>
          <w:lang w:val="en-GB"/>
        </w:rPr>
        <w:t>he target states have to fulfil</w:t>
      </w:r>
      <w:r w:rsidR="00477200" w:rsidRPr="009E1D3D">
        <w:rPr>
          <w:lang w:val="en-GB"/>
        </w:rPr>
        <w:t xml:space="preserve"> in order to receive a reward. </w:t>
      </w:r>
      <w:r w:rsidR="00A1420D" w:rsidRPr="009E1D3D">
        <w:rPr>
          <w:lang w:val="en-GB"/>
        </w:rPr>
        <w:t xml:space="preserve">EU conditions comprise </w:t>
      </w:r>
      <w:r w:rsidR="004E22B9" w:rsidRPr="009E1D3D">
        <w:rPr>
          <w:lang w:val="en-GB"/>
        </w:rPr>
        <w:t xml:space="preserve">both </w:t>
      </w:r>
      <w:r w:rsidR="00A1420D" w:rsidRPr="009E1D3D">
        <w:rPr>
          <w:lang w:val="en-GB"/>
        </w:rPr>
        <w:t>political conditions (such as democracy and the rule of law)</w:t>
      </w:r>
      <w:r w:rsidR="00AA4729" w:rsidRPr="009E1D3D">
        <w:rPr>
          <w:lang w:val="en-GB"/>
        </w:rPr>
        <w:t xml:space="preserve"> and</w:t>
      </w:r>
      <w:r w:rsidR="00A1420D" w:rsidRPr="009E1D3D">
        <w:rPr>
          <w:lang w:val="en-GB"/>
        </w:rPr>
        <w:t xml:space="preserve"> regulatory conditions (pertainin</w:t>
      </w:r>
      <w:r w:rsidR="00E82748" w:rsidRPr="009E1D3D">
        <w:rPr>
          <w:lang w:val="en-GB"/>
        </w:rPr>
        <w:t>g to the EU’s public policies). The model</w:t>
      </w:r>
      <w:r w:rsidR="00AA4729" w:rsidRPr="009E1D3D">
        <w:rPr>
          <w:lang w:val="en-GB"/>
        </w:rPr>
        <w:t xml:space="preserve"> </w:t>
      </w:r>
      <w:r w:rsidR="00EA1D6C" w:rsidRPr="009E1D3D">
        <w:rPr>
          <w:lang w:val="en-GB"/>
        </w:rPr>
        <w:t xml:space="preserve">accordingly </w:t>
      </w:r>
      <w:r w:rsidR="00AA4729" w:rsidRPr="009E1D3D">
        <w:rPr>
          <w:lang w:val="en-GB"/>
        </w:rPr>
        <w:t>distinguish</w:t>
      </w:r>
      <w:r w:rsidR="00E82748" w:rsidRPr="009E1D3D">
        <w:rPr>
          <w:lang w:val="en-GB"/>
        </w:rPr>
        <w:t>es</w:t>
      </w:r>
      <w:r w:rsidR="00AA4729" w:rsidRPr="009E1D3D">
        <w:rPr>
          <w:lang w:val="en-GB"/>
        </w:rPr>
        <w:t xml:space="preserve"> </w:t>
      </w:r>
      <w:r w:rsidR="00EA1D6C">
        <w:rPr>
          <w:lang w:val="en-GB"/>
        </w:rPr>
        <w:t xml:space="preserve">between </w:t>
      </w:r>
      <w:r w:rsidR="00B81E0B">
        <w:rPr>
          <w:lang w:val="en-GB"/>
        </w:rPr>
        <w:t>democratic</w:t>
      </w:r>
      <w:r w:rsidR="00AA4729" w:rsidRPr="009E1D3D">
        <w:rPr>
          <w:lang w:val="en-GB"/>
        </w:rPr>
        <w:t xml:space="preserve"> conditionality and </w:t>
      </w:r>
      <w:r w:rsidR="00AA4729" w:rsidRPr="009E1D3D">
        <w:rPr>
          <w:i/>
          <w:lang w:val="en-GB"/>
        </w:rPr>
        <w:t xml:space="preserve">acquis </w:t>
      </w:r>
      <w:r w:rsidR="00AA4729" w:rsidRPr="009E1D3D">
        <w:rPr>
          <w:lang w:val="en-GB"/>
        </w:rPr>
        <w:t xml:space="preserve">conditionality. </w:t>
      </w:r>
      <w:r w:rsidR="00A1420D" w:rsidRPr="009E1D3D">
        <w:rPr>
          <w:lang w:val="en-GB"/>
        </w:rPr>
        <w:t xml:space="preserve">Rewards range from financial and technical assistance to membership. In general, higher rewards are linked to more demanding conditions. </w:t>
      </w:r>
    </w:p>
    <w:p w:rsidR="00165A10" w:rsidRPr="009E1D3D" w:rsidRDefault="0083493D" w:rsidP="006A5430">
      <w:pPr>
        <w:spacing w:line="480" w:lineRule="auto"/>
        <w:jc w:val="both"/>
        <w:rPr>
          <w:lang w:val="en-GB"/>
        </w:rPr>
      </w:pPr>
      <w:r w:rsidRPr="009E1D3D">
        <w:rPr>
          <w:lang w:val="en-GB"/>
        </w:rPr>
        <w:t xml:space="preserve">The </w:t>
      </w:r>
      <w:r w:rsidR="00193137">
        <w:rPr>
          <w:lang w:val="en-GB"/>
        </w:rPr>
        <w:t xml:space="preserve">governments of the </w:t>
      </w:r>
      <w:r w:rsidRPr="009E1D3D">
        <w:rPr>
          <w:lang w:val="en-GB"/>
        </w:rPr>
        <w:t xml:space="preserve">target states are free to accept or reject </w:t>
      </w:r>
      <w:r w:rsidR="004E22B9" w:rsidRPr="009E1D3D">
        <w:rPr>
          <w:lang w:val="en-GB"/>
        </w:rPr>
        <w:t>the EU’s conditions</w:t>
      </w:r>
      <w:r w:rsidRPr="009E1D3D">
        <w:rPr>
          <w:lang w:val="en-GB"/>
        </w:rPr>
        <w:t xml:space="preserve">. They accept if they perceive the benefits of the reward to be higher than the costs of </w:t>
      </w:r>
      <w:r w:rsidR="00B73CF6">
        <w:rPr>
          <w:lang w:val="en-GB"/>
        </w:rPr>
        <w:t xml:space="preserve">compliance. </w:t>
      </w:r>
      <w:r w:rsidRPr="009E1D3D">
        <w:rPr>
          <w:lang w:val="en-GB"/>
        </w:rPr>
        <w:t xml:space="preserve">The cost-benefit assessment is subject to domestic politics. </w:t>
      </w:r>
      <w:r w:rsidR="00B73CF6">
        <w:rPr>
          <w:lang w:val="en-GB"/>
        </w:rPr>
        <w:t>T</w:t>
      </w:r>
      <w:r w:rsidRPr="009E1D3D">
        <w:rPr>
          <w:lang w:val="en-GB"/>
        </w:rPr>
        <w:t xml:space="preserve">he EU negotiates with governments, </w:t>
      </w:r>
      <w:r w:rsidR="00B73CF6">
        <w:rPr>
          <w:lang w:val="en-GB"/>
        </w:rPr>
        <w:t xml:space="preserve">but </w:t>
      </w:r>
      <w:r w:rsidRPr="009E1D3D">
        <w:rPr>
          <w:lang w:val="en-GB"/>
        </w:rPr>
        <w:t xml:space="preserve">governments are </w:t>
      </w:r>
      <w:r w:rsidR="00AA4729" w:rsidRPr="009E1D3D">
        <w:rPr>
          <w:lang w:val="en-GB"/>
        </w:rPr>
        <w:t xml:space="preserve">constrained by </w:t>
      </w:r>
      <w:r w:rsidRPr="009E1D3D">
        <w:rPr>
          <w:lang w:val="en-GB"/>
        </w:rPr>
        <w:t>domestic institutional</w:t>
      </w:r>
      <w:r w:rsidR="004E22B9" w:rsidRPr="009E1D3D">
        <w:rPr>
          <w:lang w:val="en-GB"/>
        </w:rPr>
        <w:t xml:space="preserve"> and partisan veto-players and </w:t>
      </w:r>
      <w:r w:rsidRPr="009E1D3D">
        <w:rPr>
          <w:lang w:val="en-GB"/>
        </w:rPr>
        <w:t>interest group pressures</w:t>
      </w:r>
      <w:r w:rsidR="00B73CF6">
        <w:rPr>
          <w:lang w:val="en-GB"/>
        </w:rPr>
        <w:t>.</w:t>
      </w:r>
      <w:r w:rsidRPr="009E1D3D">
        <w:rPr>
          <w:lang w:val="en-GB"/>
        </w:rPr>
        <w:t xml:space="preserve"> If the target government rejects</w:t>
      </w:r>
      <w:r w:rsidR="00193137">
        <w:rPr>
          <w:lang w:val="en-GB"/>
        </w:rPr>
        <w:t>,</w:t>
      </w:r>
      <w:r w:rsidRPr="009E1D3D">
        <w:rPr>
          <w:lang w:val="en-GB"/>
        </w:rPr>
        <w:t xml:space="preserve"> or fails to meet</w:t>
      </w:r>
      <w:r w:rsidR="00193137">
        <w:rPr>
          <w:lang w:val="en-GB"/>
        </w:rPr>
        <w:t>,</w:t>
      </w:r>
      <w:r w:rsidRPr="009E1D3D">
        <w:rPr>
          <w:lang w:val="en-GB"/>
        </w:rPr>
        <w:t xml:space="preserve"> the conditions, the EU typically </w:t>
      </w:r>
      <w:r w:rsidR="00165A10" w:rsidRPr="009E1D3D">
        <w:rPr>
          <w:lang w:val="en-GB"/>
        </w:rPr>
        <w:t xml:space="preserve">simply </w:t>
      </w:r>
      <w:r w:rsidRPr="009E1D3D">
        <w:rPr>
          <w:lang w:val="en-GB"/>
        </w:rPr>
        <w:t>withholds the reward</w:t>
      </w:r>
      <w:r w:rsidR="00165A10" w:rsidRPr="009E1D3D">
        <w:rPr>
          <w:lang w:val="en-GB"/>
        </w:rPr>
        <w:t xml:space="preserve"> (without applying </w:t>
      </w:r>
      <w:r w:rsidR="00722DDD">
        <w:rPr>
          <w:lang w:val="en-GB"/>
        </w:rPr>
        <w:t xml:space="preserve">coercive </w:t>
      </w:r>
      <w:r w:rsidR="00165A10" w:rsidRPr="009E1D3D">
        <w:rPr>
          <w:lang w:val="en-GB"/>
        </w:rPr>
        <w:t xml:space="preserve">sanctions). It pays the reward </w:t>
      </w:r>
      <w:r w:rsidR="00D838D5">
        <w:rPr>
          <w:lang w:val="en-GB"/>
        </w:rPr>
        <w:t>if the target government fulfil</w:t>
      </w:r>
      <w:r w:rsidR="00165A10" w:rsidRPr="009E1D3D">
        <w:rPr>
          <w:lang w:val="en-GB"/>
        </w:rPr>
        <w:t>s the conditions.</w:t>
      </w:r>
    </w:p>
    <w:p w:rsidR="006C690C" w:rsidRPr="009E1D3D" w:rsidRDefault="00165A10" w:rsidP="006A5430">
      <w:pPr>
        <w:spacing w:line="480" w:lineRule="auto"/>
        <w:jc w:val="both"/>
        <w:rPr>
          <w:lang w:val="en-GB"/>
        </w:rPr>
      </w:pPr>
      <w:r w:rsidRPr="009E1D3D">
        <w:rPr>
          <w:lang w:val="en-GB"/>
        </w:rPr>
        <w:t xml:space="preserve">The </w:t>
      </w:r>
      <w:r w:rsidR="00AA4729" w:rsidRPr="009E1D3D">
        <w:rPr>
          <w:lang w:val="en-GB"/>
        </w:rPr>
        <w:t xml:space="preserve">EIM </w:t>
      </w:r>
      <w:r w:rsidRPr="009E1D3D">
        <w:rPr>
          <w:lang w:val="en-GB"/>
        </w:rPr>
        <w:t xml:space="preserve">further specifies several conditions </w:t>
      </w:r>
      <w:r w:rsidR="00193137">
        <w:rPr>
          <w:lang w:val="en-GB"/>
        </w:rPr>
        <w:t>that influence the target government’s cost-benefit calculations and hence when</w:t>
      </w:r>
      <w:r w:rsidRPr="009E1D3D">
        <w:rPr>
          <w:lang w:val="en-GB"/>
        </w:rPr>
        <w:t xml:space="preserve"> conditionality is more or less likely to be effective (</w:t>
      </w:r>
      <w:proofErr w:type="spellStart"/>
      <w:r w:rsidRPr="009E1D3D">
        <w:rPr>
          <w:lang w:val="en-GB"/>
        </w:rPr>
        <w:t>Schimmelfennig</w:t>
      </w:r>
      <w:proofErr w:type="spellEnd"/>
      <w:r w:rsidRPr="009E1D3D">
        <w:rPr>
          <w:lang w:val="en-GB"/>
        </w:rPr>
        <w:t xml:space="preserve"> and Sedelmeier 2005b: 12-17): the size</w:t>
      </w:r>
      <w:r w:rsidR="00CD1F3C">
        <w:rPr>
          <w:lang w:val="en-GB"/>
        </w:rPr>
        <w:t xml:space="preserve"> and </w:t>
      </w:r>
      <w:r w:rsidR="003573AF">
        <w:rPr>
          <w:lang w:val="en-GB"/>
        </w:rPr>
        <w:t>distance</w:t>
      </w:r>
      <w:r w:rsidRPr="009E1D3D">
        <w:rPr>
          <w:lang w:val="en-GB"/>
        </w:rPr>
        <w:t xml:space="preserve"> of </w:t>
      </w:r>
      <w:r w:rsidR="009E6922">
        <w:rPr>
          <w:lang w:val="en-GB"/>
        </w:rPr>
        <w:t xml:space="preserve">the EU’s </w:t>
      </w:r>
      <w:r w:rsidRPr="009E1D3D">
        <w:rPr>
          <w:lang w:val="en-GB"/>
        </w:rPr>
        <w:t xml:space="preserve">rewards, the determinacy of </w:t>
      </w:r>
      <w:r w:rsidR="006C690C" w:rsidRPr="009E1D3D">
        <w:rPr>
          <w:lang w:val="en-GB"/>
        </w:rPr>
        <w:t>the conditions</w:t>
      </w:r>
      <w:r w:rsidR="009E6922">
        <w:rPr>
          <w:lang w:val="en-GB"/>
        </w:rPr>
        <w:t xml:space="preserve"> it sets for obtaining the reward</w:t>
      </w:r>
      <w:r w:rsidR="001E31C1" w:rsidRPr="009E1D3D">
        <w:rPr>
          <w:lang w:val="en-GB"/>
        </w:rPr>
        <w:t>, the credibility of the conditionality</w:t>
      </w:r>
      <w:r w:rsidRPr="009E1D3D">
        <w:rPr>
          <w:lang w:val="en-GB"/>
        </w:rPr>
        <w:t>, and the size of the adoption costs</w:t>
      </w:r>
      <w:r w:rsidR="009E6922">
        <w:rPr>
          <w:lang w:val="en-GB"/>
        </w:rPr>
        <w:t xml:space="preserve"> for the target government</w:t>
      </w:r>
      <w:r w:rsidRPr="009E1D3D">
        <w:rPr>
          <w:lang w:val="en-GB"/>
        </w:rPr>
        <w:t xml:space="preserve">. </w:t>
      </w:r>
      <w:r w:rsidR="00C23F05">
        <w:rPr>
          <w:lang w:val="en-GB"/>
        </w:rPr>
        <w:t>Yet the EIM does not qualify any of these conditions as necessary and/or sufficient.</w:t>
      </w:r>
    </w:p>
    <w:p w:rsidR="00165A10" w:rsidRPr="009E1D3D" w:rsidRDefault="006C690C" w:rsidP="006A5430">
      <w:pPr>
        <w:spacing w:line="480" w:lineRule="auto"/>
        <w:jc w:val="both"/>
        <w:rPr>
          <w:lang w:val="en-GB"/>
        </w:rPr>
      </w:pPr>
      <w:r w:rsidRPr="009E1D3D">
        <w:rPr>
          <w:i/>
          <w:lang w:val="en-GB"/>
        </w:rPr>
        <w:t xml:space="preserve">Rewards. </w:t>
      </w:r>
      <w:r w:rsidR="00AA4729" w:rsidRPr="009E1D3D">
        <w:rPr>
          <w:lang w:val="en-GB"/>
        </w:rPr>
        <w:t>C</w:t>
      </w:r>
      <w:r w:rsidR="00165A10" w:rsidRPr="009E1D3D">
        <w:rPr>
          <w:lang w:val="en-GB"/>
        </w:rPr>
        <w:t xml:space="preserve">onditionality is more likely to be effective </w:t>
      </w:r>
      <w:r w:rsidR="007958F8">
        <w:rPr>
          <w:lang w:val="en-GB"/>
        </w:rPr>
        <w:t>the more sizeable the</w:t>
      </w:r>
      <w:r w:rsidR="007958F8" w:rsidRPr="009E1D3D">
        <w:rPr>
          <w:lang w:val="en-GB"/>
        </w:rPr>
        <w:t xml:space="preserve"> </w:t>
      </w:r>
      <w:r w:rsidR="00165A10" w:rsidRPr="009E1D3D">
        <w:rPr>
          <w:lang w:val="en-GB"/>
        </w:rPr>
        <w:t>rewards</w:t>
      </w:r>
      <w:r w:rsidR="007958F8">
        <w:rPr>
          <w:lang w:val="en-GB"/>
        </w:rPr>
        <w:t xml:space="preserve">, and the more they </w:t>
      </w:r>
      <w:r w:rsidRPr="009E1D3D">
        <w:rPr>
          <w:lang w:val="en-GB"/>
        </w:rPr>
        <w:t xml:space="preserve">are </w:t>
      </w:r>
      <w:r w:rsidR="00913A9E">
        <w:rPr>
          <w:lang w:val="en-GB"/>
        </w:rPr>
        <w:t xml:space="preserve">tangible </w:t>
      </w:r>
      <w:r w:rsidRPr="009E1D3D">
        <w:rPr>
          <w:lang w:val="en-GB"/>
        </w:rPr>
        <w:t xml:space="preserve">rather than </w:t>
      </w:r>
      <w:r w:rsidR="00913A9E">
        <w:rPr>
          <w:lang w:val="en-GB"/>
        </w:rPr>
        <w:t>distant</w:t>
      </w:r>
      <w:r w:rsidRPr="009E1D3D">
        <w:rPr>
          <w:lang w:val="en-GB"/>
        </w:rPr>
        <w:t>. Membership</w:t>
      </w:r>
      <w:r w:rsidR="009E6922">
        <w:rPr>
          <w:lang w:val="en-GB"/>
        </w:rPr>
        <w:t xml:space="preserve"> in the EU</w:t>
      </w:r>
      <w:r w:rsidRPr="009E1D3D">
        <w:rPr>
          <w:lang w:val="en-GB"/>
        </w:rPr>
        <w:t xml:space="preserve">, which </w:t>
      </w:r>
      <w:r w:rsidR="009E6922">
        <w:rPr>
          <w:lang w:val="en-GB"/>
        </w:rPr>
        <w:t>entails</w:t>
      </w:r>
      <w:r w:rsidRPr="009E1D3D">
        <w:rPr>
          <w:lang w:val="en-GB"/>
        </w:rPr>
        <w:t xml:space="preserve"> larger financial assistance</w:t>
      </w:r>
      <w:r w:rsidR="00832C30">
        <w:rPr>
          <w:lang w:val="en-GB"/>
        </w:rPr>
        <w:t>, unconditional market access,</w:t>
      </w:r>
      <w:r w:rsidRPr="009E1D3D">
        <w:rPr>
          <w:lang w:val="en-GB"/>
        </w:rPr>
        <w:t xml:space="preserve"> and voting power in the EU, is a bigger </w:t>
      </w:r>
      <w:r w:rsidR="00B73CF6">
        <w:rPr>
          <w:lang w:val="en-GB"/>
        </w:rPr>
        <w:t>‘</w:t>
      </w:r>
      <w:r w:rsidRPr="009E1D3D">
        <w:rPr>
          <w:lang w:val="en-GB"/>
        </w:rPr>
        <w:t>carrot</w:t>
      </w:r>
      <w:r w:rsidR="00B73CF6">
        <w:rPr>
          <w:lang w:val="en-GB"/>
        </w:rPr>
        <w:t>’</w:t>
      </w:r>
      <w:r w:rsidRPr="009E1D3D">
        <w:rPr>
          <w:lang w:val="en-GB"/>
        </w:rPr>
        <w:t xml:space="preserve"> than association. </w:t>
      </w:r>
      <w:r w:rsidR="007958F8">
        <w:rPr>
          <w:lang w:val="en-GB"/>
        </w:rPr>
        <w:t>The membership reward becomes more tangible towards the end of accession negotiations</w:t>
      </w:r>
      <w:r w:rsidR="00722DDD">
        <w:rPr>
          <w:lang w:val="en-GB"/>
        </w:rPr>
        <w:t>.</w:t>
      </w:r>
      <w:r w:rsidR="007958F8">
        <w:rPr>
          <w:lang w:val="en-GB"/>
        </w:rPr>
        <w:t xml:space="preserve"> </w:t>
      </w:r>
    </w:p>
    <w:p w:rsidR="006C690C" w:rsidRPr="009E1D3D" w:rsidRDefault="00913A9E" w:rsidP="006A5430">
      <w:pPr>
        <w:spacing w:line="480" w:lineRule="auto"/>
        <w:jc w:val="both"/>
        <w:rPr>
          <w:lang w:val="en-GB"/>
        </w:rPr>
      </w:pPr>
      <w:r>
        <w:rPr>
          <w:i/>
          <w:lang w:val="en-GB"/>
        </w:rPr>
        <w:t>Determinacy</w:t>
      </w:r>
      <w:r w:rsidR="006C690C" w:rsidRPr="009E1D3D">
        <w:rPr>
          <w:i/>
          <w:lang w:val="en-GB"/>
        </w:rPr>
        <w:t>.</w:t>
      </w:r>
      <w:r w:rsidR="006C690C" w:rsidRPr="009E1D3D">
        <w:rPr>
          <w:lang w:val="en-GB"/>
        </w:rPr>
        <w:t xml:space="preserve"> </w:t>
      </w:r>
      <w:r>
        <w:rPr>
          <w:lang w:val="en-GB"/>
        </w:rPr>
        <w:t>T</w:t>
      </w:r>
      <w:r w:rsidR="006C690C" w:rsidRPr="009E1D3D">
        <w:rPr>
          <w:lang w:val="en-GB"/>
        </w:rPr>
        <w:t xml:space="preserve">arget governments </w:t>
      </w:r>
      <w:r w:rsidR="004E0F2C" w:rsidRPr="009E1D3D">
        <w:rPr>
          <w:lang w:val="en-GB"/>
        </w:rPr>
        <w:t>must know</w:t>
      </w:r>
      <w:r w:rsidR="001E31C1" w:rsidRPr="009E1D3D">
        <w:rPr>
          <w:lang w:val="en-GB"/>
        </w:rPr>
        <w:t xml:space="preserve"> what exactly they need to do to meet the conditions and get the reward. The EU enhances determinacy by specifying the conditions clearly and by giving regular feedback. In addition, determinacy depends on the salience of </w:t>
      </w:r>
      <w:r w:rsidR="00BB3135">
        <w:rPr>
          <w:lang w:val="en-GB"/>
        </w:rPr>
        <w:t xml:space="preserve">specific </w:t>
      </w:r>
      <w:r w:rsidR="001E31C1" w:rsidRPr="009E1D3D">
        <w:rPr>
          <w:lang w:val="en-GB"/>
        </w:rPr>
        <w:t xml:space="preserve">conditions for the EU. The more clearly the EU signals that conditions are </w:t>
      </w:r>
      <w:r w:rsidR="001E31C1" w:rsidRPr="009E1D3D">
        <w:rPr>
          <w:i/>
          <w:lang w:val="en-GB"/>
        </w:rPr>
        <w:t>sine qua non</w:t>
      </w:r>
      <w:r w:rsidR="001E31C1" w:rsidRPr="009E1D3D">
        <w:rPr>
          <w:lang w:val="en-GB"/>
        </w:rPr>
        <w:t>, the more likely target governments are to prioritize and meet them.</w:t>
      </w:r>
    </w:p>
    <w:p w:rsidR="001E31C1" w:rsidRPr="009E1D3D" w:rsidRDefault="001E31C1" w:rsidP="006A5430">
      <w:pPr>
        <w:spacing w:line="480" w:lineRule="auto"/>
        <w:jc w:val="both"/>
        <w:rPr>
          <w:lang w:val="en-GB"/>
        </w:rPr>
      </w:pPr>
      <w:r w:rsidRPr="009E1D3D">
        <w:rPr>
          <w:i/>
          <w:lang w:val="en-GB"/>
        </w:rPr>
        <w:t>Credibility.</w:t>
      </w:r>
      <w:r w:rsidRPr="009E1D3D">
        <w:rPr>
          <w:lang w:val="en-GB"/>
        </w:rPr>
        <w:t xml:space="preserve"> Conditionality suffers from time-inconsistency because target governments need to meet the conditions befo</w:t>
      </w:r>
      <w:r w:rsidR="00796586" w:rsidRPr="009E1D3D">
        <w:rPr>
          <w:lang w:val="en-GB"/>
        </w:rPr>
        <w:t xml:space="preserve">re they receive the reward. </w:t>
      </w:r>
      <w:r w:rsidRPr="009E1D3D">
        <w:rPr>
          <w:lang w:val="en-GB"/>
        </w:rPr>
        <w:t xml:space="preserve">Credibility refers </w:t>
      </w:r>
      <w:r w:rsidR="00B73CF6" w:rsidRPr="009E1D3D">
        <w:rPr>
          <w:lang w:val="en-GB"/>
        </w:rPr>
        <w:t>to both the credibility of the EU’s threat to withhold the reward if conditions are not met and the</w:t>
      </w:r>
      <w:r w:rsidR="00796586" w:rsidRPr="009E1D3D">
        <w:rPr>
          <w:lang w:val="en-GB"/>
        </w:rPr>
        <w:t xml:space="preserve"> credibility of the EU’s promise to pay the reward once </w:t>
      </w:r>
      <w:r w:rsidR="00E82748" w:rsidRPr="009E1D3D">
        <w:rPr>
          <w:lang w:val="en-GB"/>
        </w:rPr>
        <w:t xml:space="preserve">they </w:t>
      </w:r>
      <w:r w:rsidR="00796586" w:rsidRPr="009E1D3D">
        <w:rPr>
          <w:lang w:val="en-GB"/>
        </w:rPr>
        <w:t>are met. The less the EU benefits from having a target state as a member or partner and the fewer alternative options to EU membership or association t</w:t>
      </w:r>
      <w:r w:rsidR="00B73CF6">
        <w:rPr>
          <w:lang w:val="en-GB"/>
        </w:rPr>
        <w:t>his</w:t>
      </w:r>
      <w:r w:rsidR="00796586" w:rsidRPr="009E1D3D">
        <w:rPr>
          <w:lang w:val="en-GB"/>
        </w:rPr>
        <w:t xml:space="preserve"> state has, the more credible is the EU</w:t>
      </w:r>
      <w:r w:rsidR="00AA4729" w:rsidRPr="009E1D3D">
        <w:rPr>
          <w:lang w:val="en-GB"/>
        </w:rPr>
        <w:t>’s threat</w:t>
      </w:r>
      <w:r w:rsidR="00796586" w:rsidRPr="009E1D3D">
        <w:rPr>
          <w:lang w:val="en-GB"/>
        </w:rPr>
        <w:t xml:space="preserve">. </w:t>
      </w:r>
      <w:r w:rsidR="00E04B25">
        <w:rPr>
          <w:lang w:val="en-GB"/>
        </w:rPr>
        <w:t xml:space="preserve">In addition, </w:t>
      </w:r>
      <w:r w:rsidR="004E0F2C" w:rsidRPr="009E1D3D">
        <w:rPr>
          <w:lang w:val="en-GB"/>
        </w:rPr>
        <w:t>the credibility of the t</w:t>
      </w:r>
      <w:r w:rsidR="00B73CF6">
        <w:rPr>
          <w:lang w:val="en-GB"/>
        </w:rPr>
        <w:t>h</w:t>
      </w:r>
      <w:r w:rsidR="004E0F2C" w:rsidRPr="009E1D3D">
        <w:rPr>
          <w:lang w:val="en-GB"/>
        </w:rPr>
        <w:t xml:space="preserve">reat increases </w:t>
      </w:r>
      <w:r w:rsidR="00B73CF6">
        <w:rPr>
          <w:lang w:val="en-GB"/>
        </w:rPr>
        <w:t>if the internal EU consensus</w:t>
      </w:r>
      <w:r w:rsidR="00B73CF6" w:rsidRPr="009E1D3D" w:rsidDel="00B73CF6">
        <w:rPr>
          <w:lang w:val="en-GB"/>
        </w:rPr>
        <w:t xml:space="preserve"> </w:t>
      </w:r>
      <w:r w:rsidR="004E0F2C" w:rsidRPr="009E1D3D">
        <w:rPr>
          <w:lang w:val="en-GB"/>
        </w:rPr>
        <w:t>on the desirability of enlargement</w:t>
      </w:r>
      <w:r w:rsidR="00B73CF6">
        <w:rPr>
          <w:lang w:val="en-GB"/>
        </w:rPr>
        <w:t xml:space="preserve"> is weak</w:t>
      </w:r>
      <w:r w:rsidR="004E0F2C" w:rsidRPr="009E1D3D">
        <w:rPr>
          <w:lang w:val="en-GB"/>
        </w:rPr>
        <w:t xml:space="preserve">. </w:t>
      </w:r>
      <w:r w:rsidR="00796586" w:rsidRPr="009E1D3D">
        <w:rPr>
          <w:lang w:val="en-GB"/>
        </w:rPr>
        <w:t xml:space="preserve">At the same time, superior bargaining power </w:t>
      </w:r>
      <w:r w:rsidR="0097624E" w:rsidRPr="009E1D3D">
        <w:rPr>
          <w:lang w:val="en-GB"/>
        </w:rPr>
        <w:t xml:space="preserve">and weaker consensus </w:t>
      </w:r>
      <w:r w:rsidR="00796586" w:rsidRPr="009E1D3D">
        <w:rPr>
          <w:lang w:val="en-GB"/>
        </w:rPr>
        <w:t xml:space="preserve">undermine the credibility of the promise. </w:t>
      </w:r>
      <w:r w:rsidR="00BB3135">
        <w:rPr>
          <w:lang w:val="en-GB"/>
        </w:rPr>
        <w:t>C</w:t>
      </w:r>
      <w:r w:rsidR="00796586" w:rsidRPr="009E1D3D">
        <w:rPr>
          <w:lang w:val="en-GB"/>
        </w:rPr>
        <w:t xml:space="preserve">redibility </w:t>
      </w:r>
      <w:r w:rsidR="00BB3135">
        <w:rPr>
          <w:lang w:val="en-GB"/>
        </w:rPr>
        <w:t>also depends on</w:t>
      </w:r>
      <w:r w:rsidR="00796586" w:rsidRPr="009E1D3D">
        <w:rPr>
          <w:lang w:val="en-GB"/>
        </w:rPr>
        <w:t xml:space="preserve"> the EU’s coherence and consistency</w:t>
      </w:r>
      <w:r w:rsidR="00BB3135">
        <w:rPr>
          <w:lang w:val="en-GB"/>
        </w:rPr>
        <w:t xml:space="preserve"> in applying conditionality</w:t>
      </w:r>
      <w:r w:rsidR="00796586" w:rsidRPr="009E1D3D">
        <w:rPr>
          <w:lang w:val="en-GB"/>
        </w:rPr>
        <w:t xml:space="preserve">. </w:t>
      </w:r>
      <w:r w:rsidR="005A44DE" w:rsidRPr="009E1D3D">
        <w:rPr>
          <w:lang w:val="en-GB"/>
        </w:rPr>
        <w:t xml:space="preserve">The more the EU speaks with one voice, and consistently </w:t>
      </w:r>
      <w:r w:rsidR="00BB3135">
        <w:rPr>
          <w:lang w:val="en-GB"/>
        </w:rPr>
        <w:t>rewards compliance</w:t>
      </w:r>
      <w:r w:rsidR="00BB3135" w:rsidRPr="009E1D3D">
        <w:rPr>
          <w:lang w:val="en-GB"/>
        </w:rPr>
        <w:t xml:space="preserve"> </w:t>
      </w:r>
      <w:r w:rsidR="005A44DE" w:rsidRPr="009E1D3D">
        <w:rPr>
          <w:lang w:val="en-GB"/>
        </w:rPr>
        <w:t xml:space="preserve">over time and across target countries, the more credible its threats and promises are. </w:t>
      </w:r>
      <w:r w:rsidR="003E68EE" w:rsidRPr="009E1D3D">
        <w:rPr>
          <w:lang w:val="en-GB"/>
        </w:rPr>
        <w:t xml:space="preserve">Finally, </w:t>
      </w:r>
      <w:r w:rsidR="005A44DE" w:rsidRPr="009E1D3D">
        <w:rPr>
          <w:lang w:val="en-GB"/>
        </w:rPr>
        <w:t xml:space="preserve">‘cross-conditionality’ </w:t>
      </w:r>
      <w:r w:rsidR="00F64EA5" w:rsidRPr="009E1D3D">
        <w:rPr>
          <w:lang w:val="en-GB"/>
        </w:rPr>
        <w:t xml:space="preserve">– incompatible conditions set </w:t>
      </w:r>
      <w:r w:rsidR="005A44DE" w:rsidRPr="009E1D3D">
        <w:rPr>
          <w:lang w:val="en-GB"/>
        </w:rPr>
        <w:t>by other international actors who offer comp</w:t>
      </w:r>
      <w:r w:rsidR="003E68EE" w:rsidRPr="009E1D3D">
        <w:rPr>
          <w:lang w:val="en-GB"/>
        </w:rPr>
        <w:t xml:space="preserve">arable rewards at lower costs </w:t>
      </w:r>
      <w:r w:rsidR="00F64EA5" w:rsidRPr="009E1D3D">
        <w:rPr>
          <w:lang w:val="en-GB"/>
        </w:rPr>
        <w:t xml:space="preserve">– </w:t>
      </w:r>
      <w:r w:rsidR="003E68EE" w:rsidRPr="009E1D3D">
        <w:rPr>
          <w:lang w:val="en-GB"/>
        </w:rPr>
        <w:t>de</w:t>
      </w:r>
      <w:r w:rsidR="005A44DE" w:rsidRPr="009E1D3D">
        <w:rPr>
          <w:lang w:val="en-GB"/>
        </w:rPr>
        <w:t>creases the credibility of EU conditionality.</w:t>
      </w:r>
    </w:p>
    <w:p w:rsidR="005F31B3" w:rsidRDefault="005F31B3" w:rsidP="006A5430">
      <w:pPr>
        <w:spacing w:line="480" w:lineRule="auto"/>
        <w:jc w:val="both"/>
        <w:rPr>
          <w:lang w:val="en-GB"/>
        </w:rPr>
      </w:pPr>
      <w:r w:rsidRPr="009E1D3D">
        <w:rPr>
          <w:i/>
          <w:lang w:val="en-GB"/>
        </w:rPr>
        <w:t xml:space="preserve">Costs. </w:t>
      </w:r>
      <w:r w:rsidR="004437E7">
        <w:rPr>
          <w:lang w:val="en-GB"/>
        </w:rPr>
        <w:t xml:space="preserve">While the first three conditions are all in the hands of the EU and depend on how the EU </w:t>
      </w:r>
      <w:r w:rsidR="00BB3135">
        <w:rPr>
          <w:lang w:val="en-GB"/>
        </w:rPr>
        <w:t>uses</w:t>
      </w:r>
      <w:r w:rsidR="004437E7">
        <w:rPr>
          <w:lang w:val="en-GB"/>
        </w:rPr>
        <w:t xml:space="preserve"> its conditionality, the last condition cannot be directly influenced by the </w:t>
      </w:r>
      <w:r w:rsidR="006826C0">
        <w:rPr>
          <w:lang w:val="en-GB"/>
        </w:rPr>
        <w:t xml:space="preserve">EU </w:t>
      </w:r>
      <w:r w:rsidR="004437E7">
        <w:rPr>
          <w:lang w:val="en-GB"/>
        </w:rPr>
        <w:t xml:space="preserve">and </w:t>
      </w:r>
      <w:r w:rsidR="00121A79">
        <w:rPr>
          <w:lang w:val="en-GB"/>
        </w:rPr>
        <w:t xml:space="preserve">depends on the domestic situation in target countries: the domestic costs of adopting EU rules. </w:t>
      </w:r>
      <w:r w:rsidRPr="009E1D3D">
        <w:rPr>
          <w:lang w:val="en-GB"/>
        </w:rPr>
        <w:t xml:space="preserve">For any given size and speed of rewards, determinacy of conditions, and credibility of conditionality, it is the size of domestic adoption costs that determines whether target governments will meet the EU’s conditions. These costs can have various sources. First, target governments are unwilling to meet conditions </w:t>
      </w:r>
      <w:r w:rsidR="00F64EA5" w:rsidRPr="009E1D3D">
        <w:rPr>
          <w:lang w:val="en-GB"/>
        </w:rPr>
        <w:t xml:space="preserve">if </w:t>
      </w:r>
      <w:r w:rsidR="00B73CF6">
        <w:rPr>
          <w:lang w:val="en-GB"/>
        </w:rPr>
        <w:t xml:space="preserve">compliance </w:t>
      </w:r>
      <w:r w:rsidR="00F64EA5" w:rsidRPr="009E1D3D">
        <w:rPr>
          <w:lang w:val="en-GB"/>
        </w:rPr>
        <w:t>might lead them</w:t>
      </w:r>
      <w:r w:rsidRPr="009E1D3D">
        <w:rPr>
          <w:lang w:val="en-GB"/>
        </w:rPr>
        <w:t xml:space="preserve"> to lose elections, coalition partners, and power as a result</w:t>
      </w:r>
      <w:r w:rsidR="00E82748" w:rsidRPr="009E1D3D">
        <w:rPr>
          <w:lang w:val="en-GB"/>
        </w:rPr>
        <w:t xml:space="preserve">. </w:t>
      </w:r>
      <w:r w:rsidRPr="009E1D3D">
        <w:rPr>
          <w:lang w:val="en-GB"/>
        </w:rPr>
        <w:t>Second, EU conditions may</w:t>
      </w:r>
      <w:r w:rsidR="00D750F1" w:rsidRPr="009E1D3D">
        <w:rPr>
          <w:lang w:val="en-GB"/>
        </w:rPr>
        <w:t xml:space="preserve"> harm institutional or societal actors with the capacity to block their adoption</w:t>
      </w:r>
      <w:r w:rsidR="00F667F5" w:rsidRPr="009E1D3D">
        <w:rPr>
          <w:lang w:val="en-GB"/>
        </w:rPr>
        <w:t xml:space="preserve"> (‘veto players’)</w:t>
      </w:r>
      <w:r w:rsidR="00D750F1" w:rsidRPr="009E1D3D">
        <w:rPr>
          <w:lang w:val="en-GB"/>
        </w:rPr>
        <w:t>. Adoption costs rise with the number of negatively affected veto players. By contrast, if EU conditions and rewards are more popular among the electorate, interest groups, opposition parties, and state institutions than in the government, the government will be more likely to comply.</w:t>
      </w:r>
      <w:r w:rsidR="0052412F" w:rsidRPr="009E1D3D">
        <w:rPr>
          <w:lang w:val="en-GB"/>
        </w:rPr>
        <w:t xml:space="preserve"> </w:t>
      </w:r>
      <w:r w:rsidR="00D750F1" w:rsidRPr="009E1D3D">
        <w:rPr>
          <w:lang w:val="en-GB"/>
        </w:rPr>
        <w:t xml:space="preserve">Third, the government may be willing </w:t>
      </w:r>
      <w:r w:rsidR="00F64EA5" w:rsidRPr="009E1D3D">
        <w:rPr>
          <w:lang w:val="en-GB"/>
        </w:rPr>
        <w:t xml:space="preserve">to meet the conditions, </w:t>
      </w:r>
      <w:r w:rsidR="00D750F1" w:rsidRPr="009E1D3D">
        <w:rPr>
          <w:lang w:val="en-GB"/>
        </w:rPr>
        <w:t xml:space="preserve">but lack the </w:t>
      </w:r>
      <w:r w:rsidR="00F64EA5" w:rsidRPr="009E1D3D">
        <w:rPr>
          <w:lang w:val="en-GB"/>
        </w:rPr>
        <w:t xml:space="preserve">financial or administrative </w:t>
      </w:r>
      <w:r w:rsidR="00D750F1" w:rsidRPr="009E1D3D">
        <w:rPr>
          <w:lang w:val="en-GB"/>
        </w:rPr>
        <w:t>capacity</w:t>
      </w:r>
      <w:r w:rsidR="00F64EA5" w:rsidRPr="009E1D3D">
        <w:rPr>
          <w:lang w:val="en-GB"/>
        </w:rPr>
        <w:t xml:space="preserve"> and expertise</w:t>
      </w:r>
      <w:r w:rsidR="00D750F1" w:rsidRPr="009E1D3D">
        <w:rPr>
          <w:lang w:val="en-GB"/>
        </w:rPr>
        <w:t xml:space="preserve"> </w:t>
      </w:r>
      <w:r w:rsidR="00F64EA5" w:rsidRPr="009E1D3D">
        <w:rPr>
          <w:lang w:val="en-GB"/>
        </w:rPr>
        <w:t>to</w:t>
      </w:r>
      <w:r w:rsidR="00D750F1" w:rsidRPr="009E1D3D">
        <w:rPr>
          <w:lang w:val="en-GB"/>
        </w:rPr>
        <w:t xml:space="preserve"> implement the</w:t>
      </w:r>
      <w:r w:rsidR="00F64EA5" w:rsidRPr="009E1D3D">
        <w:rPr>
          <w:lang w:val="en-GB"/>
        </w:rPr>
        <w:t>m</w:t>
      </w:r>
      <w:r w:rsidR="00D750F1" w:rsidRPr="009E1D3D">
        <w:rPr>
          <w:lang w:val="en-GB"/>
        </w:rPr>
        <w:t xml:space="preserve">. </w:t>
      </w:r>
    </w:p>
    <w:p w:rsidR="000C692D" w:rsidRDefault="000C692D" w:rsidP="006A5430">
      <w:pPr>
        <w:spacing w:line="480" w:lineRule="auto"/>
        <w:jc w:val="both"/>
        <w:rPr>
          <w:lang w:val="en-GB"/>
        </w:rPr>
      </w:pPr>
    </w:p>
    <w:p w:rsidR="000C692D" w:rsidRPr="00B1722F" w:rsidRDefault="001109C6" w:rsidP="006A5430">
      <w:pPr>
        <w:spacing w:line="480" w:lineRule="auto"/>
        <w:jc w:val="both"/>
        <w:rPr>
          <w:b/>
          <w:lang w:val="en-GB"/>
        </w:rPr>
      </w:pPr>
      <w:r>
        <w:rPr>
          <w:b/>
          <w:lang w:val="en-GB"/>
        </w:rPr>
        <w:t>R</w:t>
      </w:r>
      <w:r w:rsidR="000C692D" w:rsidRPr="00B1722F">
        <w:rPr>
          <w:b/>
          <w:lang w:val="en-GB"/>
        </w:rPr>
        <w:t>esearch design</w:t>
      </w:r>
    </w:p>
    <w:p w:rsidR="000C692D" w:rsidRDefault="000C692D" w:rsidP="006A5430">
      <w:pPr>
        <w:spacing w:line="480" w:lineRule="auto"/>
        <w:jc w:val="both"/>
        <w:rPr>
          <w:lang w:val="en-GB"/>
        </w:rPr>
      </w:pPr>
      <w:r>
        <w:rPr>
          <w:lang w:val="en-GB"/>
        </w:rPr>
        <w:t xml:space="preserve">We extend the application of the EIM beyond the original context of the CEE pre-accession period, first, to the CEE post-accession period and, second, to the SEE pre-accession period. This design </w:t>
      </w:r>
      <w:r w:rsidR="00136A1C">
        <w:rPr>
          <w:lang w:val="en-GB"/>
        </w:rPr>
        <w:t>makes a ‘dynamic comparison’ (</w:t>
      </w:r>
      <w:proofErr w:type="spellStart"/>
      <w:r w:rsidR="00136A1C">
        <w:rPr>
          <w:lang w:val="en-GB"/>
        </w:rPr>
        <w:t>Gerring</w:t>
      </w:r>
      <w:proofErr w:type="spellEnd"/>
      <w:r w:rsidR="00136A1C">
        <w:rPr>
          <w:lang w:val="en-GB"/>
        </w:rPr>
        <w:t xml:space="preserve"> 2007: 152-4) that </w:t>
      </w:r>
      <w:r>
        <w:rPr>
          <w:lang w:val="en-GB"/>
        </w:rPr>
        <w:t>combines a temporal comparison (for the CEECs) with a spatial comparison (be</w:t>
      </w:r>
      <w:r w:rsidR="003C7532">
        <w:rPr>
          <w:lang w:val="en-GB"/>
        </w:rPr>
        <w:t xml:space="preserve">tween CEE and SEE) </w:t>
      </w:r>
      <w:r w:rsidR="00136A1C">
        <w:rPr>
          <w:lang w:val="en-GB"/>
        </w:rPr>
        <w:t>and a comparison across issue areas (</w:t>
      </w:r>
      <w:r>
        <w:rPr>
          <w:lang w:val="en-GB"/>
        </w:rPr>
        <w:t xml:space="preserve">between democratic conditionality and </w:t>
      </w:r>
      <w:r w:rsidRPr="00B1722F">
        <w:rPr>
          <w:i/>
          <w:lang w:val="en-GB"/>
        </w:rPr>
        <w:t>acquis</w:t>
      </w:r>
      <w:r>
        <w:rPr>
          <w:lang w:val="en-GB"/>
        </w:rPr>
        <w:t xml:space="preserve"> conditionality</w:t>
      </w:r>
      <w:r w:rsidR="00136A1C">
        <w:rPr>
          <w:lang w:val="en-GB"/>
        </w:rPr>
        <w:t>;</w:t>
      </w:r>
      <w:r>
        <w:rPr>
          <w:lang w:val="en-GB"/>
        </w:rPr>
        <w:t xml:space="preserve"> as in the original framework). For the SEE pre-accession period, we focus </w:t>
      </w:r>
      <w:r w:rsidR="00136A1C">
        <w:rPr>
          <w:lang w:val="en-GB"/>
        </w:rPr>
        <w:t xml:space="preserve">only </w:t>
      </w:r>
      <w:r>
        <w:rPr>
          <w:lang w:val="en-GB"/>
        </w:rPr>
        <w:t xml:space="preserve">on democratic conditionality, because many countries of the region either have not </w:t>
      </w:r>
      <w:r w:rsidR="000A36AB">
        <w:rPr>
          <w:lang w:val="en-GB"/>
        </w:rPr>
        <w:t xml:space="preserve">yet </w:t>
      </w:r>
      <w:r>
        <w:rPr>
          <w:lang w:val="en-GB"/>
        </w:rPr>
        <w:t>started accession negotiations or have not advanced far.</w:t>
      </w:r>
      <w:r w:rsidR="000A36AB">
        <w:rPr>
          <w:lang w:val="en-GB"/>
        </w:rPr>
        <w:t xml:space="preserve"> </w:t>
      </w:r>
      <w:r w:rsidR="000A36AB" w:rsidRPr="008D498C">
        <w:rPr>
          <w:lang w:val="en-GB"/>
        </w:rPr>
        <w:t>We</w:t>
      </w:r>
      <w:r w:rsidR="009D6A97">
        <w:rPr>
          <w:lang w:val="en-GB"/>
        </w:rPr>
        <w:t xml:space="preserve"> also</w:t>
      </w:r>
      <w:r w:rsidR="000A36AB" w:rsidRPr="008D498C">
        <w:rPr>
          <w:lang w:val="en-GB"/>
        </w:rPr>
        <w:t xml:space="preserve"> </w:t>
      </w:r>
      <w:r w:rsidR="009D6A97">
        <w:rPr>
          <w:lang w:val="en-GB"/>
        </w:rPr>
        <w:t>do not</w:t>
      </w:r>
      <w:r w:rsidR="000A36AB" w:rsidRPr="008D498C">
        <w:rPr>
          <w:lang w:val="en-GB"/>
        </w:rPr>
        <w:t xml:space="preserve"> includ</w:t>
      </w:r>
      <w:r w:rsidR="009D6A97">
        <w:rPr>
          <w:lang w:val="en-GB"/>
        </w:rPr>
        <w:t>e</w:t>
      </w:r>
      <w:r w:rsidR="000A36AB" w:rsidRPr="008D498C">
        <w:rPr>
          <w:lang w:val="en-GB"/>
        </w:rPr>
        <w:t xml:space="preserve"> </w:t>
      </w:r>
      <w:r w:rsidR="000A36AB">
        <w:rPr>
          <w:lang w:val="en-GB"/>
        </w:rPr>
        <w:t xml:space="preserve">the European Neighbourhood Policy </w:t>
      </w:r>
      <w:r w:rsidR="00DE2B3E">
        <w:rPr>
          <w:lang w:val="en-GB"/>
        </w:rPr>
        <w:t xml:space="preserve">(ENP) </w:t>
      </w:r>
      <w:r w:rsidR="000A36AB">
        <w:rPr>
          <w:lang w:val="en-GB"/>
        </w:rPr>
        <w:t xml:space="preserve">as </w:t>
      </w:r>
      <w:r w:rsidR="00DE2B3E">
        <w:rPr>
          <w:lang w:val="en-GB"/>
        </w:rPr>
        <w:t xml:space="preserve">an </w:t>
      </w:r>
      <w:r w:rsidR="000A36AB" w:rsidRPr="008D498C">
        <w:rPr>
          <w:lang w:val="en-GB"/>
        </w:rPr>
        <w:t>additional context</w:t>
      </w:r>
      <w:r w:rsidR="009D6A97">
        <w:rPr>
          <w:lang w:val="en-GB"/>
        </w:rPr>
        <w:t xml:space="preserve">. </w:t>
      </w:r>
      <w:r w:rsidR="00DE2B3E">
        <w:rPr>
          <w:lang w:val="en-GB"/>
        </w:rPr>
        <w:t xml:space="preserve">ENP </w:t>
      </w:r>
      <w:r w:rsidR="000A36AB" w:rsidRPr="008D498C">
        <w:rPr>
          <w:lang w:val="en-GB"/>
        </w:rPr>
        <w:t>countries do not have an official memb</w:t>
      </w:r>
      <w:r w:rsidR="000A36AB">
        <w:rPr>
          <w:lang w:val="en-GB"/>
        </w:rPr>
        <w:t>ership perspective</w:t>
      </w:r>
      <w:r w:rsidR="009D6A97">
        <w:rPr>
          <w:lang w:val="en-GB"/>
        </w:rPr>
        <w:t xml:space="preserve">, </w:t>
      </w:r>
      <w:r w:rsidR="00136A1C">
        <w:rPr>
          <w:lang w:val="en-GB"/>
        </w:rPr>
        <w:t xml:space="preserve">and </w:t>
      </w:r>
      <w:r w:rsidR="009D6A97">
        <w:rPr>
          <w:lang w:val="en-GB"/>
        </w:rPr>
        <w:t>rewards are low</w:t>
      </w:r>
      <w:r w:rsidR="00136A1C">
        <w:rPr>
          <w:lang w:val="en-GB"/>
        </w:rPr>
        <w:t xml:space="preserve">. </w:t>
      </w:r>
      <w:proofErr w:type="spellStart"/>
      <w:r w:rsidR="00136A1C">
        <w:rPr>
          <w:lang w:val="en-GB"/>
        </w:rPr>
        <w:t>An</w:t>
      </w:r>
      <w:proofErr w:type="spellEnd"/>
      <w:r w:rsidR="00DE2B3E">
        <w:rPr>
          <w:lang w:val="en-GB"/>
        </w:rPr>
        <w:t xml:space="preserve">, at best, weak Europeanization </w:t>
      </w:r>
      <w:r w:rsidR="009D6A97">
        <w:rPr>
          <w:lang w:val="en-GB"/>
        </w:rPr>
        <w:t xml:space="preserve">outcome </w:t>
      </w:r>
      <w:r w:rsidR="00136A1C">
        <w:rPr>
          <w:lang w:val="en-GB"/>
        </w:rPr>
        <w:t xml:space="preserve">then </w:t>
      </w:r>
      <w:r w:rsidR="00DE2B3E">
        <w:rPr>
          <w:lang w:val="en-GB"/>
        </w:rPr>
        <w:t xml:space="preserve">appears trivial.  </w:t>
      </w:r>
      <w:r w:rsidR="00962069">
        <w:rPr>
          <w:lang w:val="en-GB"/>
        </w:rPr>
        <w:t>The more informative comparison is between the</w:t>
      </w:r>
      <w:r w:rsidR="00DE2B3E">
        <w:rPr>
          <w:lang w:val="en-GB"/>
        </w:rPr>
        <w:t xml:space="preserve"> CEE and SEE pre-accession contexts, which both </w:t>
      </w:r>
      <w:r w:rsidR="00962069">
        <w:rPr>
          <w:lang w:val="en-GB"/>
        </w:rPr>
        <w:t>feature a membership promise.</w:t>
      </w:r>
      <w:r w:rsidR="00DE2B3E">
        <w:rPr>
          <w:lang w:val="en-GB"/>
        </w:rPr>
        <w:t xml:space="preserve"> </w:t>
      </w:r>
      <w:r w:rsidR="009D6A97">
        <w:rPr>
          <w:lang w:val="en-GB"/>
        </w:rPr>
        <w:t>In sum</w:t>
      </w:r>
      <w:r w:rsidR="000A36AB" w:rsidRPr="008D498C">
        <w:rPr>
          <w:lang w:val="en-GB"/>
        </w:rPr>
        <w:t xml:space="preserve">, we </w:t>
      </w:r>
      <w:r w:rsidR="000A36AB">
        <w:rPr>
          <w:lang w:val="en-GB"/>
        </w:rPr>
        <w:t xml:space="preserve">study </w:t>
      </w:r>
      <w:r w:rsidR="00166B0E">
        <w:rPr>
          <w:lang w:val="en-GB"/>
        </w:rPr>
        <w:t xml:space="preserve">the most </w:t>
      </w:r>
      <w:r w:rsidR="000A36AB" w:rsidRPr="008D498C">
        <w:rPr>
          <w:lang w:val="en-GB"/>
        </w:rPr>
        <w:t xml:space="preserve">relevant </w:t>
      </w:r>
      <w:r w:rsidR="00B16C37">
        <w:rPr>
          <w:lang w:val="en-GB"/>
        </w:rPr>
        <w:t xml:space="preserve">and theoretically challenging </w:t>
      </w:r>
      <w:r w:rsidR="000A36AB" w:rsidRPr="008D498C">
        <w:rPr>
          <w:lang w:val="en-GB"/>
        </w:rPr>
        <w:t xml:space="preserve">additional contexts </w:t>
      </w:r>
      <w:r w:rsidR="00166B0E">
        <w:rPr>
          <w:lang w:val="en-GB"/>
        </w:rPr>
        <w:t>of Europeanization in Eastern Europe</w:t>
      </w:r>
      <w:r w:rsidR="00166B0E" w:rsidRPr="008D498C">
        <w:rPr>
          <w:lang w:val="en-GB"/>
        </w:rPr>
        <w:t xml:space="preserve"> </w:t>
      </w:r>
      <w:r w:rsidR="000A36AB" w:rsidRPr="008D498C">
        <w:rPr>
          <w:lang w:val="en-GB"/>
        </w:rPr>
        <w:t>beyond CEE pre-accession</w:t>
      </w:r>
      <w:r w:rsidR="00166B0E">
        <w:rPr>
          <w:lang w:val="en-GB"/>
        </w:rPr>
        <w:t xml:space="preserve">. We </w:t>
      </w:r>
      <w:r w:rsidR="000A36AB" w:rsidRPr="008D498C">
        <w:rPr>
          <w:lang w:val="en-GB"/>
        </w:rPr>
        <w:t>expect</w:t>
      </w:r>
      <w:r w:rsidR="00166B0E">
        <w:rPr>
          <w:lang w:val="en-GB"/>
        </w:rPr>
        <w:t xml:space="preserve"> </w:t>
      </w:r>
      <w:r w:rsidR="000A36AB" w:rsidRPr="008D498C">
        <w:rPr>
          <w:lang w:val="en-GB"/>
        </w:rPr>
        <w:t xml:space="preserve">that </w:t>
      </w:r>
      <w:r w:rsidR="00166B0E">
        <w:rPr>
          <w:lang w:val="en-GB"/>
        </w:rPr>
        <w:t xml:space="preserve">with the combination of spatial and temporal comparison, </w:t>
      </w:r>
      <w:r w:rsidR="000A36AB" w:rsidRPr="008D498C">
        <w:rPr>
          <w:lang w:val="en-GB"/>
        </w:rPr>
        <w:t xml:space="preserve">one or several conditions of the EIM will vary and </w:t>
      </w:r>
      <w:r w:rsidR="00166B0E">
        <w:rPr>
          <w:lang w:val="en-GB"/>
        </w:rPr>
        <w:t xml:space="preserve">offer us maximum leverage </w:t>
      </w:r>
      <w:r w:rsidR="000A36AB" w:rsidRPr="008D498C">
        <w:rPr>
          <w:lang w:val="en-GB"/>
        </w:rPr>
        <w:t>to draw conclusions on their causal relevance.</w:t>
      </w:r>
      <w:r w:rsidR="009D6A97">
        <w:rPr>
          <w:lang w:val="en-GB"/>
        </w:rPr>
        <w:t xml:space="preserve"> </w:t>
      </w:r>
    </w:p>
    <w:p w:rsidR="000C692D" w:rsidRDefault="000C692D" w:rsidP="006A5430">
      <w:pPr>
        <w:spacing w:line="480" w:lineRule="auto"/>
        <w:jc w:val="both"/>
        <w:rPr>
          <w:lang w:val="en-GB"/>
        </w:rPr>
      </w:pPr>
      <w:r>
        <w:rPr>
          <w:lang w:val="en-GB"/>
        </w:rPr>
        <w:t xml:space="preserve">Table 1 shows the overall setup of the study with the five contexts (cases). It </w:t>
      </w:r>
      <w:r w:rsidR="00E31D6B">
        <w:rPr>
          <w:lang w:val="en-GB"/>
        </w:rPr>
        <w:t>depicts</w:t>
      </w:r>
      <w:r>
        <w:rPr>
          <w:lang w:val="en-GB"/>
        </w:rPr>
        <w:t xml:space="preserve"> the variation </w:t>
      </w:r>
      <w:r w:rsidR="00840EBE">
        <w:rPr>
          <w:lang w:val="en-GB"/>
        </w:rPr>
        <w:t xml:space="preserve">across cases </w:t>
      </w:r>
      <w:r w:rsidR="00FC176C">
        <w:rPr>
          <w:lang w:val="en-GB"/>
        </w:rPr>
        <w:t xml:space="preserve">with regard to </w:t>
      </w:r>
      <w:r>
        <w:rPr>
          <w:lang w:val="en-GB"/>
        </w:rPr>
        <w:t xml:space="preserve">the </w:t>
      </w:r>
      <w:r w:rsidR="00FC176C">
        <w:rPr>
          <w:lang w:val="en-GB"/>
        </w:rPr>
        <w:t xml:space="preserve">four </w:t>
      </w:r>
      <w:r>
        <w:rPr>
          <w:lang w:val="en-GB"/>
        </w:rPr>
        <w:t xml:space="preserve">explanatory </w:t>
      </w:r>
      <w:r w:rsidR="00FC176C">
        <w:rPr>
          <w:lang w:val="en-GB"/>
        </w:rPr>
        <w:t xml:space="preserve">conditions </w:t>
      </w:r>
      <w:r>
        <w:rPr>
          <w:lang w:val="en-GB"/>
        </w:rPr>
        <w:t xml:space="preserve">and the </w:t>
      </w:r>
      <w:r w:rsidR="00FC176C">
        <w:rPr>
          <w:lang w:val="en-GB"/>
        </w:rPr>
        <w:t>outcome (target government compliance with EU conditions)</w:t>
      </w:r>
      <w:r>
        <w:rPr>
          <w:lang w:val="en-GB"/>
        </w:rPr>
        <w:t>.</w:t>
      </w:r>
      <w:r w:rsidR="00FC176C">
        <w:rPr>
          <w:lang w:val="en-GB"/>
        </w:rPr>
        <w:t xml:space="preserve"> A ‘+’ sign indicates that the value of an explanatory condition is favourable, and a ‘</w:t>
      </w:r>
      <w:proofErr w:type="gramStart"/>
      <w:r w:rsidR="00FC176C">
        <w:rPr>
          <w:lang w:val="en-GB"/>
        </w:rPr>
        <w:t>-‘ sign</w:t>
      </w:r>
      <w:proofErr w:type="gramEnd"/>
      <w:r w:rsidR="00FC176C">
        <w:rPr>
          <w:lang w:val="en-GB"/>
        </w:rPr>
        <w:t xml:space="preserve"> that it is unfavourable. Moreover, for ‘rewards’ we distinguish between </w:t>
      </w:r>
      <w:r w:rsidR="00E31D6B">
        <w:rPr>
          <w:lang w:val="en-GB"/>
        </w:rPr>
        <w:t>favourable (+) and highly favourable (++) values, depending on whether the reward in question is EU membership. For the outcome, ‘+’ denotes the presence</w:t>
      </w:r>
      <w:r w:rsidR="00FB2303">
        <w:rPr>
          <w:lang w:val="en-GB"/>
        </w:rPr>
        <w:t>,</w:t>
      </w:r>
      <w:r w:rsidR="00E31D6B">
        <w:rPr>
          <w:lang w:val="en-GB"/>
        </w:rPr>
        <w:t xml:space="preserve"> and ‘-’ the absence</w:t>
      </w:r>
      <w:r w:rsidR="00FB2303">
        <w:rPr>
          <w:lang w:val="en-GB"/>
        </w:rPr>
        <w:t>,</w:t>
      </w:r>
      <w:r w:rsidR="00E31D6B">
        <w:rPr>
          <w:lang w:val="en-GB"/>
        </w:rPr>
        <w:t xml:space="preserve"> of compliance.</w:t>
      </w:r>
    </w:p>
    <w:p w:rsidR="000C692D" w:rsidRPr="009E1D3D" w:rsidRDefault="000C692D" w:rsidP="00EB6EFC">
      <w:pPr>
        <w:jc w:val="both"/>
        <w:rPr>
          <w:lang w:val="en-GB"/>
        </w:rPr>
      </w:pPr>
    </w:p>
    <w:p w:rsidR="000C692D" w:rsidRPr="009E1D3D" w:rsidRDefault="000C692D" w:rsidP="00EB6EFC">
      <w:pPr>
        <w:jc w:val="both"/>
        <w:outlineLvl w:val="0"/>
        <w:rPr>
          <w:i/>
          <w:lang w:val="en-GB"/>
        </w:rPr>
      </w:pPr>
      <w:r w:rsidRPr="009E1D3D">
        <w:rPr>
          <w:i/>
          <w:lang w:val="en-GB"/>
        </w:rPr>
        <w:t>Table 1: General configurations of conditions in CEE and SEE accession contexts</w:t>
      </w:r>
    </w:p>
    <w:tbl>
      <w:tblPr>
        <w:tblStyle w:val="GridTable2"/>
        <w:tblW w:w="9148" w:type="dxa"/>
        <w:tblLayout w:type="fixed"/>
        <w:tblLook w:val="04A0" w:firstRow="1" w:lastRow="0" w:firstColumn="1" w:lastColumn="0" w:noHBand="0" w:noVBand="1"/>
      </w:tblPr>
      <w:tblGrid>
        <w:gridCol w:w="3261"/>
        <w:gridCol w:w="1134"/>
        <w:gridCol w:w="1417"/>
        <w:gridCol w:w="1276"/>
        <w:gridCol w:w="782"/>
        <w:gridCol w:w="1278"/>
      </w:tblGrid>
      <w:tr w:rsidR="000C692D" w:rsidRPr="009E1D3D" w:rsidTr="00840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EB6EFC">
            <w:pPr>
              <w:jc w:val="both"/>
              <w:rPr>
                <w:lang w:val="en-GB"/>
              </w:rPr>
            </w:pPr>
          </w:p>
        </w:tc>
        <w:tc>
          <w:tcPr>
            <w:tcW w:w="1134" w:type="dxa"/>
          </w:tcPr>
          <w:p w:rsidR="000C692D" w:rsidRPr="009E1D3D" w:rsidRDefault="000C692D" w:rsidP="00EB6EFC">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Rewards</w:t>
            </w:r>
          </w:p>
        </w:tc>
        <w:tc>
          <w:tcPr>
            <w:tcW w:w="1417" w:type="dxa"/>
          </w:tcPr>
          <w:p w:rsidR="000C692D" w:rsidRPr="009E1D3D" w:rsidRDefault="000C692D" w:rsidP="00EB6EFC">
            <w:pPr>
              <w:jc w:val="both"/>
              <w:cnfStyle w:val="100000000000" w:firstRow="1" w:lastRow="0" w:firstColumn="0" w:lastColumn="0" w:oddVBand="0" w:evenVBand="0" w:oddHBand="0" w:evenHBand="0" w:firstRowFirstColumn="0" w:firstRowLastColumn="0" w:lastRowFirstColumn="0" w:lastRowLastColumn="0"/>
              <w:rPr>
                <w:lang w:val="en-GB"/>
              </w:rPr>
            </w:pPr>
            <w:r>
              <w:rPr>
                <w:lang w:val="en-GB"/>
              </w:rPr>
              <w:t>Determinacy</w:t>
            </w:r>
          </w:p>
        </w:tc>
        <w:tc>
          <w:tcPr>
            <w:tcW w:w="1276" w:type="dxa"/>
          </w:tcPr>
          <w:p w:rsidR="000C692D" w:rsidRPr="009E1D3D" w:rsidRDefault="000C692D" w:rsidP="00EB6EFC">
            <w:pPr>
              <w:jc w:val="both"/>
              <w:cnfStyle w:val="100000000000" w:firstRow="1" w:lastRow="0" w:firstColumn="0" w:lastColumn="0" w:oddVBand="0" w:evenVBand="0" w:oddHBand="0" w:evenHBand="0" w:firstRowFirstColumn="0" w:firstRowLastColumn="0" w:lastRowFirstColumn="0" w:lastRowLastColumn="0"/>
              <w:rPr>
                <w:lang w:val="en-GB"/>
              </w:rPr>
            </w:pPr>
            <w:r w:rsidRPr="009E1D3D">
              <w:rPr>
                <w:lang w:val="en-GB"/>
              </w:rPr>
              <w:t>Credibility</w:t>
            </w:r>
          </w:p>
        </w:tc>
        <w:tc>
          <w:tcPr>
            <w:tcW w:w="782" w:type="dxa"/>
          </w:tcPr>
          <w:p w:rsidR="000C692D" w:rsidRPr="009E1D3D" w:rsidRDefault="000C692D" w:rsidP="00EB6EFC">
            <w:pPr>
              <w:jc w:val="both"/>
              <w:cnfStyle w:val="100000000000" w:firstRow="1" w:lastRow="0" w:firstColumn="0" w:lastColumn="0" w:oddVBand="0" w:evenVBand="0" w:oddHBand="0" w:evenHBand="0" w:firstRowFirstColumn="0" w:firstRowLastColumn="0" w:lastRowFirstColumn="0" w:lastRowLastColumn="0"/>
              <w:rPr>
                <w:lang w:val="en-GB"/>
              </w:rPr>
            </w:pPr>
            <w:r w:rsidRPr="009E1D3D">
              <w:rPr>
                <w:lang w:val="en-GB"/>
              </w:rPr>
              <w:t>Costs</w:t>
            </w:r>
          </w:p>
        </w:tc>
        <w:tc>
          <w:tcPr>
            <w:tcW w:w="1278" w:type="dxa"/>
          </w:tcPr>
          <w:p w:rsidR="000C692D" w:rsidRPr="00AD0DD9" w:rsidRDefault="000C692D" w:rsidP="00EB6EFC">
            <w:pPr>
              <w:jc w:val="both"/>
              <w:cnfStyle w:val="100000000000" w:firstRow="1" w:lastRow="0" w:firstColumn="0" w:lastColumn="0" w:oddVBand="0" w:evenVBand="0" w:oddHBand="0" w:evenHBand="0" w:firstRowFirstColumn="0" w:firstRowLastColumn="0" w:lastRowFirstColumn="0" w:lastRowLastColumn="0"/>
              <w:rPr>
                <w:i/>
                <w:lang w:val="en-GB"/>
              </w:rPr>
            </w:pPr>
            <w:r w:rsidRPr="00AD0DD9">
              <w:rPr>
                <w:i/>
                <w:lang w:val="en-GB"/>
              </w:rPr>
              <w:t>Compliance</w:t>
            </w:r>
          </w:p>
        </w:tc>
      </w:tr>
      <w:tr w:rsidR="000C692D" w:rsidRPr="009E1D3D" w:rsidTr="0084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6826C0">
            <w:pPr>
              <w:jc w:val="both"/>
              <w:rPr>
                <w:lang w:val="en-GB"/>
              </w:rPr>
            </w:pPr>
            <w:r w:rsidRPr="009E1D3D">
              <w:rPr>
                <w:lang w:val="en-GB"/>
              </w:rPr>
              <w:t>CEE pre-accession</w:t>
            </w:r>
            <w:r>
              <w:rPr>
                <w:lang w:val="en-GB"/>
              </w:rPr>
              <w:t xml:space="preserve"> (acquis)</w:t>
            </w:r>
          </w:p>
        </w:tc>
        <w:tc>
          <w:tcPr>
            <w:tcW w:w="1134"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1417"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276"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782"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r>
              <w:rPr>
                <w:lang w:val="en-GB"/>
              </w:rPr>
              <w:t xml:space="preserve"> </w:t>
            </w:r>
          </w:p>
        </w:tc>
        <w:tc>
          <w:tcPr>
            <w:tcW w:w="1278"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r>
      <w:tr w:rsidR="000C692D" w:rsidRPr="009E1D3D" w:rsidTr="00840EBE">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6826C0">
            <w:pPr>
              <w:jc w:val="both"/>
              <w:rPr>
                <w:lang w:val="en-GB"/>
              </w:rPr>
            </w:pPr>
            <w:r>
              <w:rPr>
                <w:lang w:val="en-GB"/>
              </w:rPr>
              <w:t>CEE pre-accession (democracy)</w:t>
            </w:r>
          </w:p>
        </w:tc>
        <w:tc>
          <w:tcPr>
            <w:tcW w:w="1134"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1417" w:type="dxa"/>
          </w:tcPr>
          <w:p w:rsidR="000C692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1276"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782"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1278"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r>
      <w:tr w:rsidR="000C692D" w:rsidRPr="009E1D3D" w:rsidTr="0084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6826C0">
            <w:pPr>
              <w:jc w:val="both"/>
              <w:rPr>
                <w:lang w:val="en-GB"/>
              </w:rPr>
            </w:pPr>
            <w:r w:rsidRPr="009E1D3D">
              <w:rPr>
                <w:lang w:val="en-GB"/>
              </w:rPr>
              <w:t>CEE post-accession (acquis)</w:t>
            </w:r>
          </w:p>
        </w:tc>
        <w:tc>
          <w:tcPr>
            <w:tcW w:w="1134"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417"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276"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782"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1278"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r>
      <w:tr w:rsidR="000C692D" w:rsidRPr="009E1D3D" w:rsidTr="00840EBE">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6826C0">
            <w:pPr>
              <w:jc w:val="both"/>
              <w:rPr>
                <w:lang w:val="en-GB"/>
              </w:rPr>
            </w:pPr>
            <w:r w:rsidRPr="009E1D3D">
              <w:rPr>
                <w:lang w:val="en-GB"/>
              </w:rPr>
              <w:t>CEE post-accession (democracy)</w:t>
            </w:r>
          </w:p>
        </w:tc>
        <w:tc>
          <w:tcPr>
            <w:tcW w:w="1134"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sidRPr="009E1D3D">
              <w:rPr>
                <w:lang w:val="en-GB"/>
              </w:rPr>
              <w:t>+</w:t>
            </w:r>
          </w:p>
        </w:tc>
        <w:tc>
          <w:tcPr>
            <w:tcW w:w="1417"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c>
          <w:tcPr>
            <w:tcW w:w="1276"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sidRPr="009E1D3D">
              <w:rPr>
                <w:lang w:val="en-GB"/>
              </w:rPr>
              <w:t xml:space="preserve">- </w:t>
            </w:r>
          </w:p>
        </w:tc>
        <w:tc>
          <w:tcPr>
            <w:tcW w:w="782"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sidRPr="009E1D3D">
              <w:rPr>
                <w:lang w:val="en-GB"/>
              </w:rPr>
              <w:t>-</w:t>
            </w:r>
          </w:p>
        </w:tc>
        <w:tc>
          <w:tcPr>
            <w:tcW w:w="1278" w:type="dxa"/>
          </w:tcPr>
          <w:p w:rsidR="000C692D" w:rsidRPr="009E1D3D" w:rsidRDefault="000C692D" w:rsidP="00EB6EFC">
            <w:pPr>
              <w:jc w:val="both"/>
              <w:cnfStyle w:val="000000000000" w:firstRow="0" w:lastRow="0" w:firstColumn="0" w:lastColumn="0" w:oddVBand="0" w:evenVBand="0" w:oddHBand="0" w:evenHBand="0" w:firstRowFirstColumn="0" w:firstRowLastColumn="0" w:lastRowFirstColumn="0" w:lastRowLastColumn="0"/>
              <w:rPr>
                <w:lang w:val="en-GB"/>
              </w:rPr>
            </w:pPr>
            <w:r w:rsidRPr="009E1D3D">
              <w:rPr>
                <w:lang w:val="en-GB"/>
              </w:rPr>
              <w:t>-</w:t>
            </w:r>
          </w:p>
        </w:tc>
      </w:tr>
      <w:tr w:rsidR="000C692D" w:rsidRPr="009E1D3D" w:rsidTr="00840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C692D" w:rsidRPr="009E1D3D" w:rsidRDefault="000C692D" w:rsidP="006826C0">
            <w:pPr>
              <w:jc w:val="both"/>
              <w:rPr>
                <w:lang w:val="en-GB"/>
              </w:rPr>
            </w:pPr>
            <w:r w:rsidRPr="009E1D3D">
              <w:rPr>
                <w:lang w:val="en-GB"/>
              </w:rPr>
              <w:t>SEE pre-accession</w:t>
            </w:r>
            <w:r>
              <w:rPr>
                <w:lang w:val="en-GB"/>
              </w:rPr>
              <w:t xml:space="preserve"> (democracy)</w:t>
            </w:r>
          </w:p>
        </w:tc>
        <w:tc>
          <w:tcPr>
            <w:tcW w:w="1134"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1417"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Pr>
                <w:lang w:val="en-GB"/>
              </w:rPr>
              <w:t>+</w:t>
            </w:r>
          </w:p>
        </w:tc>
        <w:tc>
          <w:tcPr>
            <w:tcW w:w="1276"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 xml:space="preserve">- </w:t>
            </w:r>
          </w:p>
        </w:tc>
        <w:tc>
          <w:tcPr>
            <w:tcW w:w="782"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c>
          <w:tcPr>
            <w:tcW w:w="1278" w:type="dxa"/>
          </w:tcPr>
          <w:p w:rsidR="000C692D" w:rsidRPr="009E1D3D" w:rsidRDefault="000C692D" w:rsidP="00EB6EFC">
            <w:pPr>
              <w:jc w:val="both"/>
              <w:cnfStyle w:val="000000100000" w:firstRow="0" w:lastRow="0" w:firstColumn="0" w:lastColumn="0" w:oddVBand="0" w:evenVBand="0" w:oddHBand="1" w:evenHBand="0" w:firstRowFirstColumn="0" w:firstRowLastColumn="0" w:lastRowFirstColumn="0" w:lastRowLastColumn="0"/>
              <w:rPr>
                <w:lang w:val="en-GB"/>
              </w:rPr>
            </w:pPr>
            <w:r w:rsidRPr="009E1D3D">
              <w:rPr>
                <w:lang w:val="en-GB"/>
              </w:rPr>
              <w:t>-</w:t>
            </w:r>
          </w:p>
        </w:tc>
      </w:tr>
    </w:tbl>
    <w:p w:rsidR="000C692D" w:rsidRDefault="000C692D" w:rsidP="00EB6EFC">
      <w:pPr>
        <w:jc w:val="both"/>
        <w:rPr>
          <w:lang w:val="en-GB"/>
        </w:rPr>
      </w:pPr>
    </w:p>
    <w:p w:rsidR="00C237AA" w:rsidRPr="009E1D3D" w:rsidRDefault="000C692D" w:rsidP="00FB2303">
      <w:pPr>
        <w:spacing w:line="480" w:lineRule="auto"/>
        <w:jc w:val="both"/>
        <w:rPr>
          <w:lang w:val="en-GB"/>
        </w:rPr>
      </w:pPr>
      <w:r>
        <w:rPr>
          <w:lang w:val="en-GB"/>
        </w:rPr>
        <w:t>Our starting point is the evidence from the CEE pre-accession context. With regard to acquis conditionality, we found that all conditions of effective conditionality as specified in the EIM were present. So was compliance</w:t>
      </w:r>
      <w:r w:rsidR="009159B0">
        <w:rPr>
          <w:lang w:val="en-GB"/>
        </w:rPr>
        <w:t xml:space="preserve"> (</w:t>
      </w:r>
      <w:proofErr w:type="spellStart"/>
      <w:r w:rsidR="009159B0">
        <w:rPr>
          <w:lang w:val="en-GB"/>
        </w:rPr>
        <w:t>Schimmelfennig</w:t>
      </w:r>
      <w:proofErr w:type="spellEnd"/>
      <w:r w:rsidR="009159B0">
        <w:rPr>
          <w:lang w:val="en-GB"/>
        </w:rPr>
        <w:t xml:space="preserve"> and Sedelmeier 2005a)</w:t>
      </w:r>
      <w:r>
        <w:rPr>
          <w:lang w:val="en-GB"/>
        </w:rPr>
        <w:t xml:space="preserve">. By contrast, we found that democratic conditionality often lacked determinacy and caused </w:t>
      </w:r>
      <w:r w:rsidR="003004D7">
        <w:rPr>
          <w:lang w:val="en-GB"/>
        </w:rPr>
        <w:t xml:space="preserve">substantial </w:t>
      </w:r>
      <w:r>
        <w:rPr>
          <w:lang w:val="en-GB"/>
        </w:rPr>
        <w:t xml:space="preserve">political costs for CEE governments – especially in the domain of minority rights. Highly credible </w:t>
      </w:r>
      <w:r w:rsidR="004F5154">
        <w:rPr>
          <w:lang w:val="en-GB"/>
        </w:rPr>
        <w:t>and sizeable (</w:t>
      </w:r>
      <w:r>
        <w:rPr>
          <w:lang w:val="en-GB"/>
        </w:rPr>
        <w:t>membership</w:t>
      </w:r>
      <w:r w:rsidR="004F5154">
        <w:rPr>
          <w:lang w:val="en-GB"/>
        </w:rPr>
        <w:t>)</w:t>
      </w:r>
      <w:r>
        <w:rPr>
          <w:lang w:val="en-GB"/>
        </w:rPr>
        <w:t xml:space="preserve"> rewards could overcome these adverse conditions in the end, however (</w:t>
      </w:r>
      <w:proofErr w:type="spellStart"/>
      <w:r>
        <w:rPr>
          <w:lang w:val="en-GB"/>
        </w:rPr>
        <w:t>Schimmelfennig</w:t>
      </w:r>
      <w:proofErr w:type="spellEnd"/>
      <w:r>
        <w:rPr>
          <w:lang w:val="en-GB"/>
        </w:rPr>
        <w:t xml:space="preserve"> et al. 2006).</w:t>
      </w:r>
      <w:r w:rsidR="00C237AA">
        <w:rPr>
          <w:lang w:val="en-GB"/>
        </w:rPr>
        <w:t xml:space="preserve"> In the post-2004 contexts, we observe additional variation in rewards, credibility, costs – and compliance.</w:t>
      </w:r>
      <w:r w:rsidR="00C237AA" w:rsidRPr="004F5154">
        <w:rPr>
          <w:lang w:val="en-GB"/>
        </w:rPr>
        <w:t xml:space="preserve"> </w:t>
      </w:r>
      <w:r w:rsidR="00C237AA">
        <w:rPr>
          <w:lang w:val="en-GB"/>
        </w:rPr>
        <w:t>In the following two sections we elaborate in more detail how we come to this assessment of the values for the conditions and outcomes</w:t>
      </w:r>
      <w:r w:rsidR="00C237AA" w:rsidRPr="00CB5CC1">
        <w:rPr>
          <w:lang w:val="en-GB"/>
        </w:rPr>
        <w:t xml:space="preserve"> </w:t>
      </w:r>
      <w:r w:rsidR="00C237AA">
        <w:rPr>
          <w:lang w:val="en-GB"/>
        </w:rPr>
        <w:t xml:space="preserve">in each case. </w:t>
      </w:r>
    </w:p>
    <w:p w:rsidR="00C237AA" w:rsidRPr="009E1D3D" w:rsidRDefault="00C237AA" w:rsidP="00FB2303">
      <w:pPr>
        <w:spacing w:line="480" w:lineRule="auto"/>
        <w:jc w:val="both"/>
        <w:rPr>
          <w:lang w:val="en-GB"/>
        </w:rPr>
      </w:pPr>
    </w:p>
    <w:p w:rsidR="00C237AA" w:rsidRPr="009E1D3D" w:rsidRDefault="00C237AA" w:rsidP="00FB2303">
      <w:pPr>
        <w:keepNext/>
        <w:spacing w:line="480" w:lineRule="auto"/>
        <w:jc w:val="both"/>
        <w:outlineLvl w:val="0"/>
        <w:rPr>
          <w:b/>
          <w:lang w:val="en-GB"/>
        </w:rPr>
      </w:pPr>
      <w:r w:rsidRPr="009E1D3D">
        <w:rPr>
          <w:b/>
          <w:lang w:val="en-GB"/>
        </w:rPr>
        <w:t>CEE after accession: the new member states</w:t>
      </w:r>
    </w:p>
    <w:p w:rsidR="00C237AA" w:rsidRPr="009E1D3D" w:rsidRDefault="00C237AA" w:rsidP="00FB2303">
      <w:pPr>
        <w:spacing w:line="480" w:lineRule="auto"/>
        <w:jc w:val="both"/>
        <w:rPr>
          <w:lang w:val="en-GB"/>
        </w:rPr>
      </w:pPr>
      <w:r>
        <w:rPr>
          <w:lang w:val="en-GB"/>
        </w:rPr>
        <w:t>For the context of the CEECs after accession, w</w:t>
      </w:r>
      <w:r w:rsidRPr="009E1D3D">
        <w:rPr>
          <w:lang w:val="en-GB"/>
        </w:rPr>
        <w:t xml:space="preserve">e discuss </w:t>
      </w:r>
      <w:r>
        <w:rPr>
          <w:lang w:val="en-GB"/>
        </w:rPr>
        <w:t xml:space="preserve">in the </w:t>
      </w:r>
      <w:r w:rsidRPr="009E1D3D">
        <w:rPr>
          <w:lang w:val="en-GB"/>
        </w:rPr>
        <w:t xml:space="preserve">two </w:t>
      </w:r>
      <w:r>
        <w:rPr>
          <w:lang w:val="en-GB"/>
        </w:rPr>
        <w:t>broad</w:t>
      </w:r>
      <w:r w:rsidRPr="009E1D3D">
        <w:rPr>
          <w:lang w:val="en-GB"/>
        </w:rPr>
        <w:t xml:space="preserve"> policy areas</w:t>
      </w:r>
      <w:r>
        <w:rPr>
          <w:lang w:val="en-GB"/>
        </w:rPr>
        <w:t xml:space="preserve"> – the</w:t>
      </w:r>
      <w:r w:rsidRPr="009E1D3D">
        <w:rPr>
          <w:lang w:val="en-GB"/>
        </w:rPr>
        <w:t xml:space="preserve"> single market</w:t>
      </w:r>
      <w:r>
        <w:rPr>
          <w:lang w:val="en-GB"/>
        </w:rPr>
        <w:t xml:space="preserve"> </w:t>
      </w:r>
      <w:r w:rsidRPr="009E1D3D">
        <w:rPr>
          <w:i/>
          <w:lang w:val="en-GB"/>
        </w:rPr>
        <w:t>acquis</w:t>
      </w:r>
      <w:r w:rsidRPr="009E1D3D">
        <w:rPr>
          <w:lang w:val="en-GB"/>
        </w:rPr>
        <w:t xml:space="preserve"> and democra</w:t>
      </w:r>
      <w:r>
        <w:rPr>
          <w:lang w:val="en-GB"/>
        </w:rPr>
        <w:t>cy – for each of the explanatory conditions whether their setting is favourable to compliance</w:t>
      </w:r>
      <w:r w:rsidRPr="00473B85">
        <w:rPr>
          <w:lang w:val="en-GB"/>
        </w:rPr>
        <w:t xml:space="preserve"> </w:t>
      </w:r>
      <w:r>
        <w:rPr>
          <w:lang w:val="en-GB"/>
        </w:rPr>
        <w:t xml:space="preserve">according to the EIM. </w:t>
      </w:r>
      <w:r w:rsidRPr="009E1D3D" w:rsidDel="009F1C62">
        <w:rPr>
          <w:lang w:val="en-GB"/>
        </w:rPr>
        <w:t xml:space="preserve"> </w:t>
      </w:r>
      <w:r w:rsidRPr="009E1D3D">
        <w:rPr>
          <w:lang w:val="en-GB"/>
        </w:rPr>
        <w:t>We then establish the extent of compliance in each policy area and assess whether compliance – and its variation across issues and new members – is in line with the expectations of the EIM.</w:t>
      </w:r>
    </w:p>
    <w:p w:rsidR="00C237AA" w:rsidRPr="009E1D3D" w:rsidRDefault="00C237AA" w:rsidP="00FB2303">
      <w:pPr>
        <w:spacing w:line="480" w:lineRule="auto"/>
        <w:jc w:val="both"/>
        <w:outlineLvl w:val="0"/>
        <w:rPr>
          <w:i/>
          <w:lang w:val="en-GB"/>
        </w:rPr>
      </w:pPr>
      <w:r w:rsidRPr="009E1D3D">
        <w:rPr>
          <w:i/>
          <w:lang w:val="en-GB"/>
        </w:rPr>
        <w:t xml:space="preserve">Conditions of post-accession compliance </w:t>
      </w:r>
    </w:p>
    <w:p w:rsidR="00C237AA" w:rsidRPr="009E1D3D" w:rsidRDefault="00C237AA" w:rsidP="00FB2303">
      <w:pPr>
        <w:spacing w:line="480" w:lineRule="auto"/>
        <w:jc w:val="both"/>
        <w:rPr>
          <w:lang w:val="en-GB"/>
        </w:rPr>
      </w:pPr>
      <w:r w:rsidRPr="009E1D3D">
        <w:rPr>
          <w:i/>
          <w:lang w:val="en-GB"/>
        </w:rPr>
        <w:t>Rewards and credibility.</w:t>
      </w:r>
      <w:r w:rsidRPr="009E1D3D">
        <w:rPr>
          <w:lang w:val="en-GB"/>
        </w:rPr>
        <w:t xml:space="preserve"> </w:t>
      </w:r>
      <w:r>
        <w:rPr>
          <w:lang w:val="en-GB"/>
        </w:rPr>
        <w:t>The m</w:t>
      </w:r>
      <w:r w:rsidRPr="009E1D3D">
        <w:rPr>
          <w:lang w:val="en-GB"/>
        </w:rPr>
        <w:t>ost notabl</w:t>
      </w:r>
      <w:r>
        <w:rPr>
          <w:lang w:val="en-GB"/>
        </w:rPr>
        <w:t>e change from pre- to post-accession concerns</w:t>
      </w:r>
      <w:r w:rsidRPr="009E1D3D">
        <w:rPr>
          <w:lang w:val="en-GB"/>
        </w:rPr>
        <w:t xml:space="preserve"> the incentives that EU institutions can draw on to elicit compliance. </w:t>
      </w:r>
      <w:r>
        <w:rPr>
          <w:lang w:val="en-GB"/>
        </w:rPr>
        <w:t>Prior to accession, the EU</w:t>
      </w:r>
      <w:r w:rsidRPr="009E1D3D">
        <w:rPr>
          <w:lang w:val="en-GB"/>
        </w:rPr>
        <w:t xml:space="preserve"> us</w:t>
      </w:r>
      <w:r>
        <w:rPr>
          <w:lang w:val="en-GB"/>
        </w:rPr>
        <w:t>ed</w:t>
      </w:r>
      <w:r w:rsidRPr="009E1D3D">
        <w:rPr>
          <w:lang w:val="en-GB"/>
        </w:rPr>
        <w:t xml:space="preserve"> (conditional) rewards</w:t>
      </w:r>
      <w:r>
        <w:rPr>
          <w:lang w:val="en-GB"/>
        </w:rPr>
        <w:t>, most notably EU membership. After accession</w:t>
      </w:r>
      <w:r w:rsidRPr="009E1D3D">
        <w:rPr>
          <w:lang w:val="en-GB"/>
        </w:rPr>
        <w:t>, EU institutions can only use negative incentives</w:t>
      </w:r>
      <w:r>
        <w:rPr>
          <w:rStyle w:val="EndnoteReference"/>
          <w:lang w:val="en-GB"/>
        </w:rPr>
        <w:endnoteReference w:id="1"/>
      </w:r>
      <w:r w:rsidRPr="009E1D3D">
        <w:rPr>
          <w:lang w:val="en-GB"/>
        </w:rPr>
        <w:t xml:space="preserve"> – sanctions</w:t>
      </w:r>
      <w:r>
        <w:rPr>
          <w:lang w:val="en-GB"/>
        </w:rPr>
        <w:t>. The sanctions</w:t>
      </w:r>
      <w:r w:rsidRPr="009E1D3D">
        <w:rPr>
          <w:lang w:val="en-GB"/>
        </w:rPr>
        <w:t xml:space="preserve"> vary across issue areas</w:t>
      </w:r>
      <w:r>
        <w:rPr>
          <w:lang w:val="en-GB"/>
        </w:rPr>
        <w:t xml:space="preserve">, but </w:t>
      </w:r>
      <w:r w:rsidRPr="009E1D3D">
        <w:rPr>
          <w:lang w:val="en-GB"/>
        </w:rPr>
        <w:t>even the most sizable of these sanctions are far less costly than the pre-accession threat of withholding membership</w:t>
      </w:r>
      <w:r>
        <w:rPr>
          <w:lang w:val="en-GB"/>
        </w:rPr>
        <w:t xml:space="preserve">. This </w:t>
      </w:r>
      <w:r w:rsidRPr="009E1D3D">
        <w:rPr>
          <w:lang w:val="en-GB"/>
        </w:rPr>
        <w:t>is precisely why the EIM le</w:t>
      </w:r>
      <w:r>
        <w:rPr>
          <w:lang w:val="en-GB"/>
        </w:rPr>
        <w:t>ads to sc</w:t>
      </w:r>
      <w:r w:rsidRPr="009E1D3D">
        <w:rPr>
          <w:lang w:val="en-GB"/>
        </w:rPr>
        <w:t xml:space="preserve">epticism about the sustainability of incentive-driven pre-accession </w:t>
      </w:r>
      <w:r>
        <w:rPr>
          <w:lang w:val="en-GB"/>
        </w:rPr>
        <w:t>Europeanization</w:t>
      </w:r>
      <w:r w:rsidRPr="009E1D3D">
        <w:rPr>
          <w:lang w:val="en-GB"/>
        </w:rPr>
        <w:t xml:space="preserve"> after accession. </w:t>
      </w:r>
    </w:p>
    <w:p w:rsidR="00C237AA" w:rsidRPr="009E1D3D" w:rsidRDefault="00C237AA" w:rsidP="003B54E0">
      <w:pPr>
        <w:spacing w:line="480" w:lineRule="auto"/>
        <w:jc w:val="both"/>
        <w:rPr>
          <w:lang w:val="en-GB"/>
        </w:rPr>
      </w:pPr>
      <w:r w:rsidRPr="009E1D3D">
        <w:rPr>
          <w:lang w:val="en-GB"/>
        </w:rPr>
        <w:t>With regard to rewards</w:t>
      </w:r>
      <w:r>
        <w:rPr>
          <w:lang w:val="en-GB"/>
        </w:rPr>
        <w:t>/</w:t>
      </w:r>
      <w:r w:rsidRPr="009E1D3D">
        <w:rPr>
          <w:lang w:val="en-GB"/>
        </w:rPr>
        <w:t>incentives, a key dimension in which the EI</w:t>
      </w:r>
      <w:r>
        <w:rPr>
          <w:lang w:val="en-GB"/>
        </w:rPr>
        <w:t>M</w:t>
      </w:r>
      <w:r w:rsidRPr="009E1D3D">
        <w:rPr>
          <w:lang w:val="en-GB"/>
        </w:rPr>
        <w:t xml:space="preserve"> would expect variation with regard to post-accession compliance in new member states is then across issue areas. </w:t>
      </w:r>
      <w:r w:rsidR="003B54E0">
        <w:rPr>
          <w:lang w:val="en-GB"/>
        </w:rPr>
        <w:t>T</w:t>
      </w:r>
      <w:r w:rsidRPr="009E1D3D">
        <w:rPr>
          <w:lang w:val="en-GB"/>
        </w:rPr>
        <w:t>he size of the sanctions the EU institutions can use var</w:t>
      </w:r>
      <w:r w:rsidR="003B54E0">
        <w:rPr>
          <w:lang w:val="en-GB"/>
        </w:rPr>
        <w:t>ies</w:t>
      </w:r>
      <w:r w:rsidRPr="009E1D3D">
        <w:rPr>
          <w:lang w:val="en-GB"/>
        </w:rPr>
        <w:t xml:space="preserve"> across the issue areas of the acquis and democracy</w:t>
      </w:r>
      <w:r w:rsidR="00567477">
        <w:rPr>
          <w:lang w:val="en-GB"/>
        </w:rPr>
        <w:t>.</w:t>
      </w:r>
      <w:r w:rsidRPr="009E1D3D">
        <w:rPr>
          <w:lang w:val="en-GB"/>
        </w:rPr>
        <w:t xml:space="preserve"> </w:t>
      </w:r>
      <w:r w:rsidR="00567477">
        <w:rPr>
          <w:lang w:val="en-GB"/>
        </w:rPr>
        <w:t>C</w:t>
      </w:r>
      <w:r w:rsidR="003B54E0">
        <w:rPr>
          <w:lang w:val="en-GB"/>
        </w:rPr>
        <w:t>rucially</w:t>
      </w:r>
      <w:r w:rsidR="00567477">
        <w:rPr>
          <w:lang w:val="en-GB"/>
        </w:rPr>
        <w:t>,</w:t>
      </w:r>
      <w:r w:rsidR="003B54E0">
        <w:rPr>
          <w:lang w:val="en-GB"/>
        </w:rPr>
        <w:t xml:space="preserve"> </w:t>
      </w:r>
      <w:r w:rsidRPr="009E1D3D">
        <w:rPr>
          <w:lang w:val="en-GB"/>
        </w:rPr>
        <w:t>the credibility of the threat of sanctions</w:t>
      </w:r>
      <w:r w:rsidR="00567477">
        <w:rPr>
          <w:lang w:val="en-GB"/>
        </w:rPr>
        <w:t xml:space="preserve">, which </w:t>
      </w:r>
      <w:r w:rsidRPr="009E1D3D">
        <w:rPr>
          <w:lang w:val="en-GB"/>
        </w:rPr>
        <w:t>depends largely on the autonomy of EU institutions in the imposition of sanctions</w:t>
      </w:r>
      <w:r w:rsidR="00567477">
        <w:rPr>
          <w:lang w:val="en-GB"/>
        </w:rPr>
        <w:t>, varies too</w:t>
      </w:r>
      <w:r w:rsidRPr="009E1D3D">
        <w:rPr>
          <w:lang w:val="en-GB"/>
        </w:rPr>
        <w:t>. With regard to the rules of liberal democracy, Article 7</w:t>
      </w:r>
      <w:r w:rsidR="003B54E0">
        <w:rPr>
          <w:lang w:val="en-GB"/>
        </w:rPr>
        <w:t>(2)</w:t>
      </w:r>
      <w:r w:rsidRPr="009E1D3D">
        <w:rPr>
          <w:lang w:val="en-GB"/>
        </w:rPr>
        <w:t xml:space="preserve"> TEU </w:t>
      </w:r>
      <w:r>
        <w:rPr>
          <w:lang w:val="en-GB"/>
        </w:rPr>
        <w:t>entails sizeable</w:t>
      </w:r>
      <w:r w:rsidRPr="009E1D3D">
        <w:rPr>
          <w:lang w:val="en-GB"/>
        </w:rPr>
        <w:t xml:space="preserve"> sanctions: it allows the Council to ‘suspend certain … rights’ of a member state for ‘serious and persistent’ breaches. However, the autonomy of EU institutions in deciding </w:t>
      </w:r>
      <w:r>
        <w:rPr>
          <w:lang w:val="en-GB"/>
        </w:rPr>
        <w:t xml:space="preserve">on </w:t>
      </w:r>
      <w:r w:rsidRPr="009E1D3D">
        <w:rPr>
          <w:lang w:val="en-GB"/>
        </w:rPr>
        <w:t>sanctions is extremely limited</w:t>
      </w:r>
      <w:r>
        <w:rPr>
          <w:lang w:val="en-GB"/>
        </w:rPr>
        <w:t>:</w:t>
      </w:r>
      <w:r w:rsidRPr="009E1D3D">
        <w:rPr>
          <w:lang w:val="en-GB"/>
        </w:rPr>
        <w:t xml:space="preserve"> the member states themselves determine by unanimity (minus one) whether such a breach has occurred. The </w:t>
      </w:r>
      <w:r>
        <w:rPr>
          <w:lang w:val="en-GB"/>
        </w:rPr>
        <w:t xml:space="preserve">credibility of </w:t>
      </w:r>
      <w:r w:rsidRPr="009E1D3D">
        <w:rPr>
          <w:lang w:val="en-GB"/>
        </w:rPr>
        <w:t>sanction</w:t>
      </w:r>
      <w:r>
        <w:rPr>
          <w:lang w:val="en-GB"/>
        </w:rPr>
        <w:t xml:space="preserve">s </w:t>
      </w:r>
      <w:r w:rsidRPr="009E1D3D">
        <w:rPr>
          <w:lang w:val="en-GB"/>
        </w:rPr>
        <w:t xml:space="preserve">is therefore far higher with regard to the (single market) acquis. Article 258 and 260 TFEU grant the Commission high autonomy to launch infringement </w:t>
      </w:r>
      <w:r>
        <w:rPr>
          <w:lang w:val="en-GB"/>
        </w:rPr>
        <w:t>procedures</w:t>
      </w:r>
      <w:r w:rsidRPr="009E1D3D">
        <w:rPr>
          <w:lang w:val="en-GB"/>
        </w:rPr>
        <w:t xml:space="preserve"> and to refer a member state to the Court of Justice of the EU (CJEU), which</w:t>
      </w:r>
      <w:r>
        <w:rPr>
          <w:lang w:val="en-GB"/>
        </w:rPr>
        <w:t xml:space="preserve">, in turn, </w:t>
      </w:r>
      <w:r w:rsidRPr="009E1D3D">
        <w:rPr>
          <w:lang w:val="en-GB"/>
        </w:rPr>
        <w:t xml:space="preserve">can impose financial penalties for non-compliance. In sum, a focus on rewards and their credibility generally leads the EIM to expect a deterioration of compliance after accession. </w:t>
      </w:r>
      <w:r>
        <w:rPr>
          <w:lang w:val="en-GB"/>
        </w:rPr>
        <w:t>Furthermore,</w:t>
      </w:r>
      <w:r w:rsidRPr="009E1D3D">
        <w:rPr>
          <w:lang w:val="en-GB"/>
        </w:rPr>
        <w:t xml:space="preserve"> it would expect compliance problems to be less severe with regard to the acquis than with regard to democracy.</w:t>
      </w:r>
    </w:p>
    <w:p w:rsidR="00C237AA" w:rsidRPr="009E1D3D" w:rsidRDefault="00C237AA" w:rsidP="00567477">
      <w:pPr>
        <w:spacing w:line="480" w:lineRule="auto"/>
        <w:jc w:val="both"/>
        <w:rPr>
          <w:i/>
          <w:lang w:val="en-GB"/>
        </w:rPr>
      </w:pPr>
      <w:r w:rsidRPr="009E1D3D">
        <w:rPr>
          <w:i/>
          <w:lang w:val="en-GB"/>
        </w:rPr>
        <w:t xml:space="preserve">Determinacy. </w:t>
      </w:r>
      <w:r w:rsidRPr="009E1D3D">
        <w:rPr>
          <w:lang w:val="en-GB"/>
        </w:rPr>
        <w:t>The determinacy of the acquis is generally less problematic than for the rules of liberal democracy. The EU</w:t>
      </w:r>
      <w:r>
        <w:rPr>
          <w:lang w:val="en-GB"/>
        </w:rPr>
        <w:t>’s</w:t>
      </w:r>
      <w:r w:rsidRPr="009E1D3D">
        <w:rPr>
          <w:lang w:val="en-GB"/>
        </w:rPr>
        <w:t xml:space="preserve"> infringement procedure, in which the Commission</w:t>
      </w:r>
      <w:r>
        <w:rPr>
          <w:lang w:val="en-GB"/>
        </w:rPr>
        <w:t>’s ‘Reasoned Opinion’ and adjudication by the CJEU</w:t>
      </w:r>
      <w:r w:rsidRPr="009E1D3D">
        <w:rPr>
          <w:lang w:val="en-GB"/>
        </w:rPr>
        <w:t xml:space="preserve"> set out </w:t>
      </w:r>
      <w:r>
        <w:rPr>
          <w:lang w:val="en-GB"/>
        </w:rPr>
        <w:t>the EU’s</w:t>
      </w:r>
      <w:r w:rsidRPr="009E1D3D">
        <w:rPr>
          <w:lang w:val="en-GB"/>
        </w:rPr>
        <w:t xml:space="preserve"> interpretation of the relevant acquis</w:t>
      </w:r>
      <w:r>
        <w:rPr>
          <w:lang w:val="en-GB"/>
        </w:rPr>
        <w:t>,</w:t>
      </w:r>
      <w:r w:rsidRPr="009E1D3D">
        <w:rPr>
          <w:lang w:val="en-GB"/>
        </w:rPr>
        <w:t xml:space="preserve"> increases the clarity of </w:t>
      </w:r>
      <w:r>
        <w:rPr>
          <w:lang w:val="en-GB"/>
        </w:rPr>
        <w:t xml:space="preserve">the </w:t>
      </w:r>
      <w:r w:rsidRPr="009E1D3D">
        <w:rPr>
          <w:lang w:val="en-GB"/>
        </w:rPr>
        <w:t>rules. Determinacy is lower for Article 7 since the determination of what constitutes a breach of liberal democratic values is carried out by the member states through voting</w:t>
      </w:r>
      <w:r>
        <w:rPr>
          <w:lang w:val="en-GB"/>
        </w:rPr>
        <w:t>,</w:t>
      </w:r>
      <w:r w:rsidRPr="009E1D3D">
        <w:rPr>
          <w:lang w:val="en-GB"/>
        </w:rPr>
        <w:t xml:space="preserve"> rather than through legal reasoning of an autonomous institution. The Commission’s new ‘rule of law framework’ that mirrors the initial stages of the infringement procedure of Art. 258 might help in this respect, as does the recourse to non-EU bodies, such as the expert opinion of the Council of Europe’s Venice Commission. Yet neither of these processes are binding on the member states. In sum, variation in determinacy </w:t>
      </w:r>
      <w:r>
        <w:rPr>
          <w:lang w:val="en-GB"/>
        </w:rPr>
        <w:t xml:space="preserve">again </w:t>
      </w:r>
      <w:r w:rsidRPr="009E1D3D">
        <w:rPr>
          <w:lang w:val="en-GB"/>
        </w:rPr>
        <w:t>leads the EIM to expect better compliance with the acquis (covered by Art. 258) than in the area of democracy.</w:t>
      </w:r>
    </w:p>
    <w:p w:rsidR="00C237AA" w:rsidRPr="009E1D3D" w:rsidRDefault="00C237AA" w:rsidP="00567477">
      <w:pPr>
        <w:spacing w:line="480" w:lineRule="auto"/>
        <w:jc w:val="both"/>
        <w:rPr>
          <w:i/>
          <w:lang w:val="en-GB"/>
        </w:rPr>
      </w:pPr>
      <w:r w:rsidRPr="009E1D3D">
        <w:rPr>
          <w:i/>
          <w:lang w:val="en-GB"/>
        </w:rPr>
        <w:t xml:space="preserve">Costs. </w:t>
      </w:r>
      <w:r w:rsidRPr="009E1D3D">
        <w:rPr>
          <w:lang w:val="en-GB"/>
        </w:rPr>
        <w:t xml:space="preserve">In contrast to </w:t>
      </w:r>
      <w:r>
        <w:rPr>
          <w:lang w:val="en-GB"/>
        </w:rPr>
        <w:t>the explanatory</w:t>
      </w:r>
      <w:r w:rsidRPr="009E1D3D">
        <w:rPr>
          <w:lang w:val="en-GB"/>
        </w:rPr>
        <w:t xml:space="preserve"> conditions</w:t>
      </w:r>
      <w:r>
        <w:rPr>
          <w:lang w:val="en-GB"/>
        </w:rPr>
        <w:t xml:space="preserve"> above</w:t>
      </w:r>
      <w:r w:rsidRPr="009E1D3D">
        <w:rPr>
          <w:lang w:val="en-GB"/>
        </w:rPr>
        <w:t xml:space="preserve">, which vary primarily across issue areas, compliance costs can vary both </w:t>
      </w:r>
      <w:r>
        <w:rPr>
          <w:lang w:val="en-GB"/>
        </w:rPr>
        <w:t xml:space="preserve">across </w:t>
      </w:r>
      <w:r w:rsidRPr="009E1D3D">
        <w:rPr>
          <w:lang w:val="en-GB"/>
        </w:rPr>
        <w:t>issue areas and new member states. Costs are generally higher with regard to the political conditions of liberal democracy than the acquis, since the former are more likely to affect the basis of a government’s hold on office (</w:t>
      </w:r>
      <w:proofErr w:type="spellStart"/>
      <w:r w:rsidRPr="009E1D3D">
        <w:rPr>
          <w:lang w:val="en-GB"/>
        </w:rPr>
        <w:t>Schimmelfennig</w:t>
      </w:r>
      <w:proofErr w:type="spellEnd"/>
      <w:r w:rsidRPr="009E1D3D">
        <w:rPr>
          <w:lang w:val="en-GB"/>
        </w:rPr>
        <w:t xml:space="preserve"> and Sedelmeier 2005c: 213). </w:t>
      </w:r>
    </w:p>
    <w:p w:rsidR="00C237AA" w:rsidRPr="009E1D3D" w:rsidRDefault="00C237AA" w:rsidP="00567477">
      <w:pPr>
        <w:spacing w:line="480" w:lineRule="auto"/>
        <w:jc w:val="both"/>
        <w:rPr>
          <w:lang w:val="en-GB"/>
        </w:rPr>
      </w:pPr>
    </w:p>
    <w:p w:rsidR="00C237AA" w:rsidRPr="009E1D3D" w:rsidRDefault="00C237AA" w:rsidP="00567477">
      <w:pPr>
        <w:keepNext/>
        <w:spacing w:line="480" w:lineRule="auto"/>
        <w:jc w:val="both"/>
        <w:outlineLvl w:val="0"/>
        <w:rPr>
          <w:i/>
          <w:lang w:val="en-GB"/>
        </w:rPr>
      </w:pPr>
      <w:r w:rsidRPr="009E1D3D">
        <w:rPr>
          <w:i/>
          <w:lang w:val="en-GB"/>
        </w:rPr>
        <w:t>Post-accession compliance with the (single market) acquis</w:t>
      </w:r>
    </w:p>
    <w:p w:rsidR="00C237AA" w:rsidRPr="009E1D3D" w:rsidRDefault="00C237AA" w:rsidP="00567477">
      <w:pPr>
        <w:spacing w:line="480" w:lineRule="auto"/>
        <w:jc w:val="both"/>
        <w:rPr>
          <w:lang w:val="en-GB"/>
        </w:rPr>
      </w:pPr>
      <w:r>
        <w:rPr>
          <w:lang w:val="en-GB"/>
        </w:rPr>
        <w:t xml:space="preserve">In general, the EIM would expect a deterioration of compliance with the acquis in the CEECs after accession. In line with these expectations, we would then expect </w:t>
      </w:r>
      <w:r w:rsidRPr="009E1D3D">
        <w:rPr>
          <w:lang w:val="en-GB"/>
        </w:rPr>
        <w:t xml:space="preserve">compliance of the new members </w:t>
      </w:r>
      <w:r>
        <w:rPr>
          <w:lang w:val="en-GB"/>
        </w:rPr>
        <w:t xml:space="preserve">as a group to lag behind </w:t>
      </w:r>
      <w:r w:rsidRPr="009E1D3D">
        <w:rPr>
          <w:lang w:val="en-GB"/>
        </w:rPr>
        <w:t xml:space="preserve">the old members. </w:t>
      </w:r>
      <w:r>
        <w:rPr>
          <w:lang w:val="en-GB"/>
        </w:rPr>
        <w:t xml:space="preserve">Yet the actual compliance record shows that </w:t>
      </w:r>
      <w:r w:rsidRPr="009E1D3D">
        <w:rPr>
          <w:lang w:val="en-GB"/>
        </w:rPr>
        <w:t>most new member states outperform most old member states; the main exception is Poland that has become a compliance laggard in the enlarged EU (</w:t>
      </w:r>
      <w:r w:rsidR="00567477" w:rsidRPr="009E1D3D">
        <w:rPr>
          <w:lang w:val="en-GB"/>
        </w:rPr>
        <w:t xml:space="preserve">Sedelmeier 2008, 2016; </w:t>
      </w:r>
      <w:proofErr w:type="spellStart"/>
      <w:r w:rsidR="00567477" w:rsidRPr="009E1D3D">
        <w:rPr>
          <w:lang w:val="en-GB"/>
        </w:rPr>
        <w:t>Börzel</w:t>
      </w:r>
      <w:proofErr w:type="spellEnd"/>
      <w:r w:rsidR="00567477" w:rsidRPr="009E1D3D">
        <w:rPr>
          <w:lang w:val="en-GB"/>
        </w:rPr>
        <w:t xml:space="preserve"> and Sedelmeier 2017: 203</w:t>
      </w:r>
      <w:r w:rsidRPr="009E1D3D">
        <w:rPr>
          <w:lang w:val="en-GB"/>
        </w:rPr>
        <w:t>).</w:t>
      </w:r>
      <w:r w:rsidR="00567477">
        <w:rPr>
          <w:lang w:val="en-GB"/>
        </w:rPr>
        <w:t xml:space="preserve"> </w:t>
      </w:r>
      <w:r w:rsidRPr="009E1D3D">
        <w:rPr>
          <w:lang w:val="en-GB"/>
        </w:rPr>
        <w:t xml:space="preserve">These aggregate results are also confirmed in </w:t>
      </w:r>
      <w:r>
        <w:rPr>
          <w:lang w:val="en-GB"/>
        </w:rPr>
        <w:t xml:space="preserve">qualitative </w:t>
      </w:r>
      <w:r w:rsidRPr="009E1D3D">
        <w:rPr>
          <w:lang w:val="en-GB"/>
        </w:rPr>
        <w:t>studies of specific policy areas</w:t>
      </w:r>
      <w:r>
        <w:rPr>
          <w:lang w:val="en-GB"/>
        </w:rPr>
        <w:t xml:space="preserve"> </w:t>
      </w:r>
      <w:r w:rsidRPr="009E1D3D">
        <w:rPr>
          <w:lang w:val="en-GB"/>
        </w:rPr>
        <w:t xml:space="preserve">(e.g. </w:t>
      </w:r>
      <w:proofErr w:type="spellStart"/>
      <w:r w:rsidRPr="009E1D3D">
        <w:rPr>
          <w:lang w:val="en-GB"/>
        </w:rPr>
        <w:t>Blauberger</w:t>
      </w:r>
      <w:proofErr w:type="spellEnd"/>
      <w:r w:rsidRPr="009E1D3D">
        <w:rPr>
          <w:lang w:val="en-GB"/>
        </w:rPr>
        <w:t xml:space="preserve"> 2009; Sedelmeier 2012; </w:t>
      </w:r>
      <w:proofErr w:type="spellStart"/>
      <w:r>
        <w:rPr>
          <w:lang w:val="en-GB"/>
        </w:rPr>
        <w:t>Steunenberg</w:t>
      </w:r>
      <w:proofErr w:type="spellEnd"/>
      <w:r>
        <w:rPr>
          <w:lang w:val="en-GB"/>
        </w:rPr>
        <w:t xml:space="preserve"> and </w:t>
      </w:r>
      <w:proofErr w:type="spellStart"/>
      <w:r>
        <w:rPr>
          <w:lang w:val="en-GB"/>
        </w:rPr>
        <w:t>Toshkov</w:t>
      </w:r>
      <w:proofErr w:type="spellEnd"/>
      <w:r>
        <w:rPr>
          <w:lang w:val="en-GB"/>
        </w:rPr>
        <w:t xml:space="preserve"> 2009; </w:t>
      </w:r>
      <w:proofErr w:type="spellStart"/>
      <w:r w:rsidRPr="009E1D3D">
        <w:rPr>
          <w:lang w:val="en-GB"/>
        </w:rPr>
        <w:t>Toshkov</w:t>
      </w:r>
      <w:proofErr w:type="spellEnd"/>
      <w:r w:rsidRPr="009E1D3D">
        <w:rPr>
          <w:lang w:val="en-GB"/>
        </w:rPr>
        <w:t xml:space="preserve"> 2008</w:t>
      </w:r>
      <w:r w:rsidR="00567477">
        <w:rPr>
          <w:lang w:val="en-GB"/>
        </w:rPr>
        <w:t>)</w:t>
      </w:r>
      <w:r>
        <w:rPr>
          <w:lang w:val="en-GB"/>
        </w:rPr>
        <w:t xml:space="preserve">. Moreover, the positive compliance record of the new members cannot be simply attributed to a decoupling of good formal compliance and problematic practical application, as has been suggested in the area of social policy (Falkner et al. 2008).  A </w:t>
      </w:r>
      <w:r w:rsidRPr="009E1D3D">
        <w:rPr>
          <w:lang w:val="en-GB"/>
        </w:rPr>
        <w:t>stud</w:t>
      </w:r>
      <w:r>
        <w:rPr>
          <w:lang w:val="en-GB"/>
        </w:rPr>
        <w:t>y</w:t>
      </w:r>
      <w:r w:rsidRPr="009E1D3D">
        <w:rPr>
          <w:lang w:val="en-GB"/>
        </w:rPr>
        <w:t xml:space="preserve"> of the application of EU directives </w:t>
      </w:r>
      <w:r>
        <w:rPr>
          <w:lang w:val="en-GB"/>
        </w:rPr>
        <w:t xml:space="preserve">in different policy areas </w:t>
      </w:r>
      <w:r w:rsidRPr="009E1D3D">
        <w:rPr>
          <w:lang w:val="en-GB"/>
        </w:rPr>
        <w:t>d</w:t>
      </w:r>
      <w:r>
        <w:rPr>
          <w:lang w:val="en-GB"/>
        </w:rPr>
        <w:t xml:space="preserve">id </w:t>
      </w:r>
      <w:r w:rsidRPr="009E1D3D">
        <w:rPr>
          <w:lang w:val="en-GB"/>
        </w:rPr>
        <w:t xml:space="preserve">not find </w:t>
      </w:r>
      <w:r>
        <w:rPr>
          <w:lang w:val="en-GB"/>
        </w:rPr>
        <w:t>evidence of</w:t>
      </w:r>
      <w:r w:rsidRPr="009E1D3D">
        <w:rPr>
          <w:lang w:val="en-GB"/>
        </w:rPr>
        <w:t xml:space="preserve"> generally </w:t>
      </w:r>
      <w:r>
        <w:rPr>
          <w:lang w:val="en-GB"/>
        </w:rPr>
        <w:t>greater</w:t>
      </w:r>
      <w:r w:rsidRPr="009E1D3D">
        <w:rPr>
          <w:lang w:val="en-GB"/>
        </w:rPr>
        <w:t xml:space="preserve"> problem</w:t>
      </w:r>
      <w:r>
        <w:rPr>
          <w:lang w:val="en-GB"/>
        </w:rPr>
        <w:t xml:space="preserve">s </w:t>
      </w:r>
      <w:r w:rsidRPr="009E1D3D">
        <w:rPr>
          <w:lang w:val="en-GB"/>
        </w:rPr>
        <w:t>in the new member states (</w:t>
      </w:r>
      <w:proofErr w:type="spellStart"/>
      <w:r w:rsidRPr="009E1D3D">
        <w:rPr>
          <w:lang w:val="en-GB"/>
        </w:rPr>
        <w:t>Zhelyazkova</w:t>
      </w:r>
      <w:proofErr w:type="spellEnd"/>
      <w:r w:rsidRPr="009E1D3D">
        <w:rPr>
          <w:lang w:val="en-GB"/>
        </w:rPr>
        <w:t xml:space="preserve"> et al. </w:t>
      </w:r>
      <w:r>
        <w:rPr>
          <w:lang w:val="en-GB"/>
        </w:rPr>
        <w:t>2017</w:t>
      </w:r>
      <w:r w:rsidRPr="009E1D3D">
        <w:rPr>
          <w:lang w:val="en-GB"/>
        </w:rPr>
        <w:t>).</w:t>
      </w:r>
      <w:r w:rsidR="00567477" w:rsidRPr="00567477">
        <w:rPr>
          <w:lang w:val="en-GB"/>
        </w:rPr>
        <w:t xml:space="preserve"> </w:t>
      </w:r>
      <w:r w:rsidR="00567477" w:rsidRPr="009E1D3D">
        <w:rPr>
          <w:lang w:val="en-GB"/>
        </w:rPr>
        <w:t xml:space="preserve">The </w:t>
      </w:r>
      <w:r w:rsidR="00567477">
        <w:rPr>
          <w:lang w:val="en-GB"/>
        </w:rPr>
        <w:t xml:space="preserve">very positive </w:t>
      </w:r>
      <w:r w:rsidR="00567477" w:rsidRPr="009E1D3D">
        <w:rPr>
          <w:lang w:val="en-GB"/>
        </w:rPr>
        <w:t>infringement record of the new member states clearly seems to contradict the expectations of the EIM.</w:t>
      </w:r>
    </w:p>
    <w:p w:rsidR="00C237AA" w:rsidRPr="009E1D3D" w:rsidRDefault="00C237AA" w:rsidP="00567477">
      <w:pPr>
        <w:spacing w:line="480" w:lineRule="auto"/>
        <w:jc w:val="both"/>
        <w:rPr>
          <w:lang w:val="en-GB"/>
        </w:rPr>
      </w:pPr>
      <w:r>
        <w:rPr>
          <w:lang w:val="en-GB"/>
        </w:rPr>
        <w:t>Finally, a</w:t>
      </w:r>
      <w:r w:rsidRPr="009E1D3D">
        <w:rPr>
          <w:lang w:val="en-GB"/>
        </w:rPr>
        <w:t xml:space="preserve">lthough it is difficult to derive predictions from the EIM </w:t>
      </w:r>
      <w:r>
        <w:rPr>
          <w:lang w:val="en-GB"/>
        </w:rPr>
        <w:t xml:space="preserve">on </w:t>
      </w:r>
      <w:r w:rsidRPr="009E1D3D">
        <w:rPr>
          <w:lang w:val="en-GB"/>
        </w:rPr>
        <w:t>how compliance costs should affect cross-country variation in compliance at the aggregate level of the acquis, some of the compliance patterns across countries can be plausibly explained from the perspective of the EIM. The observation that Poland is a compliance laggard, while a number of smaller new members are among the compliance leaders fits with the argument that powerful states need to care less about the reputational costs of non-compliance (</w:t>
      </w:r>
      <w:proofErr w:type="spellStart"/>
      <w:r w:rsidRPr="009E1D3D">
        <w:rPr>
          <w:lang w:val="en-GB"/>
        </w:rPr>
        <w:t>Börzel</w:t>
      </w:r>
      <w:proofErr w:type="spellEnd"/>
      <w:r w:rsidRPr="009E1D3D">
        <w:rPr>
          <w:lang w:val="en-GB"/>
        </w:rPr>
        <w:t xml:space="preserve"> et al. 2010). In sum, conditionality </w:t>
      </w:r>
      <w:r>
        <w:rPr>
          <w:lang w:val="en-GB"/>
        </w:rPr>
        <w:t>appears to</w:t>
      </w:r>
      <w:r w:rsidRPr="009E1D3D">
        <w:rPr>
          <w:lang w:val="en-GB"/>
        </w:rPr>
        <w:t xml:space="preserve"> have a </w:t>
      </w:r>
      <w:r>
        <w:rPr>
          <w:lang w:val="en-GB"/>
        </w:rPr>
        <w:t>more durable</w:t>
      </w:r>
      <w:r w:rsidRPr="009E1D3D">
        <w:rPr>
          <w:lang w:val="en-GB"/>
        </w:rPr>
        <w:t xml:space="preserve"> positive impact on compliance with regard to the acquis </w:t>
      </w:r>
      <w:r>
        <w:rPr>
          <w:lang w:val="en-GB"/>
        </w:rPr>
        <w:t xml:space="preserve">than would have been expected by </w:t>
      </w:r>
      <w:r w:rsidRPr="009E1D3D">
        <w:rPr>
          <w:lang w:val="en-GB"/>
        </w:rPr>
        <w:t>the EIM</w:t>
      </w:r>
      <w:r>
        <w:rPr>
          <w:lang w:val="en-GB"/>
        </w:rPr>
        <w:t>,</w:t>
      </w:r>
      <w:r w:rsidRPr="009E1D3D">
        <w:rPr>
          <w:lang w:val="en-GB"/>
        </w:rPr>
        <w:t xml:space="preserve"> </w:t>
      </w:r>
      <w:r>
        <w:rPr>
          <w:lang w:val="en-GB"/>
        </w:rPr>
        <w:t>although</w:t>
      </w:r>
      <w:r w:rsidRPr="009E1D3D">
        <w:rPr>
          <w:lang w:val="en-GB"/>
        </w:rPr>
        <w:t xml:space="preserve"> some of the more specific </w:t>
      </w:r>
      <w:r>
        <w:rPr>
          <w:lang w:val="en-GB"/>
        </w:rPr>
        <w:t xml:space="preserve">compliance </w:t>
      </w:r>
      <w:r w:rsidRPr="009E1D3D">
        <w:rPr>
          <w:lang w:val="en-GB"/>
        </w:rPr>
        <w:t xml:space="preserve">patterns </w:t>
      </w:r>
      <w:r>
        <w:rPr>
          <w:lang w:val="en-GB"/>
        </w:rPr>
        <w:t xml:space="preserve">across countries </w:t>
      </w:r>
      <w:r w:rsidRPr="009E1D3D">
        <w:rPr>
          <w:lang w:val="en-GB"/>
        </w:rPr>
        <w:t>fit</w:t>
      </w:r>
      <w:r>
        <w:rPr>
          <w:lang w:val="en-GB"/>
        </w:rPr>
        <w:t xml:space="preserve"> its predictions</w:t>
      </w:r>
      <w:r w:rsidRPr="009E1D3D">
        <w:rPr>
          <w:lang w:val="en-GB"/>
        </w:rPr>
        <w:t>.</w:t>
      </w:r>
    </w:p>
    <w:p w:rsidR="00C237AA" w:rsidRPr="009E1D3D" w:rsidRDefault="00C237AA" w:rsidP="00567477">
      <w:pPr>
        <w:spacing w:line="480" w:lineRule="auto"/>
        <w:jc w:val="both"/>
        <w:rPr>
          <w:lang w:val="en-GB"/>
        </w:rPr>
      </w:pPr>
    </w:p>
    <w:p w:rsidR="00C237AA" w:rsidRPr="009E1D3D" w:rsidRDefault="00C237AA" w:rsidP="00567477">
      <w:pPr>
        <w:keepNext/>
        <w:spacing w:line="480" w:lineRule="auto"/>
        <w:jc w:val="both"/>
        <w:outlineLvl w:val="0"/>
        <w:rPr>
          <w:i/>
          <w:lang w:val="en-GB"/>
        </w:rPr>
      </w:pPr>
      <w:r w:rsidRPr="009E1D3D">
        <w:rPr>
          <w:i/>
          <w:lang w:val="en-GB"/>
        </w:rPr>
        <w:t>Post-accession compliance with liberal democratic conditions</w:t>
      </w:r>
    </w:p>
    <w:p w:rsidR="001F3AE6" w:rsidRPr="009E1D3D" w:rsidRDefault="00C237AA" w:rsidP="00567477">
      <w:pPr>
        <w:spacing w:line="480" w:lineRule="auto"/>
        <w:jc w:val="both"/>
        <w:rPr>
          <w:lang w:val="en-GB"/>
        </w:rPr>
      </w:pPr>
      <w:r>
        <w:rPr>
          <w:lang w:val="en-GB"/>
        </w:rPr>
        <w:t xml:space="preserve">There is no general and sustained deterioration of democracy in the CEE new member states, as the upper line in Figure 2 shows. </w:t>
      </w:r>
      <w:r w:rsidR="001F3AE6" w:rsidRPr="009E1D3D">
        <w:rPr>
          <w:lang w:val="en-GB"/>
        </w:rPr>
        <w:t xml:space="preserve">However, there are cases in which backsliding clearly </w:t>
      </w:r>
      <w:r w:rsidR="001F3AE6">
        <w:rPr>
          <w:lang w:val="en-GB"/>
        </w:rPr>
        <w:t xml:space="preserve">manifests itself in </w:t>
      </w:r>
      <w:r w:rsidR="001F3AE6" w:rsidRPr="009E1D3D">
        <w:rPr>
          <w:lang w:val="en-GB"/>
        </w:rPr>
        <w:t>breaches</w:t>
      </w:r>
      <w:r w:rsidR="001F3AE6">
        <w:rPr>
          <w:lang w:val="en-GB"/>
        </w:rPr>
        <w:t xml:space="preserve"> of</w:t>
      </w:r>
      <w:r w:rsidR="001F3AE6" w:rsidRPr="009E1D3D">
        <w:rPr>
          <w:lang w:val="en-GB"/>
        </w:rPr>
        <w:t xml:space="preserve"> liberal democratic rules. In Hungary (since 2010) and Poland (since 2015), governments of new member states have concentrated power and undermined pluralistic democratic competition. In Romania (in 2013), the government openly defied the rule of law, albeit only temporarily. </w:t>
      </w:r>
    </w:p>
    <w:p w:rsidR="00C237AA" w:rsidRPr="009E1D3D" w:rsidRDefault="00C237AA" w:rsidP="00EB6EFC">
      <w:pPr>
        <w:jc w:val="both"/>
        <w:rPr>
          <w:lang w:val="en-GB"/>
        </w:rPr>
      </w:pPr>
    </w:p>
    <w:p w:rsidR="00C237AA" w:rsidRPr="009E1D3D" w:rsidRDefault="00C237AA" w:rsidP="00EB6EFC">
      <w:pPr>
        <w:keepNext/>
        <w:jc w:val="both"/>
        <w:outlineLvl w:val="0"/>
        <w:rPr>
          <w:i/>
          <w:szCs w:val="23"/>
          <w:lang w:val="en-GB"/>
        </w:rPr>
      </w:pPr>
      <w:r>
        <w:rPr>
          <w:i/>
          <w:szCs w:val="23"/>
          <w:lang w:val="en-GB"/>
        </w:rPr>
        <w:t>Figure 2</w:t>
      </w:r>
      <w:r w:rsidRPr="009E1D3D">
        <w:rPr>
          <w:i/>
          <w:szCs w:val="23"/>
          <w:lang w:val="en-GB"/>
        </w:rPr>
        <w:t xml:space="preserve">: </w:t>
      </w:r>
      <w:r>
        <w:rPr>
          <w:i/>
          <w:szCs w:val="23"/>
          <w:lang w:val="en-GB"/>
        </w:rPr>
        <w:t>Democratic d</w:t>
      </w:r>
      <w:r w:rsidRPr="009E1D3D">
        <w:rPr>
          <w:i/>
          <w:szCs w:val="23"/>
          <w:lang w:val="en-GB"/>
        </w:rPr>
        <w:t xml:space="preserve">evelopment of CEE and SEE </w:t>
      </w:r>
    </w:p>
    <w:p w:rsidR="00C237AA" w:rsidRPr="009E1D3D" w:rsidRDefault="00C237AA" w:rsidP="00EB6EFC">
      <w:pPr>
        <w:jc w:val="both"/>
        <w:rPr>
          <w:szCs w:val="23"/>
          <w:lang w:val="en-GB"/>
        </w:rPr>
      </w:pPr>
      <w:r w:rsidRPr="00617D07">
        <w:rPr>
          <w:noProof/>
          <w:szCs w:val="23"/>
          <w:lang w:eastAsia="de-CH"/>
        </w:rPr>
        <w:drawing>
          <wp:inline distT="0" distB="0" distL="0" distR="0" wp14:anchorId="31670AF4" wp14:editId="591C0B82">
            <wp:extent cx="2634933" cy="16132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512" cy="1642423"/>
                    </a:xfrm>
                    <a:prstGeom prst="rect">
                      <a:avLst/>
                    </a:prstGeom>
                    <a:noFill/>
                    <a:ln>
                      <a:noFill/>
                    </a:ln>
                  </pic:spPr>
                </pic:pic>
              </a:graphicData>
            </a:graphic>
          </wp:inline>
        </w:drawing>
      </w:r>
      <w:r>
        <w:rPr>
          <w:szCs w:val="23"/>
          <w:lang w:val="en-GB"/>
        </w:rPr>
        <w:t xml:space="preserve">           </w:t>
      </w:r>
      <w:r w:rsidRPr="00617D07">
        <w:rPr>
          <w:i/>
          <w:noProof/>
          <w:szCs w:val="23"/>
          <w:lang w:eastAsia="de-CH"/>
        </w:rPr>
        <w:drawing>
          <wp:inline distT="0" distB="0" distL="0" distR="0" wp14:anchorId="23F2550B" wp14:editId="22B5402B">
            <wp:extent cx="2660073" cy="162868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869" cy="1651826"/>
                    </a:xfrm>
                    <a:prstGeom prst="rect">
                      <a:avLst/>
                    </a:prstGeom>
                    <a:noFill/>
                    <a:ln>
                      <a:noFill/>
                    </a:ln>
                  </pic:spPr>
                </pic:pic>
              </a:graphicData>
            </a:graphic>
          </wp:inline>
        </w:drawing>
      </w:r>
    </w:p>
    <w:p w:rsidR="00C237AA" w:rsidRPr="009E1D3D" w:rsidRDefault="00C237AA" w:rsidP="00EB6EFC">
      <w:pPr>
        <w:jc w:val="both"/>
        <w:rPr>
          <w:szCs w:val="23"/>
          <w:lang w:val="en-GB"/>
        </w:rPr>
      </w:pPr>
      <w:r w:rsidRPr="009E1D3D">
        <w:rPr>
          <w:szCs w:val="23"/>
          <w:lang w:val="en-GB"/>
        </w:rPr>
        <w:t xml:space="preserve">Note: </w:t>
      </w:r>
      <w:r>
        <w:rPr>
          <w:szCs w:val="23"/>
          <w:lang w:val="en-GB"/>
        </w:rPr>
        <w:t xml:space="preserve">mean </w:t>
      </w:r>
      <w:r>
        <w:rPr>
          <w:lang w:val="en-GB"/>
        </w:rPr>
        <w:t xml:space="preserve">of </w:t>
      </w:r>
      <w:r w:rsidRPr="009E1D3D">
        <w:rPr>
          <w:lang w:val="en-GB"/>
        </w:rPr>
        <w:t xml:space="preserve">Worldwide Governance Indicators </w:t>
      </w:r>
      <w:r>
        <w:rPr>
          <w:lang w:val="en-GB"/>
        </w:rPr>
        <w:t xml:space="preserve">of </w:t>
      </w:r>
      <w:r w:rsidRPr="009E1D3D">
        <w:rPr>
          <w:lang w:val="en-GB"/>
        </w:rPr>
        <w:t>‘Voice and Accountability’ and ‘Rule of Law’</w:t>
      </w:r>
      <w:r>
        <w:rPr>
          <w:lang w:val="en-GB"/>
        </w:rPr>
        <w:t>. Left panel: ten</w:t>
      </w:r>
      <w:r w:rsidRPr="009E1D3D">
        <w:rPr>
          <w:lang w:val="en-GB"/>
        </w:rPr>
        <w:t xml:space="preserve"> Central and Eastern European new member states</w:t>
      </w:r>
      <w:r>
        <w:rPr>
          <w:lang w:val="en-GB"/>
        </w:rPr>
        <w:t xml:space="preserve"> (solid line) and the Western Balkans (without Kosovo) and Turkey (dashed line). Right panel: individual SEE countries.</w:t>
      </w:r>
    </w:p>
    <w:p w:rsidR="00C237AA" w:rsidRDefault="00C237AA" w:rsidP="00EB6EFC">
      <w:pPr>
        <w:jc w:val="both"/>
        <w:rPr>
          <w:lang w:val="en-GB"/>
        </w:rPr>
      </w:pPr>
    </w:p>
    <w:p w:rsidR="00C237AA" w:rsidRPr="009E1D3D" w:rsidRDefault="00C237AA" w:rsidP="00AB2FFB">
      <w:pPr>
        <w:spacing w:line="480" w:lineRule="auto"/>
        <w:jc w:val="both"/>
        <w:rPr>
          <w:lang w:val="en-GB"/>
        </w:rPr>
      </w:pPr>
      <w:r>
        <w:rPr>
          <w:lang w:val="en-GB"/>
        </w:rPr>
        <w:t xml:space="preserve">The EIM does not necessarily expect </w:t>
      </w:r>
      <w:r w:rsidRPr="009E1D3D">
        <w:rPr>
          <w:lang w:val="en-GB"/>
        </w:rPr>
        <w:t xml:space="preserve">a </w:t>
      </w:r>
      <w:r>
        <w:rPr>
          <w:lang w:val="en-GB"/>
        </w:rPr>
        <w:t xml:space="preserve">general </w:t>
      </w:r>
      <w:r w:rsidRPr="009E1D3D">
        <w:rPr>
          <w:lang w:val="en-GB"/>
        </w:rPr>
        <w:t xml:space="preserve">deterioration of </w:t>
      </w:r>
      <w:r>
        <w:rPr>
          <w:lang w:val="en-GB"/>
        </w:rPr>
        <w:t xml:space="preserve">compliance with </w:t>
      </w:r>
      <w:r w:rsidRPr="009E1D3D">
        <w:rPr>
          <w:lang w:val="en-GB"/>
        </w:rPr>
        <w:t>democra</w:t>
      </w:r>
      <w:r>
        <w:rPr>
          <w:lang w:val="en-GB"/>
        </w:rPr>
        <w:t>tic norms</w:t>
      </w:r>
      <w:r w:rsidRPr="009E1D3D">
        <w:rPr>
          <w:lang w:val="en-GB"/>
        </w:rPr>
        <w:t xml:space="preserve"> in the new members</w:t>
      </w:r>
      <w:r>
        <w:rPr>
          <w:lang w:val="en-GB"/>
        </w:rPr>
        <w:t xml:space="preserve">. The weakened incentive structure for compliance removes a constraint on backsliding, but it depends on domestic dynamics that are beyond the scope of the EIM whether governments decide that compliance is too costly. In other words, </w:t>
      </w:r>
      <w:r w:rsidRPr="009E1D3D">
        <w:rPr>
          <w:lang w:val="en-GB"/>
        </w:rPr>
        <w:t>the EIM</w:t>
      </w:r>
      <w:r>
        <w:rPr>
          <w:lang w:val="en-GB"/>
        </w:rPr>
        <w:t xml:space="preserve"> does not pertain to explanations for why certain countries </w:t>
      </w:r>
      <w:r w:rsidRPr="009E1D3D">
        <w:rPr>
          <w:lang w:val="en-GB"/>
        </w:rPr>
        <w:t>backslid</w:t>
      </w:r>
      <w:r>
        <w:rPr>
          <w:lang w:val="en-GB"/>
        </w:rPr>
        <w:t xml:space="preserve">e but not others. </w:t>
      </w:r>
      <w:r w:rsidRPr="009E1D3D">
        <w:rPr>
          <w:lang w:val="en-GB"/>
        </w:rPr>
        <w:t xml:space="preserve">However, the EIM correctly predicts </w:t>
      </w:r>
      <w:r>
        <w:rPr>
          <w:lang w:val="en-GB"/>
        </w:rPr>
        <w:t xml:space="preserve">that once </w:t>
      </w:r>
      <w:r w:rsidRPr="009E1D3D">
        <w:rPr>
          <w:lang w:val="en-GB"/>
        </w:rPr>
        <w:t xml:space="preserve">backsliding </w:t>
      </w:r>
      <w:r>
        <w:rPr>
          <w:lang w:val="en-GB"/>
        </w:rPr>
        <w:t xml:space="preserve">occurred </w:t>
      </w:r>
      <w:r w:rsidRPr="009E1D3D">
        <w:rPr>
          <w:lang w:val="en-GB"/>
        </w:rPr>
        <w:t>in Hungary and Poland</w:t>
      </w:r>
      <w:r>
        <w:rPr>
          <w:lang w:val="en-GB"/>
        </w:rPr>
        <w:t>,</w:t>
      </w:r>
      <w:r w:rsidRPr="009E1D3D">
        <w:rPr>
          <w:lang w:val="en-GB"/>
        </w:rPr>
        <w:t xml:space="preserve"> EU institutions </w:t>
      </w:r>
      <w:r>
        <w:rPr>
          <w:lang w:val="en-GB"/>
        </w:rPr>
        <w:t xml:space="preserve">were unable </w:t>
      </w:r>
      <w:r w:rsidRPr="009E1D3D">
        <w:rPr>
          <w:lang w:val="en-GB"/>
        </w:rPr>
        <w:t xml:space="preserve">to redress </w:t>
      </w:r>
      <w:r>
        <w:rPr>
          <w:lang w:val="en-GB"/>
        </w:rPr>
        <w:t xml:space="preserve">it </w:t>
      </w:r>
      <w:r w:rsidRPr="009E1D3D">
        <w:rPr>
          <w:lang w:val="en-GB"/>
        </w:rPr>
        <w:t xml:space="preserve">due to the lack of credible sanctions. And while the EIM struggles to explain why the Romanian government </w:t>
      </w:r>
      <w:r>
        <w:rPr>
          <w:lang w:val="en-GB"/>
        </w:rPr>
        <w:t>broadly</w:t>
      </w:r>
      <w:r w:rsidRPr="009E1D3D">
        <w:rPr>
          <w:lang w:val="en-GB"/>
        </w:rPr>
        <w:t xml:space="preserve"> complied with the demands of the presidents of the Commission and the Council to cease its breaches of the rule of law (Sedelmeier 2014), it correctly predicts that compliance </w:t>
      </w:r>
      <w:r>
        <w:rPr>
          <w:lang w:val="en-GB"/>
        </w:rPr>
        <w:t>wa</w:t>
      </w:r>
      <w:r w:rsidRPr="009E1D3D">
        <w:rPr>
          <w:lang w:val="en-GB"/>
        </w:rPr>
        <w:t>s more likely in the Romanian case than in Hungary or Poland. The Romanian government broke the rule of law to impeach a deeply unpopular president who was unlikely to win re-election in the following year. These measures were therefore hardly necessary to maintain or win office</w:t>
      </w:r>
      <w:r>
        <w:rPr>
          <w:lang w:val="en-GB"/>
        </w:rPr>
        <w:t>.</w:t>
      </w:r>
      <w:r w:rsidRPr="009E1D3D">
        <w:rPr>
          <w:lang w:val="en-GB"/>
        </w:rPr>
        <w:t xml:space="preserve"> </w:t>
      </w:r>
      <w:r>
        <w:rPr>
          <w:lang w:val="en-GB"/>
        </w:rPr>
        <w:t>R</w:t>
      </w:r>
      <w:r w:rsidRPr="009E1D3D">
        <w:rPr>
          <w:lang w:val="en-GB"/>
        </w:rPr>
        <w:t xml:space="preserve">estoring compliance was </w:t>
      </w:r>
      <w:r>
        <w:rPr>
          <w:lang w:val="en-GB"/>
        </w:rPr>
        <w:t>accordingly</w:t>
      </w:r>
      <w:r w:rsidRPr="009E1D3D">
        <w:rPr>
          <w:lang w:val="en-GB"/>
        </w:rPr>
        <w:t xml:space="preserve"> much less costly than in Hungary or Poland. The EIM therefore correctly predicts that the influence of EU institutions on compliance decreases, the more a government’s hold on power depends on its illiberal practices (Sedelmeier 2017). Moreover, the EIM also correctly predicts that the influence of the EU in the Hungarian case is strongest with regard to those selective issues in which illiberal practices also infringed the EU acquis, which allowed the Commission to use the compliance procedures under Article 258 TFEU</w:t>
      </w:r>
      <w:r>
        <w:rPr>
          <w:lang w:val="en-GB"/>
        </w:rPr>
        <w:t xml:space="preserve"> </w:t>
      </w:r>
      <w:r w:rsidRPr="009E1D3D">
        <w:rPr>
          <w:lang w:val="en-GB"/>
        </w:rPr>
        <w:t xml:space="preserve">(Sedelmeier 2014). </w:t>
      </w:r>
    </w:p>
    <w:p w:rsidR="00C237AA" w:rsidRDefault="00C237AA" w:rsidP="00A45C60">
      <w:pPr>
        <w:spacing w:line="480" w:lineRule="auto"/>
        <w:jc w:val="both"/>
        <w:rPr>
          <w:lang w:val="en-GB"/>
        </w:rPr>
      </w:pPr>
      <w:r w:rsidRPr="009E1D3D">
        <w:rPr>
          <w:lang w:val="en-GB"/>
        </w:rPr>
        <w:t xml:space="preserve">In sum, post-accession compliance with democratic </w:t>
      </w:r>
      <w:r>
        <w:rPr>
          <w:lang w:val="en-GB"/>
        </w:rPr>
        <w:t>norms broadly</w:t>
      </w:r>
      <w:r w:rsidRPr="009E1D3D">
        <w:rPr>
          <w:lang w:val="en-GB"/>
        </w:rPr>
        <w:t xml:space="preserve"> confirms the expectations of the EIM</w:t>
      </w:r>
      <w:r>
        <w:rPr>
          <w:lang w:val="en-GB"/>
        </w:rPr>
        <w:t xml:space="preserve">. While a complete absence of non-compliance would not necessarily have been considered contrary to the model, it would have disconfirmed its explanatory power if EU institutions had been able </w:t>
      </w:r>
      <w:r w:rsidRPr="009E1D3D">
        <w:rPr>
          <w:lang w:val="en-GB"/>
        </w:rPr>
        <w:t xml:space="preserve">to redress non-compliance in Hungary and Poland, </w:t>
      </w:r>
      <w:r>
        <w:rPr>
          <w:lang w:val="en-GB"/>
        </w:rPr>
        <w:t>despite</w:t>
      </w:r>
      <w:r w:rsidRPr="009E1D3D">
        <w:rPr>
          <w:lang w:val="en-GB"/>
        </w:rPr>
        <w:t xml:space="preserve"> the lack of credible sanctions and high compliance costs for the governments concerned. </w:t>
      </w:r>
    </w:p>
    <w:p w:rsidR="00C237AA" w:rsidRPr="009E1D3D" w:rsidRDefault="00D65B00" w:rsidP="00A45C60">
      <w:pPr>
        <w:spacing w:line="480" w:lineRule="auto"/>
        <w:jc w:val="both"/>
        <w:rPr>
          <w:lang w:val="en-GB"/>
        </w:rPr>
      </w:pPr>
      <w:r>
        <w:rPr>
          <w:lang w:val="en-GB"/>
        </w:rPr>
        <w:t>C</w:t>
      </w:r>
      <w:r w:rsidR="00C237AA" w:rsidRPr="009E1D3D">
        <w:rPr>
          <w:lang w:val="en-GB"/>
        </w:rPr>
        <w:t>ompare</w:t>
      </w:r>
      <w:r>
        <w:rPr>
          <w:lang w:val="en-GB"/>
        </w:rPr>
        <w:t>d to</w:t>
      </w:r>
      <w:r w:rsidR="00C237AA" w:rsidRPr="009E1D3D">
        <w:rPr>
          <w:lang w:val="en-GB"/>
        </w:rPr>
        <w:t xml:space="preserve"> the p</w:t>
      </w:r>
      <w:r>
        <w:rPr>
          <w:lang w:val="en-GB"/>
        </w:rPr>
        <w:t>re</w:t>
      </w:r>
      <w:r w:rsidR="00C237AA" w:rsidRPr="009E1D3D">
        <w:rPr>
          <w:lang w:val="en-GB"/>
        </w:rPr>
        <w:t>-accession context</w:t>
      </w:r>
      <w:r>
        <w:rPr>
          <w:lang w:val="en-GB"/>
        </w:rPr>
        <w:t>,</w:t>
      </w:r>
      <w:r w:rsidR="00C237AA" w:rsidRPr="009E1D3D">
        <w:rPr>
          <w:lang w:val="en-GB"/>
        </w:rPr>
        <w:t xml:space="preserve"> the EU’s </w:t>
      </w:r>
      <w:r w:rsidR="00A45C60">
        <w:rPr>
          <w:lang w:val="en-GB"/>
        </w:rPr>
        <w:t xml:space="preserve">(negative) </w:t>
      </w:r>
      <w:r w:rsidR="00C237AA">
        <w:rPr>
          <w:lang w:val="en-GB"/>
        </w:rPr>
        <w:t>rewards</w:t>
      </w:r>
      <w:r w:rsidR="00C237AA" w:rsidRPr="009E1D3D">
        <w:rPr>
          <w:lang w:val="en-GB"/>
        </w:rPr>
        <w:t xml:space="preserve"> for compliance are generally weaker</w:t>
      </w:r>
      <w:r>
        <w:rPr>
          <w:lang w:val="en-GB"/>
        </w:rPr>
        <w:t xml:space="preserve"> in the</w:t>
      </w:r>
      <w:r w:rsidRPr="009E1D3D">
        <w:rPr>
          <w:lang w:val="en-GB"/>
        </w:rPr>
        <w:t xml:space="preserve"> p</w:t>
      </w:r>
      <w:r>
        <w:rPr>
          <w:lang w:val="en-GB"/>
        </w:rPr>
        <w:t>ost</w:t>
      </w:r>
      <w:r w:rsidRPr="009E1D3D">
        <w:rPr>
          <w:lang w:val="en-GB"/>
        </w:rPr>
        <w:t>-accession period</w:t>
      </w:r>
      <w:r w:rsidR="00A45C60">
        <w:rPr>
          <w:lang w:val="en-GB"/>
        </w:rPr>
        <w:t xml:space="preserve">, for </w:t>
      </w:r>
      <w:r>
        <w:rPr>
          <w:lang w:val="en-GB"/>
        </w:rPr>
        <w:t xml:space="preserve">both </w:t>
      </w:r>
      <w:r w:rsidRPr="009E1D3D">
        <w:rPr>
          <w:lang w:val="en-GB"/>
        </w:rPr>
        <w:t>the acquis and liberal democracy</w:t>
      </w:r>
      <w:r w:rsidR="00C237AA" w:rsidRPr="009E1D3D">
        <w:rPr>
          <w:lang w:val="en-GB"/>
        </w:rPr>
        <w:t>. The crucial difference concerns the low credibility of the threat to use sanctions after accession with regard to breaches of liberal democracy</w:t>
      </w:r>
      <w:r w:rsidR="00C237AA">
        <w:rPr>
          <w:lang w:val="en-GB"/>
        </w:rPr>
        <w:t>,</w:t>
      </w:r>
      <w:r w:rsidR="00C237AA" w:rsidRPr="00871595">
        <w:rPr>
          <w:lang w:val="en-GB"/>
        </w:rPr>
        <w:t xml:space="preserve"> </w:t>
      </w:r>
      <w:r w:rsidR="00C237AA">
        <w:rPr>
          <w:lang w:val="en-GB"/>
        </w:rPr>
        <w:t>even if they are potentially</w:t>
      </w:r>
      <w:r w:rsidR="00C237AA" w:rsidRPr="009E1D3D">
        <w:rPr>
          <w:lang w:val="en-GB"/>
        </w:rPr>
        <w:t xml:space="preserve"> sizeable. </w:t>
      </w:r>
      <w:r w:rsidR="00C237AA">
        <w:rPr>
          <w:lang w:val="en-GB"/>
        </w:rPr>
        <w:t>In view of the weaker rewards, it may be surprising for the EIM that post-accession compliance with the single market acquis generally remains so good</w:t>
      </w:r>
      <w:r w:rsidR="00C237AA" w:rsidRPr="009E1D3D">
        <w:rPr>
          <w:lang w:val="en-GB"/>
        </w:rPr>
        <w:t xml:space="preserve">. </w:t>
      </w:r>
      <w:r w:rsidR="00C237AA">
        <w:rPr>
          <w:lang w:val="en-GB"/>
        </w:rPr>
        <w:t>B</w:t>
      </w:r>
      <w:r w:rsidR="00C237AA" w:rsidRPr="009E1D3D">
        <w:rPr>
          <w:lang w:val="en-GB"/>
        </w:rPr>
        <w:t>ut the broader pattern</w:t>
      </w:r>
      <w:r w:rsidR="00C237AA">
        <w:rPr>
          <w:lang w:val="en-GB"/>
        </w:rPr>
        <w:t xml:space="preserve"> of a </w:t>
      </w:r>
      <w:r w:rsidR="00C237AA" w:rsidRPr="009E1D3D">
        <w:rPr>
          <w:lang w:val="en-GB"/>
        </w:rPr>
        <w:t xml:space="preserve">greater severity of compliance problems </w:t>
      </w:r>
      <w:r w:rsidR="00C237AA">
        <w:rPr>
          <w:lang w:val="en-GB"/>
        </w:rPr>
        <w:t xml:space="preserve">with regard to democracy </w:t>
      </w:r>
      <w:r w:rsidR="00C237AA" w:rsidRPr="009E1D3D">
        <w:rPr>
          <w:lang w:val="en-GB"/>
        </w:rPr>
        <w:t xml:space="preserve">than </w:t>
      </w:r>
      <w:r w:rsidR="00C237AA">
        <w:rPr>
          <w:lang w:val="en-GB"/>
        </w:rPr>
        <w:t>with the</w:t>
      </w:r>
      <w:r w:rsidR="00C237AA" w:rsidRPr="009E1D3D">
        <w:rPr>
          <w:lang w:val="en-GB"/>
        </w:rPr>
        <w:t xml:space="preserve"> acquis fit</w:t>
      </w:r>
      <w:r w:rsidR="00C237AA">
        <w:rPr>
          <w:lang w:val="en-GB"/>
        </w:rPr>
        <w:t>s</w:t>
      </w:r>
      <w:r w:rsidR="00C237AA" w:rsidRPr="009E1D3D">
        <w:rPr>
          <w:lang w:val="en-GB"/>
        </w:rPr>
        <w:t xml:space="preserve"> well with the predictions of the EIM.  </w:t>
      </w:r>
      <w:r w:rsidR="00C237AA">
        <w:rPr>
          <w:lang w:val="en-GB"/>
        </w:rPr>
        <w:t>A</w:t>
      </w:r>
      <w:r w:rsidR="00C237AA" w:rsidRPr="009E1D3D">
        <w:rPr>
          <w:lang w:val="en-GB"/>
        </w:rPr>
        <w:t xml:space="preserve"> focus on credibility and domestic compliance costs explains well why compliance has been more problematic in th</w:t>
      </w:r>
      <w:r w:rsidR="00C237AA">
        <w:rPr>
          <w:lang w:val="en-GB"/>
        </w:rPr>
        <w:t>e area of democracy</w:t>
      </w:r>
      <w:r w:rsidR="00C237AA" w:rsidRPr="009E1D3D">
        <w:rPr>
          <w:lang w:val="en-GB"/>
        </w:rPr>
        <w:t xml:space="preserve">, and why EU institutions have been </w:t>
      </w:r>
      <w:r w:rsidR="00C237AA">
        <w:rPr>
          <w:lang w:val="en-GB"/>
        </w:rPr>
        <w:t>in</w:t>
      </w:r>
      <w:r w:rsidR="00C237AA" w:rsidRPr="009E1D3D">
        <w:rPr>
          <w:lang w:val="en-GB"/>
        </w:rPr>
        <w:t xml:space="preserve">effective in redressing </w:t>
      </w:r>
      <w:r w:rsidR="00C237AA">
        <w:rPr>
          <w:lang w:val="en-GB"/>
        </w:rPr>
        <w:t xml:space="preserve">these </w:t>
      </w:r>
      <w:r w:rsidR="00C237AA" w:rsidRPr="009E1D3D">
        <w:rPr>
          <w:lang w:val="en-GB"/>
        </w:rPr>
        <w:t>compliance problems in Hungary and Poland.</w:t>
      </w:r>
    </w:p>
    <w:p w:rsidR="00C237AA" w:rsidRPr="009E1D3D" w:rsidRDefault="00C237AA" w:rsidP="00A45C60">
      <w:pPr>
        <w:spacing w:line="480" w:lineRule="auto"/>
        <w:jc w:val="both"/>
        <w:rPr>
          <w:lang w:val="en-GB"/>
        </w:rPr>
      </w:pPr>
    </w:p>
    <w:p w:rsidR="00C237AA" w:rsidRPr="009E1D3D" w:rsidRDefault="00C237AA" w:rsidP="00A45C60">
      <w:pPr>
        <w:spacing w:line="480" w:lineRule="auto"/>
        <w:jc w:val="both"/>
        <w:outlineLvl w:val="0"/>
        <w:rPr>
          <w:b/>
          <w:lang w:val="en-GB"/>
        </w:rPr>
      </w:pPr>
      <w:r w:rsidRPr="009E1D3D">
        <w:rPr>
          <w:b/>
          <w:lang w:val="en-GB"/>
        </w:rPr>
        <w:t>SEE in pre-accession: the current candidates</w:t>
      </w:r>
    </w:p>
    <w:p w:rsidR="00C237AA" w:rsidRPr="009E1D3D" w:rsidRDefault="00C237AA" w:rsidP="00A45C60">
      <w:pPr>
        <w:spacing w:line="480" w:lineRule="auto"/>
        <w:jc w:val="both"/>
        <w:rPr>
          <w:lang w:val="en-GB"/>
        </w:rPr>
      </w:pPr>
      <w:r w:rsidRPr="009E1D3D">
        <w:rPr>
          <w:lang w:val="en-GB"/>
        </w:rPr>
        <w:t xml:space="preserve">Already before completing its </w:t>
      </w:r>
      <w:r>
        <w:rPr>
          <w:lang w:val="en-GB"/>
        </w:rPr>
        <w:t>f</w:t>
      </w:r>
      <w:r w:rsidRPr="009E1D3D">
        <w:rPr>
          <w:lang w:val="en-GB"/>
        </w:rPr>
        <w:t xml:space="preserve">ifth </w:t>
      </w:r>
      <w:r>
        <w:rPr>
          <w:lang w:val="en-GB"/>
        </w:rPr>
        <w:t>e</w:t>
      </w:r>
      <w:r w:rsidRPr="009E1D3D">
        <w:rPr>
          <w:lang w:val="en-GB"/>
        </w:rPr>
        <w:t xml:space="preserve">nlargement, the EU had begun to </w:t>
      </w:r>
      <w:r>
        <w:rPr>
          <w:lang w:val="en-GB"/>
        </w:rPr>
        <w:t>extend</w:t>
      </w:r>
      <w:r w:rsidRPr="009E1D3D">
        <w:rPr>
          <w:lang w:val="en-GB"/>
        </w:rPr>
        <w:t xml:space="preserve"> its enlargement policy beyond the CEE</w:t>
      </w:r>
      <w:r>
        <w:rPr>
          <w:lang w:val="en-GB"/>
        </w:rPr>
        <w:t>Cs.</w:t>
      </w:r>
      <w:r w:rsidRPr="009E1D3D">
        <w:rPr>
          <w:lang w:val="en-GB"/>
        </w:rPr>
        <w:t xml:space="preserve"> In 1999, it started the stabilization and association process with the countries of the Western Balkans and promoted Turkey to </w:t>
      </w:r>
      <w:r>
        <w:rPr>
          <w:lang w:val="en-GB"/>
        </w:rPr>
        <w:t>‘</w:t>
      </w:r>
      <w:r w:rsidRPr="009E1D3D">
        <w:rPr>
          <w:lang w:val="en-GB"/>
        </w:rPr>
        <w:t>official candidate</w:t>
      </w:r>
      <w:r>
        <w:rPr>
          <w:lang w:val="en-GB"/>
        </w:rPr>
        <w:t>’</w:t>
      </w:r>
      <w:r w:rsidRPr="009E1D3D">
        <w:rPr>
          <w:lang w:val="en-GB"/>
        </w:rPr>
        <w:t xml:space="preserve"> status. At the Thessaloniki European Council of 2003, the EU confirmed and reinforced the membership perspective for the Western Balkans. In 2005, the EU started accession negotiations with Croatia and Turkey</w:t>
      </w:r>
      <w:r>
        <w:rPr>
          <w:lang w:val="en-GB"/>
        </w:rPr>
        <w:t>.  As in the previous section, we start with discussing the relevant conditions and deriving predictions, and then assess these predictions against the evidence of SEE Europeanization.</w:t>
      </w:r>
    </w:p>
    <w:p w:rsidR="00C237AA" w:rsidRPr="009E1D3D" w:rsidRDefault="00C237AA" w:rsidP="00A45C60">
      <w:pPr>
        <w:spacing w:line="480" w:lineRule="auto"/>
        <w:jc w:val="both"/>
        <w:rPr>
          <w:lang w:val="en-GB"/>
        </w:rPr>
      </w:pPr>
    </w:p>
    <w:p w:rsidR="00C237AA" w:rsidRPr="009E1D3D" w:rsidRDefault="00C237AA" w:rsidP="00A45C60">
      <w:pPr>
        <w:keepNext/>
        <w:spacing w:line="480" w:lineRule="auto"/>
        <w:jc w:val="both"/>
        <w:outlineLvl w:val="0"/>
        <w:rPr>
          <w:i/>
          <w:lang w:val="en-GB"/>
        </w:rPr>
      </w:pPr>
      <w:r w:rsidRPr="009E1D3D">
        <w:rPr>
          <w:i/>
          <w:lang w:val="en-GB"/>
        </w:rPr>
        <w:t>Conditions of pre-accession compliance</w:t>
      </w:r>
    </w:p>
    <w:p w:rsidR="00C237AA" w:rsidRPr="009E1D3D" w:rsidRDefault="00C237AA" w:rsidP="00A45C60">
      <w:pPr>
        <w:spacing w:line="480" w:lineRule="auto"/>
        <w:jc w:val="both"/>
        <w:rPr>
          <w:lang w:val="en-GB"/>
        </w:rPr>
      </w:pPr>
      <w:r w:rsidRPr="009E1D3D">
        <w:rPr>
          <w:i/>
          <w:lang w:val="en-GB"/>
        </w:rPr>
        <w:t>Rewards</w:t>
      </w:r>
      <w:r>
        <w:rPr>
          <w:i/>
          <w:lang w:val="en-GB"/>
        </w:rPr>
        <w:t xml:space="preserve"> and credibility</w:t>
      </w:r>
      <w:r w:rsidRPr="009E1D3D">
        <w:rPr>
          <w:i/>
          <w:lang w:val="en-GB"/>
        </w:rPr>
        <w:t xml:space="preserve">. </w:t>
      </w:r>
      <w:r w:rsidR="00F81CB8">
        <w:rPr>
          <w:lang w:val="en-GB"/>
        </w:rPr>
        <w:t xml:space="preserve">As </w:t>
      </w:r>
      <w:r>
        <w:rPr>
          <w:lang w:val="en-GB"/>
        </w:rPr>
        <w:t>t</w:t>
      </w:r>
      <w:r w:rsidRPr="009E1D3D">
        <w:rPr>
          <w:lang w:val="en-GB"/>
        </w:rPr>
        <w:t xml:space="preserve">he EU promised all </w:t>
      </w:r>
      <w:r>
        <w:rPr>
          <w:lang w:val="en-GB"/>
        </w:rPr>
        <w:t xml:space="preserve">SEE </w:t>
      </w:r>
      <w:proofErr w:type="gramStart"/>
      <w:r>
        <w:rPr>
          <w:lang w:val="en-GB"/>
        </w:rPr>
        <w:t>candidates</w:t>
      </w:r>
      <w:proofErr w:type="gramEnd"/>
      <w:r>
        <w:rPr>
          <w:lang w:val="en-GB"/>
        </w:rPr>
        <w:t xml:space="preserve"> </w:t>
      </w:r>
      <w:r w:rsidRPr="009E1D3D">
        <w:rPr>
          <w:lang w:val="en-GB"/>
        </w:rPr>
        <w:t>full membership</w:t>
      </w:r>
      <w:r>
        <w:rPr>
          <w:lang w:val="en-GB"/>
        </w:rPr>
        <w:t xml:space="preserve">, the size of the reward does not differ from CEE pre-accession. The same is true for the credibility of the EU’s threat </w:t>
      </w:r>
      <w:r w:rsidRPr="009E1D3D">
        <w:rPr>
          <w:lang w:val="en-GB"/>
        </w:rPr>
        <w:t>to withhold membe</w:t>
      </w:r>
      <w:r>
        <w:rPr>
          <w:lang w:val="en-GB"/>
        </w:rPr>
        <w:t>rship in case of non-compliance.</w:t>
      </w:r>
      <w:r w:rsidRPr="009E1D3D">
        <w:rPr>
          <w:lang w:val="en-GB"/>
        </w:rPr>
        <w:t xml:space="preserve"> Asymmetrical interdependence works strongly in favo</w:t>
      </w:r>
      <w:r>
        <w:rPr>
          <w:lang w:val="en-GB"/>
        </w:rPr>
        <w:t>u</w:t>
      </w:r>
      <w:r w:rsidRPr="009E1D3D">
        <w:rPr>
          <w:lang w:val="en-GB"/>
        </w:rPr>
        <w:t>r of the EU, and while the EU has an interest in the stability and integration of the region, this interest will keep the EU engaged, but does not create an unconditional push towards enlargement (</w:t>
      </w:r>
      <w:proofErr w:type="spellStart"/>
      <w:r w:rsidRPr="009E1D3D">
        <w:rPr>
          <w:lang w:val="en-GB"/>
        </w:rPr>
        <w:t>Vachudova</w:t>
      </w:r>
      <w:proofErr w:type="spellEnd"/>
      <w:r w:rsidRPr="009E1D3D">
        <w:rPr>
          <w:lang w:val="en-GB"/>
        </w:rPr>
        <w:t xml:space="preserve"> 2014). </w:t>
      </w:r>
    </w:p>
    <w:p w:rsidR="00C237AA" w:rsidRDefault="00C237AA" w:rsidP="00A45C60">
      <w:pPr>
        <w:spacing w:line="480" w:lineRule="auto"/>
        <w:jc w:val="both"/>
        <w:rPr>
          <w:lang w:val="en-GB"/>
        </w:rPr>
      </w:pPr>
      <w:r w:rsidRPr="009E1D3D">
        <w:rPr>
          <w:lang w:val="en-GB"/>
        </w:rPr>
        <w:t>If anything, the SEE countries are less relevant and attractive for the EU economies, and more dependent on external support than the CEECs</w:t>
      </w:r>
      <w:r>
        <w:rPr>
          <w:lang w:val="en-GB"/>
        </w:rPr>
        <w:t>,</w:t>
      </w:r>
      <w:r w:rsidRPr="009E1D3D">
        <w:rPr>
          <w:lang w:val="en-GB"/>
        </w:rPr>
        <w:t xml:space="preserve"> given their smaller size and lower level of economic development. </w:t>
      </w:r>
      <w:r>
        <w:rPr>
          <w:lang w:val="en-GB"/>
        </w:rPr>
        <w:t xml:space="preserve">Whereas the </w:t>
      </w:r>
      <w:r w:rsidRPr="009E1D3D">
        <w:rPr>
          <w:lang w:val="en-GB"/>
        </w:rPr>
        <w:t>Western Balkans account</w:t>
      </w:r>
      <w:r>
        <w:rPr>
          <w:lang w:val="en-GB"/>
        </w:rPr>
        <w:t>ed</w:t>
      </w:r>
      <w:r w:rsidRPr="009E1D3D">
        <w:rPr>
          <w:lang w:val="en-GB"/>
        </w:rPr>
        <w:t xml:space="preserve"> for </w:t>
      </w:r>
      <w:r>
        <w:rPr>
          <w:lang w:val="en-GB"/>
        </w:rPr>
        <w:t xml:space="preserve">only 1.3 percent of EU trade, </w:t>
      </w:r>
      <w:r w:rsidRPr="009E1D3D">
        <w:rPr>
          <w:lang w:val="en-GB"/>
        </w:rPr>
        <w:t xml:space="preserve">the EU </w:t>
      </w:r>
      <w:r>
        <w:rPr>
          <w:lang w:val="en-GB"/>
        </w:rPr>
        <w:t xml:space="preserve">share of the </w:t>
      </w:r>
      <w:r w:rsidRPr="009E1D3D">
        <w:rPr>
          <w:lang w:val="en-GB"/>
        </w:rPr>
        <w:t>Western Balkans’ total trade</w:t>
      </w:r>
      <w:r>
        <w:rPr>
          <w:lang w:val="en-GB"/>
        </w:rPr>
        <w:t xml:space="preserve"> is 73 percent</w:t>
      </w:r>
      <w:r w:rsidRPr="009E1D3D">
        <w:rPr>
          <w:lang w:val="en-GB"/>
        </w:rPr>
        <w:t>.</w:t>
      </w:r>
      <w:r w:rsidRPr="009E1D3D">
        <w:rPr>
          <w:rStyle w:val="EndnoteReference"/>
          <w:lang w:val="en-GB"/>
        </w:rPr>
        <w:endnoteReference w:id="2"/>
      </w:r>
      <w:r w:rsidRPr="009E1D3D">
        <w:rPr>
          <w:lang w:val="en-GB"/>
        </w:rPr>
        <w:t xml:space="preserve"> Turkey </w:t>
      </w:r>
      <w:r>
        <w:rPr>
          <w:lang w:val="en-GB"/>
        </w:rPr>
        <w:t>has been</w:t>
      </w:r>
      <w:r w:rsidRPr="009E1D3D">
        <w:rPr>
          <w:lang w:val="en-GB"/>
        </w:rPr>
        <w:t xml:space="preserve"> in a stronger position </w:t>
      </w:r>
      <w:r>
        <w:rPr>
          <w:lang w:val="en-GB"/>
        </w:rPr>
        <w:t>as</w:t>
      </w:r>
      <w:r w:rsidRPr="009E1D3D">
        <w:rPr>
          <w:lang w:val="en-GB"/>
        </w:rPr>
        <w:t xml:space="preserve"> a large and growing economy and one of the EU’s main non-EU trading partners, it still only accounts for a</w:t>
      </w:r>
      <w:r>
        <w:rPr>
          <w:lang w:val="en-GB"/>
        </w:rPr>
        <w:t xml:space="preserve">pproximately </w:t>
      </w:r>
      <w:r w:rsidRPr="009E1D3D">
        <w:rPr>
          <w:lang w:val="en-GB"/>
        </w:rPr>
        <w:t>four percent of the EU’s total external trade</w:t>
      </w:r>
      <w:r>
        <w:rPr>
          <w:lang w:val="en-GB"/>
        </w:rPr>
        <w:t>. T</w:t>
      </w:r>
      <w:r w:rsidRPr="009E1D3D">
        <w:rPr>
          <w:lang w:val="en-GB"/>
        </w:rPr>
        <w:t>he EU</w:t>
      </w:r>
      <w:r>
        <w:rPr>
          <w:lang w:val="en-GB"/>
        </w:rPr>
        <w:t>, in turn,</w:t>
      </w:r>
      <w:r w:rsidRPr="009E1D3D">
        <w:rPr>
          <w:lang w:val="en-GB"/>
        </w:rPr>
        <w:t xml:space="preserve"> is Turkey’s most important trade partner, covering 4</w:t>
      </w:r>
      <w:r>
        <w:rPr>
          <w:lang w:val="en-GB"/>
        </w:rPr>
        <w:t>2</w:t>
      </w:r>
      <w:r w:rsidRPr="009E1D3D">
        <w:rPr>
          <w:lang w:val="en-GB"/>
        </w:rPr>
        <w:t>% of its total trade.</w:t>
      </w:r>
      <w:r w:rsidRPr="009E1D3D">
        <w:rPr>
          <w:rStyle w:val="EndnoteReference"/>
          <w:lang w:val="en-GB"/>
        </w:rPr>
        <w:endnoteReference w:id="3"/>
      </w:r>
    </w:p>
    <w:p w:rsidR="00C237AA" w:rsidRPr="00811DC7" w:rsidRDefault="00C237AA" w:rsidP="00A45C60">
      <w:pPr>
        <w:spacing w:line="480" w:lineRule="auto"/>
        <w:jc w:val="both"/>
        <w:rPr>
          <w:szCs w:val="23"/>
          <w:lang w:val="en-GB"/>
        </w:rPr>
      </w:pPr>
      <w:r>
        <w:rPr>
          <w:lang w:val="en-GB"/>
        </w:rPr>
        <w:t>Moreover</w:t>
      </w:r>
      <w:r w:rsidRPr="009E1D3D">
        <w:rPr>
          <w:lang w:val="en-GB"/>
        </w:rPr>
        <w:t xml:space="preserve">, the EU announced that it would not treat the Western Balkans as a single </w:t>
      </w:r>
      <w:r>
        <w:rPr>
          <w:lang w:val="en-GB"/>
        </w:rPr>
        <w:t>‘</w:t>
      </w:r>
      <w:r w:rsidRPr="009E1D3D">
        <w:rPr>
          <w:lang w:val="en-GB"/>
        </w:rPr>
        <w:t>enlargement round</w:t>
      </w:r>
      <w:r>
        <w:rPr>
          <w:lang w:val="en-GB"/>
        </w:rPr>
        <w:t>’</w:t>
      </w:r>
      <w:r w:rsidRPr="009E1D3D">
        <w:rPr>
          <w:lang w:val="en-GB"/>
        </w:rPr>
        <w:t>, but judge every candidate on its own merit. This approach strengthened the credibility of the EU’s conditionality, as less compliant candidates cannot hope to hide behind the more compliant ones.</w:t>
      </w:r>
      <w:r>
        <w:rPr>
          <w:lang w:val="en-GB"/>
        </w:rPr>
        <w:t xml:space="preserve"> </w:t>
      </w:r>
      <w:r>
        <w:rPr>
          <w:szCs w:val="23"/>
          <w:lang w:val="en-GB"/>
        </w:rPr>
        <w:t>Whereas the material asymmetries sustain a credible threat to withhold membership, the salient security problems of the Western Balkans region have led the EU to prioritize stability and peace-building at the expense of democracy promotion (Richter 2012). It has lent external legitimacy to ‘</w:t>
      </w:r>
      <w:proofErr w:type="spellStart"/>
      <w:r>
        <w:rPr>
          <w:szCs w:val="23"/>
          <w:lang w:val="en-GB"/>
        </w:rPr>
        <w:t>stabilitocracies</w:t>
      </w:r>
      <w:proofErr w:type="spellEnd"/>
      <w:r>
        <w:rPr>
          <w:szCs w:val="23"/>
          <w:lang w:val="en-GB"/>
        </w:rPr>
        <w:t>’ that pose as champions of reform and guarantors of stability to the outside while adopting authoritarian policies at home (Bieber 2018; Richter and Wunsch 2019). In terms of the EIM, this practice amounts to a lack of consistency in the application of democratic conditionality that undermines the democratization pressure on Western Balkan regimes as long as they deliver stability.</w:t>
      </w:r>
    </w:p>
    <w:p w:rsidR="00B61CCA" w:rsidRPr="009E1D3D" w:rsidRDefault="00C237AA" w:rsidP="00A45C60">
      <w:pPr>
        <w:spacing w:line="480" w:lineRule="auto"/>
        <w:jc w:val="both"/>
        <w:rPr>
          <w:szCs w:val="23"/>
          <w:lang w:val="en-GB"/>
        </w:rPr>
      </w:pPr>
      <w:r>
        <w:rPr>
          <w:lang w:val="en-GB"/>
        </w:rPr>
        <w:t xml:space="preserve">Arguably, however, the credibility of the EU’s promise of membership </w:t>
      </w:r>
      <w:r w:rsidRPr="009E1D3D">
        <w:rPr>
          <w:lang w:val="en-GB"/>
        </w:rPr>
        <w:t xml:space="preserve">has suffered </w:t>
      </w:r>
      <w:r>
        <w:rPr>
          <w:lang w:val="en-GB"/>
        </w:rPr>
        <w:t xml:space="preserve">even more </w:t>
      </w:r>
      <w:r w:rsidRPr="009E1D3D">
        <w:rPr>
          <w:lang w:val="en-GB"/>
        </w:rPr>
        <w:t>in comparison with</w:t>
      </w:r>
      <w:r>
        <w:rPr>
          <w:lang w:val="en-GB"/>
        </w:rPr>
        <w:t xml:space="preserve"> the</w:t>
      </w:r>
      <w:r w:rsidRPr="009E1D3D">
        <w:rPr>
          <w:lang w:val="en-GB"/>
        </w:rPr>
        <w:t xml:space="preserve"> </w:t>
      </w:r>
      <w:r>
        <w:rPr>
          <w:lang w:val="en-GB"/>
        </w:rPr>
        <w:t>CEE</w:t>
      </w:r>
      <w:r w:rsidRPr="009E1D3D">
        <w:rPr>
          <w:lang w:val="en-GB"/>
        </w:rPr>
        <w:t xml:space="preserve"> enlargement</w:t>
      </w:r>
      <w:r>
        <w:rPr>
          <w:lang w:val="en-GB"/>
        </w:rPr>
        <w:t xml:space="preserve">. </w:t>
      </w:r>
      <w:r>
        <w:rPr>
          <w:szCs w:val="23"/>
          <w:lang w:val="en-GB"/>
        </w:rPr>
        <w:t xml:space="preserve">Public </w:t>
      </w:r>
      <w:r w:rsidRPr="009E1D3D">
        <w:rPr>
          <w:szCs w:val="23"/>
          <w:lang w:val="en-GB"/>
        </w:rPr>
        <w:t xml:space="preserve">support for EU enlargement </w:t>
      </w:r>
      <w:r>
        <w:rPr>
          <w:szCs w:val="23"/>
          <w:lang w:val="en-GB"/>
        </w:rPr>
        <w:t xml:space="preserve">in the member states </w:t>
      </w:r>
      <w:r w:rsidRPr="009E1D3D">
        <w:rPr>
          <w:szCs w:val="23"/>
          <w:lang w:val="en-GB"/>
        </w:rPr>
        <w:t>has eroded over time (</w:t>
      </w:r>
      <w:proofErr w:type="spellStart"/>
      <w:r w:rsidRPr="009E1D3D">
        <w:rPr>
          <w:szCs w:val="23"/>
          <w:lang w:val="en-GB"/>
        </w:rPr>
        <w:t>Toshkov</w:t>
      </w:r>
      <w:proofErr w:type="spellEnd"/>
      <w:r w:rsidRPr="009E1D3D">
        <w:rPr>
          <w:szCs w:val="23"/>
          <w:lang w:val="en-GB"/>
        </w:rPr>
        <w:t xml:space="preserve"> et al. 2014). </w:t>
      </w:r>
      <w:r>
        <w:rPr>
          <w:lang w:val="en-GB"/>
        </w:rPr>
        <w:t xml:space="preserve">Turkey has been affected most strongly. </w:t>
      </w:r>
      <w:r w:rsidRPr="009E1D3D">
        <w:rPr>
          <w:lang w:val="en-GB"/>
        </w:rPr>
        <w:t xml:space="preserve">According to the Eurobarometer surveys, it is the least preferred among the EU’s (potential) candidates for membership. The share of those opposed to Turkish membership has ranged between 55 and 59 percent between 2005 and 2010, and </w:t>
      </w:r>
      <w:r>
        <w:rPr>
          <w:lang w:val="en-GB"/>
        </w:rPr>
        <w:t>this</w:t>
      </w:r>
      <w:r w:rsidRPr="009E1D3D">
        <w:rPr>
          <w:lang w:val="en-GB"/>
        </w:rPr>
        <w:t xml:space="preserve"> opposition is</w:t>
      </w:r>
      <w:r>
        <w:rPr>
          <w:lang w:val="en-GB"/>
        </w:rPr>
        <w:t xml:space="preserve"> largely</w:t>
      </w:r>
      <w:r w:rsidRPr="009E1D3D">
        <w:rPr>
          <w:lang w:val="en-GB"/>
        </w:rPr>
        <w:t xml:space="preserve"> independent of whether or not Turkey fulfils the EU’s conditions (</w:t>
      </w:r>
      <w:proofErr w:type="spellStart"/>
      <w:r w:rsidRPr="009E1D3D">
        <w:rPr>
          <w:lang w:val="en-GB"/>
        </w:rPr>
        <w:t>Dagdeverenis</w:t>
      </w:r>
      <w:proofErr w:type="spellEnd"/>
      <w:r w:rsidRPr="009E1D3D">
        <w:rPr>
          <w:lang w:val="en-GB"/>
        </w:rPr>
        <w:t xml:space="preserve"> 2014: 7-8). Moreover, </w:t>
      </w:r>
      <w:r>
        <w:rPr>
          <w:lang w:val="en-GB"/>
        </w:rPr>
        <w:t>w</w:t>
      </w:r>
      <w:r w:rsidRPr="009E1D3D">
        <w:rPr>
          <w:lang w:val="en-GB"/>
        </w:rPr>
        <w:t xml:space="preserve">hen the EU decided to start accession negotiations with Turkey, Austria </w:t>
      </w:r>
      <w:r>
        <w:rPr>
          <w:lang w:val="en-GB"/>
        </w:rPr>
        <w:t xml:space="preserve">discussed, </w:t>
      </w:r>
      <w:r w:rsidRPr="009E1D3D">
        <w:rPr>
          <w:lang w:val="en-GB"/>
        </w:rPr>
        <w:t xml:space="preserve">and France </w:t>
      </w:r>
      <w:r>
        <w:rPr>
          <w:lang w:val="en-GB"/>
        </w:rPr>
        <w:t>introduced,</w:t>
      </w:r>
      <w:r>
        <w:rPr>
          <w:rStyle w:val="EndnoteReference"/>
          <w:lang w:val="en-GB"/>
        </w:rPr>
        <w:endnoteReference w:id="4"/>
      </w:r>
      <w:r>
        <w:rPr>
          <w:lang w:val="en-GB"/>
        </w:rPr>
        <w:t xml:space="preserve"> </w:t>
      </w:r>
      <w:r w:rsidR="00B61CCA" w:rsidRPr="009E1D3D">
        <w:rPr>
          <w:lang w:val="en-GB"/>
        </w:rPr>
        <w:t xml:space="preserve">a </w:t>
      </w:r>
      <w:r w:rsidR="00B61CCA">
        <w:rPr>
          <w:lang w:val="en-GB"/>
        </w:rPr>
        <w:t xml:space="preserve">national </w:t>
      </w:r>
      <w:r w:rsidR="00B61CCA" w:rsidRPr="009E1D3D">
        <w:rPr>
          <w:lang w:val="en-GB"/>
        </w:rPr>
        <w:t>referendum on future accession</w:t>
      </w:r>
      <w:r w:rsidR="00B61CCA">
        <w:rPr>
          <w:lang w:val="en-GB"/>
        </w:rPr>
        <w:t>s</w:t>
      </w:r>
      <w:r>
        <w:rPr>
          <w:lang w:val="en-GB"/>
        </w:rPr>
        <w:t>.</w:t>
      </w:r>
      <w:r w:rsidR="00B61CCA" w:rsidRPr="009E1D3D">
        <w:rPr>
          <w:lang w:val="en-GB"/>
        </w:rPr>
        <w:t xml:space="preserve"> </w:t>
      </w:r>
      <w:r w:rsidR="00B61CCA" w:rsidRPr="009E1D3D">
        <w:rPr>
          <w:szCs w:val="23"/>
          <w:lang w:val="en-GB"/>
        </w:rPr>
        <w:t>From the point of view of candidate countries, accession referendums in member states increase the number of veto players beyond the member state governments and thus reinforce their uncertainty about eventual membership.</w:t>
      </w:r>
    </w:p>
    <w:p w:rsidR="00B61CCA" w:rsidRPr="009E1D3D" w:rsidRDefault="00B61CCA" w:rsidP="00A45C60">
      <w:pPr>
        <w:spacing w:line="480" w:lineRule="auto"/>
        <w:jc w:val="both"/>
        <w:rPr>
          <w:szCs w:val="23"/>
          <w:lang w:val="en-GB"/>
        </w:rPr>
      </w:pPr>
      <w:r w:rsidRPr="009E1D3D">
        <w:rPr>
          <w:szCs w:val="23"/>
          <w:lang w:val="en-GB"/>
        </w:rPr>
        <w:t>In addition, the EU’s institutional commitment to Turkish membership has been weaker than in the case of other candidates. First, the Negotiation Framework of 2005 declares the accession negotiations as ‘open-ended’ and includes the possibility of permanent derogations. Second, the admission of a divided Cyprus to the EU imported the Cyprus conflict into the accession process with Turkey. The</w:t>
      </w:r>
      <w:r>
        <w:rPr>
          <w:szCs w:val="23"/>
          <w:lang w:val="en-GB"/>
        </w:rPr>
        <w:t xml:space="preserve"> EU governments sceptical about</w:t>
      </w:r>
      <w:r w:rsidRPr="009E1D3D">
        <w:rPr>
          <w:szCs w:val="23"/>
          <w:lang w:val="en-GB"/>
        </w:rPr>
        <w:t xml:space="preserve"> Turkey</w:t>
      </w:r>
      <w:r>
        <w:rPr>
          <w:szCs w:val="23"/>
          <w:lang w:val="en-GB"/>
        </w:rPr>
        <w:t>’s accession</w:t>
      </w:r>
      <w:r w:rsidRPr="009E1D3D">
        <w:rPr>
          <w:szCs w:val="23"/>
          <w:lang w:val="en-GB"/>
        </w:rPr>
        <w:t xml:space="preserve"> </w:t>
      </w:r>
      <w:r>
        <w:rPr>
          <w:szCs w:val="23"/>
          <w:lang w:val="en-GB"/>
        </w:rPr>
        <w:t>obtained</w:t>
      </w:r>
      <w:r w:rsidRPr="009E1D3D">
        <w:rPr>
          <w:szCs w:val="23"/>
          <w:lang w:val="en-GB"/>
        </w:rPr>
        <w:t xml:space="preserve"> </w:t>
      </w:r>
      <w:r>
        <w:rPr>
          <w:szCs w:val="23"/>
          <w:lang w:val="en-GB"/>
        </w:rPr>
        <w:t xml:space="preserve">an agreement </w:t>
      </w:r>
      <w:r w:rsidRPr="009E1D3D">
        <w:rPr>
          <w:szCs w:val="23"/>
          <w:lang w:val="en-GB"/>
        </w:rPr>
        <w:t xml:space="preserve">to make the continuation of accession negotiations dependent on Turkey’s implementation of the Additional Protocol of the Ankara Agreement that would extend the customs union to the new member states, including Cyprus. When Turkey failed to comply, the EU reacted by partially blocking the negotiations. Around half of the negotiation chapters </w:t>
      </w:r>
      <w:r>
        <w:rPr>
          <w:szCs w:val="23"/>
          <w:lang w:val="en-GB"/>
        </w:rPr>
        <w:t xml:space="preserve">were </w:t>
      </w:r>
      <w:r w:rsidRPr="009E1D3D">
        <w:rPr>
          <w:szCs w:val="23"/>
          <w:lang w:val="en-GB"/>
        </w:rPr>
        <w:t>frozen, mostly based on vetoes from Cyprus and France.</w:t>
      </w:r>
    </w:p>
    <w:p w:rsidR="00B61CCA" w:rsidRDefault="00B61CCA" w:rsidP="00A45C60">
      <w:pPr>
        <w:spacing w:line="480" w:lineRule="auto"/>
        <w:jc w:val="both"/>
        <w:rPr>
          <w:szCs w:val="23"/>
          <w:lang w:val="en-GB"/>
        </w:rPr>
      </w:pPr>
      <w:r w:rsidRPr="009E1D3D">
        <w:rPr>
          <w:szCs w:val="23"/>
          <w:lang w:val="en-GB"/>
        </w:rPr>
        <w:t xml:space="preserve">Even though Western Balkan countries do not face any </w:t>
      </w:r>
      <w:r w:rsidR="0025287E">
        <w:rPr>
          <w:szCs w:val="23"/>
          <w:lang w:val="en-GB"/>
        </w:rPr>
        <w:t xml:space="preserve">such </w:t>
      </w:r>
      <w:r w:rsidRPr="009E1D3D">
        <w:rPr>
          <w:szCs w:val="23"/>
          <w:lang w:val="en-GB"/>
        </w:rPr>
        <w:t>principled or culturally motivated opposition among mainstream member state governments and parties, particular bilateral conflicts with Western Balkan countries, which have little to do with the formal membership conditions, have inhibited the accession process. The most important example is the state name dispute between Greece and Macedonia, which ha</w:t>
      </w:r>
      <w:r w:rsidR="003D01F8">
        <w:rPr>
          <w:szCs w:val="23"/>
          <w:lang w:val="en-GB"/>
        </w:rPr>
        <w:t>d</w:t>
      </w:r>
      <w:r w:rsidRPr="009E1D3D">
        <w:rPr>
          <w:szCs w:val="23"/>
          <w:lang w:val="en-GB"/>
        </w:rPr>
        <w:t xml:space="preserve"> led Greece to block the start of accession negotiations </w:t>
      </w:r>
      <w:r w:rsidR="006540F8">
        <w:rPr>
          <w:szCs w:val="23"/>
          <w:lang w:val="en-GB"/>
        </w:rPr>
        <w:t>from</w:t>
      </w:r>
      <w:r w:rsidR="006540F8" w:rsidRPr="009E1D3D">
        <w:rPr>
          <w:szCs w:val="23"/>
          <w:lang w:val="en-GB"/>
        </w:rPr>
        <w:t xml:space="preserve"> </w:t>
      </w:r>
      <w:r w:rsidRPr="009E1D3D">
        <w:rPr>
          <w:szCs w:val="23"/>
          <w:lang w:val="en-GB"/>
        </w:rPr>
        <w:t>2009. In addition, several EU member states do not recognize Kosovo</w:t>
      </w:r>
      <w:r>
        <w:rPr>
          <w:szCs w:val="23"/>
          <w:lang w:val="en-GB"/>
        </w:rPr>
        <w:t>, and the lack of a normalized relationship between Serbia and Kosovo also blocks Serbia’s accession.</w:t>
      </w:r>
    </w:p>
    <w:p w:rsidR="00B61CCA" w:rsidRPr="009E1D3D" w:rsidRDefault="00B61CCA" w:rsidP="00A45C60">
      <w:pPr>
        <w:spacing w:line="480" w:lineRule="auto"/>
        <w:jc w:val="both"/>
        <w:rPr>
          <w:szCs w:val="23"/>
          <w:lang w:val="en-GB"/>
        </w:rPr>
      </w:pPr>
      <w:r w:rsidRPr="009E1D3D">
        <w:rPr>
          <w:szCs w:val="23"/>
          <w:lang w:val="en-GB"/>
        </w:rPr>
        <w:t xml:space="preserve">In sum, </w:t>
      </w:r>
      <w:r w:rsidR="006B1035">
        <w:rPr>
          <w:szCs w:val="23"/>
          <w:lang w:val="en-GB"/>
        </w:rPr>
        <w:t xml:space="preserve">although </w:t>
      </w:r>
      <w:r w:rsidR="00197FFC">
        <w:rPr>
          <w:szCs w:val="23"/>
          <w:lang w:val="en-GB"/>
        </w:rPr>
        <w:t xml:space="preserve">the size of the reward that the EU offers </w:t>
      </w:r>
      <w:r w:rsidR="006B1035">
        <w:rPr>
          <w:szCs w:val="23"/>
          <w:lang w:val="en-GB"/>
        </w:rPr>
        <w:t xml:space="preserve">to the SEE candidates </w:t>
      </w:r>
      <w:r w:rsidR="00197FFC">
        <w:rPr>
          <w:szCs w:val="23"/>
          <w:lang w:val="en-GB"/>
        </w:rPr>
        <w:t>is very high</w:t>
      </w:r>
      <w:r w:rsidR="006B1035">
        <w:rPr>
          <w:szCs w:val="23"/>
          <w:lang w:val="en-GB"/>
        </w:rPr>
        <w:t xml:space="preserve"> (membership)</w:t>
      </w:r>
      <w:r w:rsidR="00197FFC">
        <w:rPr>
          <w:szCs w:val="23"/>
          <w:lang w:val="en-GB"/>
        </w:rPr>
        <w:t xml:space="preserve"> and the same </w:t>
      </w:r>
      <w:r w:rsidR="006B1035">
        <w:rPr>
          <w:szCs w:val="23"/>
          <w:lang w:val="en-GB"/>
        </w:rPr>
        <w:t xml:space="preserve">size as </w:t>
      </w:r>
      <w:r w:rsidR="00197FFC">
        <w:rPr>
          <w:szCs w:val="23"/>
          <w:lang w:val="en-GB"/>
        </w:rPr>
        <w:t>it was for the CEE candidates</w:t>
      </w:r>
      <w:r w:rsidR="006B1035">
        <w:rPr>
          <w:szCs w:val="23"/>
          <w:lang w:val="en-GB"/>
        </w:rPr>
        <w:t xml:space="preserve">, </w:t>
      </w:r>
      <w:r w:rsidRPr="009E1D3D">
        <w:rPr>
          <w:szCs w:val="23"/>
          <w:lang w:val="en-GB"/>
        </w:rPr>
        <w:t xml:space="preserve">the credibility of the EU’s promise </w:t>
      </w:r>
      <w:r w:rsidR="0025287E">
        <w:rPr>
          <w:szCs w:val="23"/>
          <w:lang w:val="en-GB"/>
        </w:rPr>
        <w:t xml:space="preserve">has been </w:t>
      </w:r>
      <w:r w:rsidRPr="009E1D3D">
        <w:rPr>
          <w:szCs w:val="23"/>
          <w:lang w:val="en-GB"/>
        </w:rPr>
        <w:t xml:space="preserve">lower than it was during </w:t>
      </w:r>
      <w:r>
        <w:rPr>
          <w:szCs w:val="23"/>
          <w:lang w:val="en-GB"/>
        </w:rPr>
        <w:t>the CEE</w:t>
      </w:r>
      <w:r w:rsidRPr="009E1D3D">
        <w:rPr>
          <w:szCs w:val="23"/>
          <w:lang w:val="en-GB"/>
        </w:rPr>
        <w:t xml:space="preserve"> enlargement. This reduced credibility is a result of the unfavo</w:t>
      </w:r>
      <w:r>
        <w:rPr>
          <w:szCs w:val="23"/>
          <w:lang w:val="en-GB"/>
        </w:rPr>
        <w:t>u</w:t>
      </w:r>
      <w:r w:rsidRPr="009E1D3D">
        <w:rPr>
          <w:szCs w:val="23"/>
          <w:lang w:val="en-GB"/>
        </w:rPr>
        <w:t xml:space="preserve">rable public opinion towards future enlargements, the increasing threat of referendums, the lack of consensus and coherence among the member states, the existence of substantial bilateral conflicts between individual member states and the candidate countries, and the weakened institutional commitment of the Commission. </w:t>
      </w:r>
    </w:p>
    <w:p w:rsidR="00B61CCA" w:rsidRPr="009E1D3D" w:rsidRDefault="00B61CCA" w:rsidP="00A45C60">
      <w:pPr>
        <w:spacing w:line="480" w:lineRule="auto"/>
        <w:jc w:val="both"/>
        <w:rPr>
          <w:szCs w:val="23"/>
          <w:lang w:val="en-GB"/>
        </w:rPr>
      </w:pPr>
      <w:r w:rsidRPr="009E1D3D">
        <w:rPr>
          <w:i/>
          <w:szCs w:val="23"/>
          <w:lang w:val="en-GB"/>
        </w:rPr>
        <w:t xml:space="preserve">Determinacy. </w:t>
      </w:r>
      <w:r>
        <w:rPr>
          <w:szCs w:val="23"/>
          <w:lang w:val="en-GB"/>
        </w:rPr>
        <w:t xml:space="preserve">The </w:t>
      </w:r>
      <w:r w:rsidRPr="009E1D3D">
        <w:rPr>
          <w:szCs w:val="23"/>
          <w:lang w:val="en-GB"/>
        </w:rPr>
        <w:t xml:space="preserve">EU has repeatedly revised its enlargement strategy and </w:t>
      </w:r>
      <w:r w:rsidR="006B1035">
        <w:rPr>
          <w:szCs w:val="23"/>
          <w:lang w:val="en-GB"/>
        </w:rPr>
        <w:t xml:space="preserve">membership </w:t>
      </w:r>
      <w:r w:rsidRPr="009E1D3D">
        <w:rPr>
          <w:szCs w:val="23"/>
          <w:lang w:val="en-GB"/>
        </w:rPr>
        <w:t xml:space="preserve">conditions. First, the candidates of the Western Balkans </w:t>
      </w:r>
      <w:r>
        <w:rPr>
          <w:szCs w:val="23"/>
          <w:lang w:val="en-GB"/>
        </w:rPr>
        <w:t>became</w:t>
      </w:r>
      <w:r w:rsidRPr="009E1D3D">
        <w:rPr>
          <w:szCs w:val="23"/>
          <w:lang w:val="en-GB"/>
        </w:rPr>
        <w:t xml:space="preserve"> subject to the ‘Copenhagen </w:t>
      </w:r>
      <w:proofErr w:type="spellStart"/>
      <w:r w:rsidRPr="009E1D3D">
        <w:rPr>
          <w:szCs w:val="23"/>
          <w:lang w:val="en-GB"/>
        </w:rPr>
        <w:t>Plus’</w:t>
      </w:r>
      <w:proofErr w:type="spellEnd"/>
      <w:r w:rsidRPr="009E1D3D">
        <w:rPr>
          <w:szCs w:val="23"/>
          <w:lang w:val="en-GB"/>
        </w:rPr>
        <w:t xml:space="preserve"> criteria, </w:t>
      </w:r>
      <w:r w:rsidR="006B1035">
        <w:rPr>
          <w:szCs w:val="23"/>
          <w:lang w:val="en-GB"/>
        </w:rPr>
        <w:t>which add</w:t>
      </w:r>
      <w:r w:rsidR="006B1035" w:rsidRPr="009E1D3D">
        <w:rPr>
          <w:szCs w:val="23"/>
          <w:lang w:val="en-GB"/>
        </w:rPr>
        <w:t xml:space="preserve"> </w:t>
      </w:r>
      <w:r w:rsidRPr="009E1D3D">
        <w:rPr>
          <w:szCs w:val="23"/>
          <w:lang w:val="en-GB"/>
        </w:rPr>
        <w:t>full cooperation with the International C</w:t>
      </w:r>
      <w:r>
        <w:rPr>
          <w:szCs w:val="23"/>
          <w:lang w:val="en-GB"/>
        </w:rPr>
        <w:t xml:space="preserve">riminal </w:t>
      </w:r>
      <w:r w:rsidRPr="009E1D3D">
        <w:rPr>
          <w:szCs w:val="23"/>
          <w:lang w:val="en-GB"/>
        </w:rPr>
        <w:t xml:space="preserve">Tribunal </w:t>
      </w:r>
      <w:r>
        <w:rPr>
          <w:szCs w:val="23"/>
          <w:lang w:val="en-GB"/>
        </w:rPr>
        <w:t>for the former</w:t>
      </w:r>
      <w:r w:rsidRPr="009E1D3D">
        <w:rPr>
          <w:szCs w:val="23"/>
          <w:lang w:val="en-GB"/>
        </w:rPr>
        <w:t xml:space="preserve"> Yugoslavia (ICTY), the implementation of peace agreements, and the resolution of bilateral disputes. </w:t>
      </w:r>
      <w:r w:rsidR="00A872AB">
        <w:rPr>
          <w:szCs w:val="23"/>
          <w:lang w:val="en-GB"/>
        </w:rPr>
        <w:t>Moreover</w:t>
      </w:r>
      <w:r w:rsidRPr="009E1D3D">
        <w:rPr>
          <w:szCs w:val="23"/>
          <w:lang w:val="en-GB"/>
        </w:rPr>
        <w:t xml:space="preserve">, the EU has </w:t>
      </w:r>
      <w:r w:rsidR="00A872AB">
        <w:rPr>
          <w:szCs w:val="23"/>
          <w:lang w:val="en-GB"/>
        </w:rPr>
        <w:t>set</w:t>
      </w:r>
      <w:r w:rsidRPr="009E1D3D">
        <w:rPr>
          <w:szCs w:val="23"/>
          <w:lang w:val="en-GB"/>
        </w:rPr>
        <w:t xml:space="preserve"> conditions related to state-building</w:t>
      </w:r>
      <w:r w:rsidR="00A872AB">
        <w:rPr>
          <w:szCs w:val="23"/>
          <w:lang w:val="en-GB"/>
        </w:rPr>
        <w:t xml:space="preserve">, which according to </w:t>
      </w:r>
      <w:r w:rsidR="00A872AB" w:rsidRPr="009E1D3D">
        <w:rPr>
          <w:szCs w:val="23"/>
          <w:lang w:val="en-GB"/>
        </w:rPr>
        <w:t>Bieber (2011)</w:t>
      </w:r>
      <w:r w:rsidR="00A872AB">
        <w:rPr>
          <w:szCs w:val="23"/>
          <w:lang w:val="en-GB"/>
        </w:rPr>
        <w:t xml:space="preserve"> </w:t>
      </w:r>
      <w:r w:rsidRPr="009E1D3D">
        <w:rPr>
          <w:szCs w:val="23"/>
          <w:lang w:val="en-GB"/>
        </w:rPr>
        <w:t>not only suffered from a lack of clear criteria but also from a cacophony of voices from other actors involved in the peace</w:t>
      </w:r>
      <w:r>
        <w:rPr>
          <w:szCs w:val="23"/>
          <w:lang w:val="en-GB"/>
        </w:rPr>
        <w:t>-</w:t>
      </w:r>
      <w:r w:rsidRPr="009E1D3D">
        <w:rPr>
          <w:szCs w:val="23"/>
          <w:lang w:val="en-GB"/>
        </w:rPr>
        <w:t xml:space="preserve"> and institution-building process.</w:t>
      </w:r>
    </w:p>
    <w:p w:rsidR="00B61CCA" w:rsidRPr="009E1D3D" w:rsidRDefault="00B61CCA" w:rsidP="00A45C60">
      <w:pPr>
        <w:spacing w:line="480" w:lineRule="auto"/>
        <w:jc w:val="both"/>
        <w:rPr>
          <w:szCs w:val="23"/>
          <w:lang w:val="en-GB"/>
        </w:rPr>
      </w:pPr>
      <w:r w:rsidRPr="009E1D3D">
        <w:rPr>
          <w:szCs w:val="23"/>
          <w:lang w:val="en-GB"/>
        </w:rPr>
        <w:t>Second, the EU has put stronger emphasis on democracy and the rule of law</w:t>
      </w:r>
      <w:r w:rsidR="00A872AB">
        <w:rPr>
          <w:szCs w:val="23"/>
          <w:lang w:val="en-GB"/>
        </w:rPr>
        <w:t xml:space="preserve"> in SEE than in CEE</w:t>
      </w:r>
      <w:r w:rsidRPr="009E1D3D">
        <w:rPr>
          <w:szCs w:val="23"/>
          <w:lang w:val="en-GB"/>
        </w:rPr>
        <w:t xml:space="preserve">. </w:t>
      </w:r>
      <w:r>
        <w:rPr>
          <w:szCs w:val="23"/>
          <w:lang w:val="en-GB"/>
        </w:rPr>
        <w:t>T</w:t>
      </w:r>
      <w:r w:rsidRPr="009E1D3D">
        <w:rPr>
          <w:szCs w:val="23"/>
          <w:lang w:val="en-GB"/>
        </w:rPr>
        <w:t>he ‘new approach’ in EU enlargement strategy has increased both salience and precision</w:t>
      </w:r>
      <w:r>
        <w:rPr>
          <w:szCs w:val="23"/>
          <w:lang w:val="en-GB"/>
        </w:rPr>
        <w:t xml:space="preserve"> of these criteria</w:t>
      </w:r>
      <w:r w:rsidRPr="009E1D3D">
        <w:rPr>
          <w:szCs w:val="23"/>
          <w:lang w:val="en-GB"/>
        </w:rPr>
        <w:t>. EU conditions in this area are now more detailed and better operationalized (by the introduction of specific opening, interim, and closing benchmarks)</w:t>
      </w:r>
      <w:r>
        <w:rPr>
          <w:szCs w:val="23"/>
          <w:lang w:val="en-GB"/>
        </w:rPr>
        <w:t>.</w:t>
      </w:r>
      <w:r w:rsidRPr="009E1D3D">
        <w:rPr>
          <w:szCs w:val="23"/>
          <w:lang w:val="en-GB"/>
        </w:rPr>
        <w:t xml:space="preserve"> The relevant negotiation chapters are opened at the beginning of the negotiations and remain open until their very end, thereby giving the candidate states a longer time to adopt and implement EU conditions and the Commission a better chance to monitor compliance. </w:t>
      </w:r>
      <w:r>
        <w:rPr>
          <w:szCs w:val="23"/>
          <w:lang w:val="en-GB"/>
        </w:rPr>
        <w:t>T</w:t>
      </w:r>
      <w:r w:rsidRPr="009E1D3D">
        <w:rPr>
          <w:szCs w:val="23"/>
          <w:lang w:val="en-GB"/>
        </w:rPr>
        <w:t xml:space="preserve">he Commission can </w:t>
      </w:r>
      <w:r>
        <w:rPr>
          <w:szCs w:val="23"/>
          <w:lang w:val="en-GB"/>
        </w:rPr>
        <w:t xml:space="preserve">also </w:t>
      </w:r>
      <w:r w:rsidRPr="009E1D3D">
        <w:rPr>
          <w:szCs w:val="23"/>
          <w:lang w:val="en-GB"/>
        </w:rPr>
        <w:t>link the opening of other chapters to progress in the rule-of-law chapters. Moreover, the EU upgraded the economic and administrative reforms it asks from the candidates (</w:t>
      </w:r>
      <w:proofErr w:type="spellStart"/>
      <w:r w:rsidRPr="009E1D3D">
        <w:rPr>
          <w:szCs w:val="23"/>
          <w:lang w:val="en-GB"/>
        </w:rPr>
        <w:t>Dimitrova</w:t>
      </w:r>
      <w:proofErr w:type="spellEnd"/>
      <w:r w:rsidRPr="009E1D3D">
        <w:rPr>
          <w:szCs w:val="23"/>
          <w:lang w:val="en-GB"/>
        </w:rPr>
        <w:t xml:space="preserve"> 2016; </w:t>
      </w:r>
      <w:proofErr w:type="spellStart"/>
      <w:r w:rsidRPr="009E1D3D">
        <w:rPr>
          <w:szCs w:val="23"/>
          <w:lang w:val="en-GB"/>
        </w:rPr>
        <w:t>Zhelyazkova</w:t>
      </w:r>
      <w:proofErr w:type="spellEnd"/>
      <w:r w:rsidRPr="009E1D3D">
        <w:rPr>
          <w:szCs w:val="23"/>
          <w:lang w:val="en-GB"/>
        </w:rPr>
        <w:t xml:space="preserve"> et al. 201</w:t>
      </w:r>
      <w:r w:rsidR="005A7A9D">
        <w:rPr>
          <w:szCs w:val="23"/>
          <w:lang w:val="en-GB"/>
        </w:rPr>
        <w:t>8</w:t>
      </w:r>
      <w:r w:rsidRPr="009E1D3D">
        <w:rPr>
          <w:szCs w:val="23"/>
          <w:lang w:val="en-GB"/>
        </w:rPr>
        <w:t xml:space="preserve">). </w:t>
      </w:r>
    </w:p>
    <w:p w:rsidR="00B61CCA" w:rsidRPr="009E1D3D" w:rsidRDefault="00B61CCA" w:rsidP="00A45C60">
      <w:pPr>
        <w:spacing w:line="480" w:lineRule="auto"/>
        <w:jc w:val="both"/>
        <w:rPr>
          <w:szCs w:val="23"/>
          <w:lang w:val="en-GB"/>
        </w:rPr>
      </w:pPr>
      <w:r w:rsidRPr="009E1D3D">
        <w:rPr>
          <w:szCs w:val="23"/>
          <w:lang w:val="en-GB"/>
        </w:rPr>
        <w:t>Consequently, the EU’s conditionality has become (partly) more determinate</w:t>
      </w:r>
      <w:r w:rsidR="00894BF3">
        <w:rPr>
          <w:szCs w:val="23"/>
          <w:lang w:val="en-GB"/>
        </w:rPr>
        <w:t xml:space="preserve">, but also </w:t>
      </w:r>
      <w:r w:rsidR="00894BF3" w:rsidRPr="009E1D3D">
        <w:rPr>
          <w:szCs w:val="23"/>
          <w:lang w:val="en-GB"/>
        </w:rPr>
        <w:t>more demanding</w:t>
      </w:r>
      <w:r w:rsidRPr="009E1D3D">
        <w:rPr>
          <w:szCs w:val="23"/>
          <w:lang w:val="en-GB"/>
        </w:rPr>
        <w:t xml:space="preserve">. Whereas higher determinacy of the conditions should improve the likelihood of successful Europeanization, more demanding conditions increase the adoption costs, thereby </w:t>
      </w:r>
      <w:r>
        <w:rPr>
          <w:szCs w:val="23"/>
          <w:lang w:val="en-GB"/>
        </w:rPr>
        <w:t>reducing</w:t>
      </w:r>
      <w:r w:rsidRPr="009E1D3D">
        <w:rPr>
          <w:szCs w:val="23"/>
          <w:lang w:val="en-GB"/>
        </w:rPr>
        <w:t xml:space="preserve"> the </w:t>
      </w:r>
      <w:r>
        <w:rPr>
          <w:szCs w:val="23"/>
          <w:lang w:val="en-GB"/>
        </w:rPr>
        <w:t>likelihood of successful Europeanization</w:t>
      </w:r>
      <w:r w:rsidRPr="009E1D3D">
        <w:rPr>
          <w:szCs w:val="23"/>
          <w:lang w:val="en-GB"/>
        </w:rPr>
        <w:t xml:space="preserve">. </w:t>
      </w:r>
    </w:p>
    <w:p w:rsidR="00B61CCA" w:rsidRPr="009E1D3D" w:rsidRDefault="00B61CCA" w:rsidP="00A45C60">
      <w:pPr>
        <w:spacing w:line="480" w:lineRule="auto"/>
        <w:jc w:val="both"/>
        <w:rPr>
          <w:szCs w:val="23"/>
          <w:lang w:val="en-GB"/>
        </w:rPr>
      </w:pPr>
      <w:r w:rsidRPr="009E1D3D">
        <w:rPr>
          <w:i/>
          <w:szCs w:val="23"/>
          <w:lang w:val="en-GB"/>
        </w:rPr>
        <w:t>Costs.</w:t>
      </w:r>
      <w:r w:rsidRPr="009E1D3D">
        <w:rPr>
          <w:szCs w:val="23"/>
          <w:lang w:val="en-GB"/>
        </w:rPr>
        <w:t xml:space="preserve"> As in CEE, EU membership has been highly popular in SEE at the beginning of the </w:t>
      </w:r>
      <w:r>
        <w:rPr>
          <w:szCs w:val="23"/>
          <w:lang w:val="en-GB"/>
        </w:rPr>
        <w:t xml:space="preserve">accession </w:t>
      </w:r>
      <w:r w:rsidRPr="009E1D3D">
        <w:rPr>
          <w:szCs w:val="23"/>
          <w:lang w:val="en-GB"/>
        </w:rPr>
        <w:t>process. Whereas Turkish public support for membership has significantly cooled over time, it has retained majorities in the Western Balkans overall (</w:t>
      </w:r>
      <w:proofErr w:type="spellStart"/>
      <w:r w:rsidRPr="009E1D3D">
        <w:rPr>
          <w:szCs w:val="23"/>
          <w:lang w:val="en-GB"/>
        </w:rPr>
        <w:t>Toshkov</w:t>
      </w:r>
      <w:proofErr w:type="spellEnd"/>
      <w:r w:rsidRPr="009E1D3D">
        <w:rPr>
          <w:szCs w:val="23"/>
          <w:lang w:val="en-GB"/>
        </w:rPr>
        <w:t xml:space="preserve"> et al. 2014). As in the previous enlargement, the popularity of EU accession generally lowers the domestic adoption costs and induces governments to engage in Europeanization. However, public support also reflects the credibility of the accession promise. Accordingly, public support in Turkey has decreased in line with the credibility of the process.</w:t>
      </w:r>
      <w:r>
        <w:rPr>
          <w:szCs w:val="23"/>
          <w:lang w:val="en-GB"/>
        </w:rPr>
        <w:t xml:space="preserve"> Because of the Kosovo conflict, it also suffers in Serbia.</w:t>
      </w:r>
    </w:p>
    <w:p w:rsidR="00B61CCA" w:rsidRPr="009E1D3D" w:rsidRDefault="00B61CCA" w:rsidP="00A45C60">
      <w:pPr>
        <w:spacing w:line="480" w:lineRule="auto"/>
        <w:jc w:val="both"/>
        <w:rPr>
          <w:szCs w:val="23"/>
          <w:lang w:val="en-GB"/>
        </w:rPr>
      </w:pPr>
      <w:r w:rsidRPr="009E1D3D">
        <w:rPr>
          <w:szCs w:val="23"/>
          <w:lang w:val="en-GB"/>
        </w:rPr>
        <w:t>Political and administrative adoption costs</w:t>
      </w:r>
      <w:r>
        <w:rPr>
          <w:szCs w:val="23"/>
          <w:lang w:val="en-GB"/>
        </w:rPr>
        <w:t xml:space="preserve"> </w:t>
      </w:r>
      <w:r w:rsidRPr="009E1D3D">
        <w:rPr>
          <w:szCs w:val="23"/>
          <w:lang w:val="en-GB"/>
        </w:rPr>
        <w:t xml:space="preserve">are generally higher for current candidates than in CEE. The SEE countries have </w:t>
      </w:r>
      <w:r>
        <w:rPr>
          <w:szCs w:val="23"/>
          <w:lang w:val="en-GB"/>
        </w:rPr>
        <w:t xml:space="preserve">started their </w:t>
      </w:r>
      <w:r w:rsidRPr="009E1D3D">
        <w:rPr>
          <w:szCs w:val="23"/>
          <w:lang w:val="en-GB"/>
        </w:rPr>
        <w:t xml:space="preserve">transition and Europeanization </w:t>
      </w:r>
      <w:r>
        <w:rPr>
          <w:szCs w:val="23"/>
          <w:lang w:val="en-GB"/>
        </w:rPr>
        <w:t xml:space="preserve">process </w:t>
      </w:r>
      <w:r w:rsidRPr="009E1D3D">
        <w:rPr>
          <w:szCs w:val="23"/>
          <w:lang w:val="en-GB"/>
        </w:rPr>
        <w:t>from a lower level of fit. Many of them were still struggling with issues of statehood and state transformation at the start of the process; Bosnia-Her</w:t>
      </w:r>
      <w:r>
        <w:rPr>
          <w:szCs w:val="23"/>
          <w:lang w:val="en-GB"/>
        </w:rPr>
        <w:t>z</w:t>
      </w:r>
      <w:r w:rsidRPr="009E1D3D">
        <w:rPr>
          <w:szCs w:val="23"/>
          <w:lang w:val="en-GB"/>
        </w:rPr>
        <w:t xml:space="preserve">egovina and Kosovo still are. </w:t>
      </w:r>
      <w:r>
        <w:rPr>
          <w:szCs w:val="23"/>
          <w:lang w:val="en-GB"/>
        </w:rPr>
        <w:t>And state capture has become more entrenched than in the CEE accession period.</w:t>
      </w:r>
    </w:p>
    <w:p w:rsidR="00B61CCA" w:rsidRPr="009E1D3D" w:rsidRDefault="00B61CCA" w:rsidP="00A45C60">
      <w:pPr>
        <w:spacing w:line="480" w:lineRule="auto"/>
        <w:jc w:val="both"/>
        <w:rPr>
          <w:szCs w:val="23"/>
          <w:lang w:val="en-GB"/>
        </w:rPr>
      </w:pPr>
      <w:r>
        <w:rPr>
          <w:szCs w:val="23"/>
          <w:lang w:val="en-GB"/>
        </w:rPr>
        <w:t xml:space="preserve">Domestic adoption costs therefore create a more unfavourable setting for Europeanization in SEE than in CEE. </w:t>
      </w:r>
      <w:r w:rsidRPr="009E1D3D">
        <w:rPr>
          <w:szCs w:val="23"/>
          <w:lang w:val="en-GB"/>
        </w:rPr>
        <w:t>First, the governments of the region on average need to give up more power and rent-seeking opportunities and accept more constraints in order to meet the EU’s conditions, in particular in the domain of the rule of law, in which the EU has strengthened its conditionality. Second, they need to meet the Copenhagen-Plus conditions that relate to recent ethnic conflict, concern identity-sensitive issues, and thus involve potentially high political costs for governments to comply (</w:t>
      </w:r>
      <w:proofErr w:type="spellStart"/>
      <w:r w:rsidRPr="009E1D3D">
        <w:rPr>
          <w:szCs w:val="23"/>
          <w:lang w:val="en-GB"/>
        </w:rPr>
        <w:t>Freyburg</w:t>
      </w:r>
      <w:proofErr w:type="spellEnd"/>
      <w:r w:rsidRPr="009E1D3D">
        <w:rPr>
          <w:szCs w:val="23"/>
          <w:lang w:val="en-GB"/>
        </w:rPr>
        <w:t xml:space="preserve"> and Richter 2010). Overcoming such costs requires substantial and imminent rewards (</w:t>
      </w:r>
      <w:proofErr w:type="spellStart"/>
      <w:r w:rsidRPr="009E1D3D">
        <w:rPr>
          <w:szCs w:val="23"/>
          <w:lang w:val="en-GB"/>
        </w:rPr>
        <w:t>Schimmelfennig</w:t>
      </w:r>
      <w:proofErr w:type="spellEnd"/>
      <w:r w:rsidRPr="009E1D3D">
        <w:rPr>
          <w:szCs w:val="23"/>
          <w:lang w:val="en-GB"/>
        </w:rPr>
        <w:t xml:space="preserve"> et al. 2006). Finally, political conditions, which generally create higher adoption costs, </w:t>
      </w:r>
      <w:r w:rsidR="00B520B7">
        <w:rPr>
          <w:szCs w:val="23"/>
          <w:lang w:val="en-GB"/>
        </w:rPr>
        <w:t xml:space="preserve">continue to </w:t>
      </w:r>
      <w:r w:rsidRPr="009E1D3D">
        <w:rPr>
          <w:szCs w:val="23"/>
          <w:lang w:val="en-GB"/>
        </w:rPr>
        <w:t xml:space="preserve">dominate SEE pre-accession. </w:t>
      </w:r>
      <w:r>
        <w:rPr>
          <w:szCs w:val="23"/>
          <w:lang w:val="en-GB"/>
        </w:rPr>
        <w:t xml:space="preserve">In CEE, </w:t>
      </w:r>
      <w:r w:rsidRPr="009E1D3D">
        <w:rPr>
          <w:szCs w:val="23"/>
          <w:lang w:val="en-GB"/>
        </w:rPr>
        <w:t xml:space="preserve">violations of political conditions </w:t>
      </w:r>
      <w:r w:rsidR="00B520B7">
        <w:rPr>
          <w:szCs w:val="23"/>
          <w:lang w:val="en-GB"/>
        </w:rPr>
        <w:t xml:space="preserve">had mostly ended </w:t>
      </w:r>
      <w:r w:rsidRPr="009E1D3D">
        <w:rPr>
          <w:szCs w:val="23"/>
          <w:lang w:val="en-GB"/>
        </w:rPr>
        <w:t>before the accession negotiations started</w:t>
      </w:r>
      <w:r>
        <w:rPr>
          <w:szCs w:val="23"/>
          <w:lang w:val="en-GB"/>
        </w:rPr>
        <w:t>. By contrast,</w:t>
      </w:r>
      <w:r w:rsidRPr="009E1D3D">
        <w:rPr>
          <w:szCs w:val="23"/>
          <w:lang w:val="en-GB"/>
        </w:rPr>
        <w:t xml:space="preserve"> </w:t>
      </w:r>
      <w:r>
        <w:rPr>
          <w:szCs w:val="23"/>
          <w:lang w:val="en-GB"/>
        </w:rPr>
        <w:t>the rule of law is weak in</w:t>
      </w:r>
      <w:r w:rsidRPr="009E1D3D">
        <w:rPr>
          <w:szCs w:val="23"/>
          <w:lang w:val="en-GB"/>
        </w:rPr>
        <w:t xml:space="preserve"> virtually all SEE countries and continue</w:t>
      </w:r>
      <w:r>
        <w:rPr>
          <w:szCs w:val="23"/>
          <w:lang w:val="en-GB"/>
        </w:rPr>
        <w:t>s</w:t>
      </w:r>
      <w:r w:rsidRPr="009E1D3D">
        <w:rPr>
          <w:szCs w:val="23"/>
          <w:lang w:val="en-GB"/>
        </w:rPr>
        <w:t xml:space="preserve"> to </w:t>
      </w:r>
      <w:r>
        <w:rPr>
          <w:szCs w:val="23"/>
          <w:lang w:val="en-GB"/>
        </w:rPr>
        <w:t>encumber</w:t>
      </w:r>
      <w:r w:rsidRPr="009E1D3D">
        <w:rPr>
          <w:szCs w:val="23"/>
          <w:lang w:val="en-GB"/>
        </w:rPr>
        <w:t xml:space="preserve"> the enlargement process well into the accession negotiations.</w:t>
      </w:r>
    </w:p>
    <w:p w:rsidR="00B61CCA" w:rsidRPr="009E1D3D" w:rsidRDefault="00B61CCA" w:rsidP="00A45C60">
      <w:pPr>
        <w:spacing w:line="480" w:lineRule="auto"/>
        <w:jc w:val="both"/>
        <w:rPr>
          <w:szCs w:val="23"/>
          <w:lang w:val="en-GB"/>
        </w:rPr>
      </w:pPr>
      <w:r w:rsidRPr="009E1D3D">
        <w:rPr>
          <w:szCs w:val="23"/>
          <w:lang w:val="en-GB"/>
        </w:rPr>
        <w:t>In sum, the EU offered the SEE candidates the same membership reward as the CEE countries. It preserved the high credibility of its threat to withhold this reward in case of non-compliance and even strengthened the determinacy of its conditions and its monitoring process. On the other hand, however, the credibility of the EU’s membership promise has weakened and political and administrative domestic adoption costs have increased in general. Based on the external incentives model, we would therefore expect Europeanization to slow down and</w:t>
      </w:r>
      <w:r>
        <w:rPr>
          <w:szCs w:val="23"/>
          <w:lang w:val="en-GB"/>
        </w:rPr>
        <w:t xml:space="preserve"> conditionality to be less effective</w:t>
      </w:r>
      <w:r w:rsidR="00CE2621">
        <w:rPr>
          <w:szCs w:val="23"/>
          <w:lang w:val="en-GB"/>
        </w:rPr>
        <w:t xml:space="preserve"> in the SEE than in the CEE</w:t>
      </w:r>
      <w:r>
        <w:rPr>
          <w:szCs w:val="23"/>
          <w:lang w:val="en-GB"/>
        </w:rPr>
        <w:t>.</w:t>
      </w:r>
      <w:r w:rsidRPr="009E1D3D">
        <w:rPr>
          <w:szCs w:val="23"/>
          <w:lang w:val="en-GB"/>
        </w:rPr>
        <w:t xml:space="preserve"> </w:t>
      </w:r>
    </w:p>
    <w:p w:rsidR="0052412F" w:rsidRPr="009E1D3D" w:rsidRDefault="0052412F" w:rsidP="00A45C60">
      <w:pPr>
        <w:spacing w:line="480" w:lineRule="auto"/>
        <w:jc w:val="both"/>
        <w:rPr>
          <w:szCs w:val="23"/>
          <w:lang w:val="en-GB"/>
        </w:rPr>
      </w:pPr>
    </w:p>
    <w:p w:rsidR="0052412F" w:rsidRPr="009E1D3D" w:rsidRDefault="001236DB" w:rsidP="00A45C60">
      <w:pPr>
        <w:spacing w:line="480" w:lineRule="auto"/>
        <w:jc w:val="both"/>
        <w:outlineLvl w:val="0"/>
        <w:rPr>
          <w:i/>
          <w:szCs w:val="23"/>
          <w:lang w:val="en-GB"/>
        </w:rPr>
      </w:pPr>
      <w:r>
        <w:rPr>
          <w:i/>
          <w:szCs w:val="23"/>
          <w:lang w:val="en-GB"/>
        </w:rPr>
        <w:t>Pre-accession compliance with democratic norms in</w:t>
      </w:r>
      <w:r w:rsidR="0052412F" w:rsidRPr="009E1D3D">
        <w:rPr>
          <w:i/>
          <w:szCs w:val="23"/>
          <w:lang w:val="en-GB"/>
        </w:rPr>
        <w:t xml:space="preserve"> the Western Balkans and Turkey</w:t>
      </w:r>
    </w:p>
    <w:p w:rsidR="00B61CCA" w:rsidRPr="009E1D3D" w:rsidRDefault="00B61CCA" w:rsidP="00A45C60">
      <w:pPr>
        <w:spacing w:line="480" w:lineRule="auto"/>
        <w:jc w:val="both"/>
        <w:rPr>
          <w:szCs w:val="23"/>
          <w:lang w:val="en-GB"/>
        </w:rPr>
      </w:pPr>
      <w:r w:rsidRPr="009E1D3D">
        <w:rPr>
          <w:szCs w:val="23"/>
          <w:lang w:val="en-GB"/>
        </w:rPr>
        <w:t>How has the Europeanization of the current candidates proceeded and what do the outcomes tell us about the fit of the external incentives model?</w:t>
      </w:r>
      <w:r>
        <w:rPr>
          <w:szCs w:val="23"/>
          <w:lang w:val="en-GB"/>
        </w:rPr>
        <w:t xml:space="preserve"> </w:t>
      </w:r>
      <w:r w:rsidR="00AF3166">
        <w:rPr>
          <w:szCs w:val="23"/>
          <w:lang w:val="en-GB"/>
        </w:rPr>
        <w:t xml:space="preserve">The left panel in </w:t>
      </w:r>
      <w:r w:rsidRPr="009E1D3D">
        <w:rPr>
          <w:szCs w:val="23"/>
          <w:lang w:val="en-GB"/>
        </w:rPr>
        <w:t>Figure</w:t>
      </w:r>
      <w:r>
        <w:rPr>
          <w:szCs w:val="23"/>
          <w:lang w:val="en-GB"/>
        </w:rPr>
        <w:t xml:space="preserve"> 2</w:t>
      </w:r>
      <w:r w:rsidRPr="009E1D3D">
        <w:rPr>
          <w:szCs w:val="23"/>
          <w:lang w:val="en-GB"/>
        </w:rPr>
        <w:t xml:space="preserve"> </w:t>
      </w:r>
      <w:r>
        <w:rPr>
          <w:szCs w:val="23"/>
          <w:lang w:val="en-GB"/>
        </w:rPr>
        <w:t xml:space="preserve">shows the democratic </w:t>
      </w:r>
      <w:r w:rsidRPr="009E1D3D">
        <w:rPr>
          <w:szCs w:val="23"/>
          <w:lang w:val="en-GB"/>
        </w:rPr>
        <w:t xml:space="preserve">trajectory of the region </w:t>
      </w:r>
      <w:r>
        <w:rPr>
          <w:szCs w:val="23"/>
          <w:lang w:val="en-GB"/>
        </w:rPr>
        <w:t xml:space="preserve">as a whole </w:t>
      </w:r>
      <w:r w:rsidRPr="009E1D3D">
        <w:rPr>
          <w:szCs w:val="23"/>
          <w:lang w:val="en-GB"/>
        </w:rPr>
        <w:t>(Western Balkans and Turkey) in comparison with CEE. All indicators show an increase in the initial years of the period</w:t>
      </w:r>
      <w:r>
        <w:rPr>
          <w:szCs w:val="23"/>
          <w:lang w:val="en-GB"/>
        </w:rPr>
        <w:t>.</w:t>
      </w:r>
      <w:r w:rsidRPr="009E1D3D">
        <w:rPr>
          <w:szCs w:val="23"/>
          <w:lang w:val="en-GB"/>
        </w:rPr>
        <w:t xml:space="preserve"> The membership perspective accorded to SEE in 1999 clearly </w:t>
      </w:r>
      <w:r>
        <w:rPr>
          <w:szCs w:val="23"/>
          <w:lang w:val="en-GB"/>
        </w:rPr>
        <w:t>boosted</w:t>
      </w:r>
      <w:r w:rsidRPr="009E1D3D">
        <w:rPr>
          <w:szCs w:val="23"/>
          <w:lang w:val="en-GB"/>
        </w:rPr>
        <w:t xml:space="preserve"> </w:t>
      </w:r>
      <w:r>
        <w:rPr>
          <w:szCs w:val="23"/>
          <w:lang w:val="en-GB"/>
        </w:rPr>
        <w:t>democratic</w:t>
      </w:r>
      <w:r w:rsidRPr="009E1D3D">
        <w:rPr>
          <w:szCs w:val="23"/>
          <w:lang w:val="en-GB"/>
        </w:rPr>
        <w:t xml:space="preserve"> development, which continued </w:t>
      </w:r>
      <w:r w:rsidR="003D6E0C">
        <w:rPr>
          <w:szCs w:val="23"/>
          <w:lang w:val="en-GB"/>
        </w:rPr>
        <w:t>to improve until</w:t>
      </w:r>
      <w:r w:rsidRPr="009E1D3D">
        <w:rPr>
          <w:szCs w:val="23"/>
          <w:lang w:val="en-GB"/>
        </w:rPr>
        <w:t xml:space="preserve"> </w:t>
      </w:r>
      <w:r>
        <w:rPr>
          <w:szCs w:val="23"/>
          <w:lang w:val="en-GB"/>
        </w:rPr>
        <w:t xml:space="preserve">2009, </w:t>
      </w:r>
      <w:r w:rsidR="003D6E0C">
        <w:rPr>
          <w:szCs w:val="23"/>
          <w:lang w:val="en-GB"/>
        </w:rPr>
        <w:t>when</w:t>
      </w:r>
      <w:r w:rsidRPr="009E1D3D">
        <w:rPr>
          <w:szCs w:val="23"/>
          <w:lang w:val="en-GB"/>
        </w:rPr>
        <w:t xml:space="preserve"> </w:t>
      </w:r>
      <w:r>
        <w:rPr>
          <w:szCs w:val="23"/>
          <w:lang w:val="en-GB"/>
        </w:rPr>
        <w:t xml:space="preserve">stagnation </w:t>
      </w:r>
      <w:r w:rsidR="003D6E0C">
        <w:rPr>
          <w:szCs w:val="23"/>
          <w:lang w:val="en-GB"/>
        </w:rPr>
        <w:t>set in</w:t>
      </w:r>
      <w:r w:rsidR="00B520B7">
        <w:rPr>
          <w:szCs w:val="23"/>
          <w:lang w:val="en-GB"/>
        </w:rPr>
        <w:t>.</w:t>
      </w:r>
      <w:r>
        <w:rPr>
          <w:szCs w:val="23"/>
          <w:lang w:val="en-GB"/>
        </w:rPr>
        <w:t xml:space="preserve"> </w:t>
      </w:r>
      <w:r w:rsidR="00B520B7">
        <w:rPr>
          <w:szCs w:val="23"/>
          <w:lang w:val="en-GB"/>
        </w:rPr>
        <w:t>I</w:t>
      </w:r>
      <w:r>
        <w:rPr>
          <w:szCs w:val="23"/>
          <w:lang w:val="en-GB"/>
        </w:rPr>
        <w:t xml:space="preserve">ndications of </w:t>
      </w:r>
      <w:r w:rsidRPr="009E1D3D">
        <w:rPr>
          <w:szCs w:val="23"/>
          <w:lang w:val="en-GB"/>
        </w:rPr>
        <w:t>backsliding</w:t>
      </w:r>
      <w:r>
        <w:rPr>
          <w:szCs w:val="23"/>
          <w:lang w:val="en-GB"/>
        </w:rPr>
        <w:t xml:space="preserve"> </w:t>
      </w:r>
      <w:r w:rsidR="003D6E0C">
        <w:rPr>
          <w:szCs w:val="23"/>
          <w:lang w:val="en-GB"/>
        </w:rPr>
        <w:t xml:space="preserve">emerge </w:t>
      </w:r>
      <w:r>
        <w:rPr>
          <w:szCs w:val="23"/>
          <w:lang w:val="en-GB"/>
        </w:rPr>
        <w:t>from 2014. Moreover, the SEE region has gradually advanced toward EU membership while remaining at a significantly lower level of democratic consolidation than the CEE region. This is an indication of the diminished consistency of EU democratic conditionality. For a better assessment, we need to disaggregate the SEE trajectory</w:t>
      </w:r>
      <w:r w:rsidR="00B520B7">
        <w:rPr>
          <w:szCs w:val="23"/>
          <w:lang w:val="en-GB"/>
        </w:rPr>
        <w:t xml:space="preserve"> by SEE country</w:t>
      </w:r>
      <w:r>
        <w:rPr>
          <w:szCs w:val="23"/>
          <w:lang w:val="en-GB"/>
        </w:rPr>
        <w:t>, however</w:t>
      </w:r>
      <w:r w:rsidR="00B520B7">
        <w:rPr>
          <w:szCs w:val="23"/>
          <w:lang w:val="en-GB"/>
        </w:rPr>
        <w:t xml:space="preserve"> (right panel of Figure 2)</w:t>
      </w:r>
    </w:p>
    <w:p w:rsidR="0052412F" w:rsidRPr="009E1D3D" w:rsidRDefault="0052412F" w:rsidP="00A45C60">
      <w:pPr>
        <w:spacing w:line="480" w:lineRule="auto"/>
        <w:jc w:val="both"/>
        <w:rPr>
          <w:szCs w:val="23"/>
          <w:lang w:val="en-GB"/>
        </w:rPr>
      </w:pPr>
    </w:p>
    <w:p w:rsidR="0052412F" w:rsidRPr="009E1D3D" w:rsidRDefault="0052412F" w:rsidP="00A45C60">
      <w:pPr>
        <w:spacing w:line="480" w:lineRule="auto"/>
        <w:jc w:val="both"/>
        <w:rPr>
          <w:szCs w:val="23"/>
          <w:lang w:val="en-GB"/>
        </w:rPr>
      </w:pPr>
      <w:r w:rsidRPr="009E1D3D">
        <w:rPr>
          <w:szCs w:val="23"/>
          <w:lang w:val="en-GB"/>
        </w:rPr>
        <w:t xml:space="preserve">First, the data confirm that the EU has been largely consistent in rewarding the countries of the region for their progress. Croatia, the only </w:t>
      </w:r>
      <w:r w:rsidR="00BC596B">
        <w:rPr>
          <w:szCs w:val="23"/>
          <w:lang w:val="en-GB"/>
        </w:rPr>
        <w:t>SEE country to obtain accession</w:t>
      </w:r>
      <w:r w:rsidR="00BC596B" w:rsidRPr="009E1D3D">
        <w:rPr>
          <w:szCs w:val="23"/>
          <w:lang w:val="en-GB"/>
        </w:rPr>
        <w:t xml:space="preserve"> </w:t>
      </w:r>
      <w:r w:rsidR="00BC596B">
        <w:rPr>
          <w:szCs w:val="23"/>
          <w:lang w:val="en-GB"/>
        </w:rPr>
        <w:t>since 2007</w:t>
      </w:r>
      <w:r w:rsidRPr="009E1D3D">
        <w:rPr>
          <w:szCs w:val="23"/>
          <w:lang w:val="en-GB"/>
        </w:rPr>
        <w:t>, clearly comes out top-of-the-lea</w:t>
      </w:r>
      <w:r w:rsidR="00F5370C">
        <w:rPr>
          <w:szCs w:val="23"/>
          <w:lang w:val="en-GB"/>
        </w:rPr>
        <w:t>gue</w:t>
      </w:r>
      <w:r w:rsidRPr="009E1D3D">
        <w:rPr>
          <w:szCs w:val="23"/>
          <w:lang w:val="en-GB"/>
        </w:rPr>
        <w:t>. Serbia and Montenegro, the two Western Balkan countries currently in accession negotiations, rank behind Croatia but ahead of the other Western Balkan countries</w:t>
      </w:r>
      <w:r w:rsidR="007F7807" w:rsidRPr="009E1D3D">
        <w:rPr>
          <w:szCs w:val="23"/>
          <w:lang w:val="en-GB"/>
        </w:rPr>
        <w:t>.</w:t>
      </w:r>
      <w:r w:rsidRPr="009E1D3D">
        <w:rPr>
          <w:szCs w:val="23"/>
          <w:lang w:val="en-GB"/>
        </w:rPr>
        <w:t xml:space="preserve"> </w:t>
      </w:r>
      <w:r w:rsidR="00BC596B">
        <w:rPr>
          <w:szCs w:val="23"/>
          <w:lang w:val="en-GB"/>
        </w:rPr>
        <w:t>W</w:t>
      </w:r>
      <w:r w:rsidRPr="009E1D3D">
        <w:rPr>
          <w:szCs w:val="23"/>
          <w:lang w:val="en-GB"/>
        </w:rPr>
        <w:t>hen Turkey started accession negotiations</w:t>
      </w:r>
      <w:r w:rsidR="00BC596B">
        <w:rPr>
          <w:szCs w:val="23"/>
          <w:lang w:val="en-GB"/>
        </w:rPr>
        <w:t xml:space="preserve"> in 2005</w:t>
      </w:r>
      <w:r w:rsidRPr="009E1D3D">
        <w:rPr>
          <w:szCs w:val="23"/>
          <w:lang w:val="en-GB"/>
        </w:rPr>
        <w:t>, its democratic performance was better</w:t>
      </w:r>
      <w:r w:rsidR="00004F69">
        <w:rPr>
          <w:szCs w:val="23"/>
          <w:lang w:val="en-GB"/>
        </w:rPr>
        <w:t xml:space="preserve"> </w:t>
      </w:r>
      <w:r w:rsidRPr="009E1D3D">
        <w:rPr>
          <w:szCs w:val="23"/>
          <w:lang w:val="en-GB"/>
        </w:rPr>
        <w:t>than that of the Western Balkan countries exce</w:t>
      </w:r>
      <w:r w:rsidR="007F7807" w:rsidRPr="009E1D3D">
        <w:rPr>
          <w:szCs w:val="23"/>
          <w:lang w:val="en-GB"/>
        </w:rPr>
        <w:t>pt Croatia</w:t>
      </w:r>
      <w:r w:rsidRPr="009E1D3D">
        <w:rPr>
          <w:szCs w:val="23"/>
          <w:lang w:val="en-GB"/>
        </w:rPr>
        <w:t>. Thus, the credibility problems that EU conditionality has in the region do not stem from inconsistency.</w:t>
      </w:r>
    </w:p>
    <w:p w:rsidR="0033382D" w:rsidRPr="009E1D3D" w:rsidRDefault="00C47672" w:rsidP="00A45C60">
      <w:pPr>
        <w:spacing w:line="480" w:lineRule="auto"/>
        <w:jc w:val="both"/>
        <w:rPr>
          <w:lang w:val="en-GB"/>
        </w:rPr>
      </w:pPr>
      <w:r>
        <w:rPr>
          <w:lang w:val="en-GB"/>
        </w:rPr>
        <w:t xml:space="preserve">Yet </w:t>
      </w:r>
      <w:r w:rsidR="0033382D" w:rsidRPr="009E1D3D">
        <w:rPr>
          <w:lang w:val="en-GB"/>
        </w:rPr>
        <w:t>EU accession conditionality has not been able to induce sufficient and sustainable progress in the political development of its</w:t>
      </w:r>
      <w:r>
        <w:rPr>
          <w:lang w:val="en-GB"/>
        </w:rPr>
        <w:t xml:space="preserve"> candidate countries. T</w:t>
      </w:r>
      <w:r w:rsidR="0033382D" w:rsidRPr="009E1D3D">
        <w:rPr>
          <w:lang w:val="en-GB"/>
        </w:rPr>
        <w:t>hat Bosnia-Her</w:t>
      </w:r>
      <w:r w:rsidR="0067579F">
        <w:rPr>
          <w:lang w:val="en-GB"/>
        </w:rPr>
        <w:t>z</w:t>
      </w:r>
      <w:r w:rsidR="0033382D" w:rsidRPr="009E1D3D">
        <w:rPr>
          <w:lang w:val="en-GB"/>
        </w:rPr>
        <w:t xml:space="preserve">egovina and Kosovo have remained at the bottom of the league testifies to the failure of EU conditionality in state-building (Bieber 2011). The cases of failure are clearly overdetermined, combining distant and uncertain rewards with particularly high domestic adaptation costs owing to powerful internal (and external) veto players and low state capacity. </w:t>
      </w:r>
    </w:p>
    <w:p w:rsidR="0033382D" w:rsidRPr="009E1D3D" w:rsidRDefault="00004F69" w:rsidP="00A45C60">
      <w:pPr>
        <w:spacing w:line="480" w:lineRule="auto"/>
        <w:jc w:val="both"/>
        <w:rPr>
          <w:lang w:val="en-GB"/>
        </w:rPr>
      </w:pPr>
      <w:r>
        <w:rPr>
          <w:lang w:val="en-GB"/>
        </w:rPr>
        <w:t xml:space="preserve">As argued above, </w:t>
      </w:r>
      <w:r w:rsidR="0033382D" w:rsidRPr="009E1D3D">
        <w:rPr>
          <w:lang w:val="en-GB"/>
        </w:rPr>
        <w:t>Turkey and Macedonia are the two countries whose membership perspective has become least credible</w:t>
      </w:r>
      <w:r w:rsidR="00B520B7">
        <w:rPr>
          <w:lang w:val="en-GB"/>
        </w:rPr>
        <w:t xml:space="preserve"> over time</w:t>
      </w:r>
      <w:r>
        <w:rPr>
          <w:lang w:val="en-GB"/>
        </w:rPr>
        <w:t>.</w:t>
      </w:r>
      <w:r w:rsidR="0033382D" w:rsidRPr="009E1D3D">
        <w:rPr>
          <w:lang w:val="en-GB"/>
        </w:rPr>
        <w:t xml:space="preserve"> The effects can be seen in the trajectories of the two countries’ liberal-democratic performance. Initial progress gave way to regression when it became clear that the EU would not reward their efforts in the near future. </w:t>
      </w:r>
    </w:p>
    <w:p w:rsidR="0052412F" w:rsidRPr="009E1D3D" w:rsidRDefault="0052412F" w:rsidP="00A45C60">
      <w:pPr>
        <w:spacing w:line="480" w:lineRule="auto"/>
        <w:jc w:val="both"/>
        <w:rPr>
          <w:lang w:val="en-GB"/>
        </w:rPr>
      </w:pPr>
      <w:r w:rsidRPr="009E1D3D">
        <w:rPr>
          <w:lang w:val="en-GB"/>
        </w:rPr>
        <w:t>In Turkey, a combination of external incentives and reduced political costs triggered the initial reforms, which earned Turkey the start of the accession negotiations (</w:t>
      </w:r>
      <w:proofErr w:type="spellStart"/>
      <w:r w:rsidRPr="009E1D3D">
        <w:rPr>
          <w:lang w:val="en-GB"/>
        </w:rPr>
        <w:t>Kubicek</w:t>
      </w:r>
      <w:proofErr w:type="spellEnd"/>
      <w:r w:rsidRPr="009E1D3D">
        <w:rPr>
          <w:lang w:val="en-GB"/>
        </w:rPr>
        <w:t xml:space="preserve"> 2011; </w:t>
      </w:r>
      <w:proofErr w:type="spellStart"/>
      <w:r w:rsidRPr="009E1D3D">
        <w:rPr>
          <w:lang w:val="en-GB"/>
        </w:rPr>
        <w:t>Müftüler</w:t>
      </w:r>
      <w:proofErr w:type="spellEnd"/>
      <w:r w:rsidRPr="009E1D3D">
        <w:rPr>
          <w:lang w:val="en-GB"/>
        </w:rPr>
        <w:t xml:space="preserve">-Bac 2005; </w:t>
      </w:r>
      <w:proofErr w:type="spellStart"/>
      <w:r w:rsidRPr="009E1D3D">
        <w:rPr>
          <w:lang w:val="en-GB"/>
        </w:rPr>
        <w:t>Schimmelfennig</w:t>
      </w:r>
      <w:proofErr w:type="spellEnd"/>
      <w:r w:rsidRPr="009E1D3D">
        <w:rPr>
          <w:lang w:val="en-GB"/>
        </w:rPr>
        <w:t xml:space="preserve"> et al. 2006). The official candidate status of 1999 raised the credibility of Turkey’s membership perspective; the electoral victory of the AKP brought a party to power that had a strong self-interest in constraining and reforming the Kemalist state. After 2005, perceptions of EU double standards gained ground in Turkey, the political consensus behind the reform process broke down, and the Turkish government reoriented its international relations away from the </w:t>
      </w:r>
      <w:r w:rsidR="00084529" w:rsidRPr="009E1D3D">
        <w:rPr>
          <w:lang w:val="en-GB"/>
        </w:rPr>
        <w:t xml:space="preserve">EU </w:t>
      </w:r>
      <w:r w:rsidRPr="009E1D3D">
        <w:rPr>
          <w:lang w:val="en-GB"/>
        </w:rPr>
        <w:t>(</w:t>
      </w:r>
      <w:proofErr w:type="spellStart"/>
      <w:r w:rsidRPr="009E1D3D">
        <w:rPr>
          <w:lang w:val="en-GB"/>
        </w:rPr>
        <w:t>Kubicek</w:t>
      </w:r>
      <w:proofErr w:type="spellEnd"/>
      <w:r w:rsidRPr="009E1D3D">
        <w:rPr>
          <w:lang w:val="en-GB"/>
        </w:rPr>
        <w:t xml:space="preserve"> 2011). Whereas the process of Europeanization has not </w:t>
      </w:r>
      <w:r w:rsidR="003320D4">
        <w:rPr>
          <w:lang w:val="en-GB"/>
        </w:rPr>
        <w:t>completely halted</w:t>
      </w:r>
      <w:r w:rsidRPr="009E1D3D">
        <w:rPr>
          <w:lang w:val="en-GB"/>
        </w:rPr>
        <w:t xml:space="preserve"> after 2005, it has been limited to selective policy areas, </w:t>
      </w:r>
      <w:r w:rsidR="00084529" w:rsidRPr="009E1D3D">
        <w:rPr>
          <w:lang w:val="en-GB"/>
        </w:rPr>
        <w:t xml:space="preserve">driven by </w:t>
      </w:r>
      <w:r w:rsidRPr="009E1D3D">
        <w:rPr>
          <w:lang w:val="en-GB"/>
        </w:rPr>
        <w:t>the government’s domestic political interest (</w:t>
      </w:r>
      <w:r w:rsidR="006A5430">
        <w:rPr>
          <w:lang w:val="en-GB"/>
        </w:rPr>
        <w:t xml:space="preserve">e.g. </w:t>
      </w:r>
      <w:r w:rsidR="00084529" w:rsidRPr="009E1D3D">
        <w:rPr>
          <w:lang w:val="en-GB"/>
        </w:rPr>
        <w:t xml:space="preserve">Yilmaz and </w:t>
      </w:r>
      <w:proofErr w:type="spellStart"/>
      <w:r w:rsidR="00084529" w:rsidRPr="009E1D3D">
        <w:rPr>
          <w:lang w:val="en-GB"/>
        </w:rPr>
        <w:t>Soyaltin</w:t>
      </w:r>
      <w:proofErr w:type="spellEnd"/>
      <w:r w:rsidR="00084529" w:rsidRPr="009E1D3D">
        <w:rPr>
          <w:lang w:val="en-GB"/>
        </w:rPr>
        <w:t xml:space="preserve"> 2014) or </w:t>
      </w:r>
      <w:r w:rsidRPr="009E1D3D">
        <w:rPr>
          <w:lang w:val="en-GB"/>
        </w:rPr>
        <w:t xml:space="preserve">socialization and anticipatory compliance in policy networks (Aydin and </w:t>
      </w:r>
      <w:proofErr w:type="spellStart"/>
      <w:r w:rsidRPr="009E1D3D">
        <w:rPr>
          <w:lang w:val="en-GB"/>
        </w:rPr>
        <w:t>Kirisci</w:t>
      </w:r>
      <w:proofErr w:type="spellEnd"/>
      <w:r w:rsidRPr="009E1D3D">
        <w:rPr>
          <w:lang w:val="en-GB"/>
        </w:rPr>
        <w:t xml:space="preserve"> 2013; </w:t>
      </w:r>
      <w:proofErr w:type="spellStart"/>
      <w:r w:rsidRPr="009E1D3D">
        <w:rPr>
          <w:lang w:val="en-GB"/>
        </w:rPr>
        <w:t>Bürgin</w:t>
      </w:r>
      <w:proofErr w:type="spellEnd"/>
      <w:r w:rsidRPr="009E1D3D">
        <w:rPr>
          <w:lang w:val="en-GB"/>
        </w:rPr>
        <w:t xml:space="preserve"> and </w:t>
      </w:r>
      <w:proofErr w:type="spellStart"/>
      <w:r w:rsidRPr="009E1D3D">
        <w:rPr>
          <w:lang w:val="en-GB"/>
        </w:rPr>
        <w:t>Asikoglu</w:t>
      </w:r>
      <w:proofErr w:type="spellEnd"/>
      <w:r w:rsidRPr="009E1D3D">
        <w:rPr>
          <w:lang w:val="en-GB"/>
        </w:rPr>
        <w:t xml:space="preserve"> 2017). Since 2010, however</w:t>
      </w:r>
      <w:r w:rsidR="00F5370C">
        <w:rPr>
          <w:lang w:val="en-GB"/>
        </w:rPr>
        <w:t>, a process of ‘de-Europeanization’</w:t>
      </w:r>
      <w:r w:rsidRPr="009E1D3D">
        <w:rPr>
          <w:lang w:val="en-GB"/>
        </w:rPr>
        <w:t xml:space="preserve"> has become dominant (Yilmaz 2016). The Turkish case shows most clearly how the decrease in the credibility of the EU’s conditional membership promise has resulted in a decrease of the EU’s influence on the country’s general political development.</w:t>
      </w:r>
    </w:p>
    <w:p w:rsidR="00246256" w:rsidRPr="009E1D3D" w:rsidRDefault="0052412F" w:rsidP="00A45C60">
      <w:pPr>
        <w:spacing w:line="480" w:lineRule="auto"/>
        <w:jc w:val="both"/>
        <w:rPr>
          <w:lang w:val="en-GB"/>
        </w:rPr>
      </w:pPr>
      <w:r w:rsidRPr="009E1D3D">
        <w:rPr>
          <w:lang w:val="en-GB"/>
        </w:rPr>
        <w:t>Macedonia</w:t>
      </w:r>
      <w:r w:rsidR="00F5370C">
        <w:rPr>
          <w:lang w:val="en-GB"/>
        </w:rPr>
        <w:t xml:space="preserve"> has been an early and eager ‘</w:t>
      </w:r>
      <w:proofErr w:type="spellStart"/>
      <w:r w:rsidR="00F5370C">
        <w:rPr>
          <w:lang w:val="en-GB"/>
        </w:rPr>
        <w:t>Europeanizer</w:t>
      </w:r>
      <w:proofErr w:type="spellEnd"/>
      <w:r w:rsidR="00F5370C">
        <w:rPr>
          <w:lang w:val="en-GB"/>
        </w:rPr>
        <w:t>’</w:t>
      </w:r>
      <w:r w:rsidRPr="009E1D3D">
        <w:rPr>
          <w:lang w:val="en-GB"/>
        </w:rPr>
        <w:t xml:space="preserve"> in the Western Balkans. After its membership application in 2004 and obtaining candidate status in 2005, Macedonia engaged in high legislative activity to bring its institutions and policies in line with the EU, earning the country a series of recommendations by the European Commission to start accession negotiations, </w:t>
      </w:r>
      <w:r w:rsidR="00C37412">
        <w:rPr>
          <w:lang w:val="en-GB"/>
        </w:rPr>
        <w:t xml:space="preserve">only to be </w:t>
      </w:r>
      <w:r w:rsidRPr="009E1D3D">
        <w:rPr>
          <w:lang w:val="en-GB"/>
        </w:rPr>
        <w:t xml:space="preserve">vetoed by Greece. Since 2010, Macedonia’s rule adoption has slowed down, interrupted by a short period of heightened activity when the </w:t>
      </w:r>
      <w:proofErr w:type="gramStart"/>
      <w:r w:rsidRPr="009E1D3D">
        <w:rPr>
          <w:lang w:val="en-GB"/>
        </w:rPr>
        <w:t>High Level</w:t>
      </w:r>
      <w:proofErr w:type="gramEnd"/>
      <w:r w:rsidRPr="009E1D3D">
        <w:rPr>
          <w:lang w:val="en-GB"/>
        </w:rPr>
        <w:t xml:space="preserve"> Accession Dialogue appeared to be able to overcome the name dispute in 2012/13. During the same time, the Macedonian government of Nikola </w:t>
      </w:r>
      <w:proofErr w:type="spellStart"/>
      <w:r w:rsidRPr="009E1D3D">
        <w:rPr>
          <w:lang w:val="en-GB"/>
        </w:rPr>
        <w:t>Gruevski</w:t>
      </w:r>
      <w:proofErr w:type="spellEnd"/>
      <w:r w:rsidRPr="009E1D3D">
        <w:rPr>
          <w:lang w:val="en-GB"/>
        </w:rPr>
        <w:t xml:space="preserve"> </w:t>
      </w:r>
      <w:r w:rsidR="00084529" w:rsidRPr="009E1D3D">
        <w:rPr>
          <w:lang w:val="en-GB"/>
        </w:rPr>
        <w:t xml:space="preserve">stepped up </w:t>
      </w:r>
      <w:r w:rsidRPr="009E1D3D">
        <w:rPr>
          <w:lang w:val="en-GB"/>
        </w:rPr>
        <w:t>state capture</w:t>
      </w:r>
      <w:r w:rsidR="00084529" w:rsidRPr="009E1D3D">
        <w:rPr>
          <w:lang w:val="en-GB"/>
        </w:rPr>
        <w:t>, revealed in the ‘wiretapping scandal’</w:t>
      </w:r>
      <w:r w:rsidRPr="009E1D3D">
        <w:rPr>
          <w:lang w:val="en-GB"/>
        </w:rPr>
        <w:t xml:space="preserve"> of 2015</w:t>
      </w:r>
      <w:r w:rsidR="00084529" w:rsidRPr="009E1D3D">
        <w:rPr>
          <w:lang w:val="en-GB"/>
        </w:rPr>
        <w:t xml:space="preserve"> and causing prolonged political crisis.</w:t>
      </w:r>
      <w:r w:rsidRPr="009E1D3D">
        <w:rPr>
          <w:lang w:val="en-GB"/>
        </w:rPr>
        <w:t xml:space="preserve"> </w:t>
      </w:r>
      <w:r w:rsidR="000D0005">
        <w:rPr>
          <w:lang w:val="en-GB"/>
        </w:rPr>
        <w:t xml:space="preserve">The resolution of the name dispute in 2019 should increase the credibility of the membership reward. </w:t>
      </w:r>
    </w:p>
    <w:p w:rsidR="00C37412" w:rsidRDefault="00C37412" w:rsidP="00A45C60">
      <w:pPr>
        <w:spacing w:line="480" w:lineRule="auto"/>
        <w:jc w:val="both"/>
        <w:rPr>
          <w:lang w:val="en-GB"/>
        </w:rPr>
      </w:pPr>
      <w:r w:rsidRPr="009E1D3D">
        <w:rPr>
          <w:lang w:val="en-GB"/>
        </w:rPr>
        <w:t>Finally, the</w:t>
      </w:r>
      <w:r>
        <w:rPr>
          <w:lang w:val="en-GB"/>
        </w:rPr>
        <w:t xml:space="preserve"> EU is still able to elicit </w:t>
      </w:r>
      <w:r w:rsidRPr="009E1D3D">
        <w:rPr>
          <w:lang w:val="en-GB"/>
        </w:rPr>
        <w:t xml:space="preserve">compliance with its demands, even if they involve high political costs, </w:t>
      </w:r>
      <w:r>
        <w:rPr>
          <w:lang w:val="en-GB"/>
        </w:rPr>
        <w:t>as long as</w:t>
      </w:r>
      <w:r w:rsidRPr="009E1D3D">
        <w:rPr>
          <w:lang w:val="en-GB"/>
        </w:rPr>
        <w:t xml:space="preserve"> it offers important and imminent intermediate rewards in return. </w:t>
      </w:r>
      <w:r>
        <w:rPr>
          <w:lang w:val="en-GB"/>
        </w:rPr>
        <w:t xml:space="preserve">In the case of Croatia, for instance, </w:t>
      </w:r>
      <w:r w:rsidRPr="009E1D3D">
        <w:rPr>
          <w:lang w:val="en-GB"/>
        </w:rPr>
        <w:t>when the EU made the start of accession negotiations specifically dependent on the arrest of suspected war</w:t>
      </w:r>
      <w:r w:rsidR="00692568">
        <w:rPr>
          <w:lang w:val="en-GB"/>
        </w:rPr>
        <w:t xml:space="preserve"> </w:t>
      </w:r>
      <w:r w:rsidRPr="009E1D3D">
        <w:rPr>
          <w:lang w:val="en-GB"/>
        </w:rPr>
        <w:t xml:space="preserve">criminal General </w:t>
      </w:r>
      <w:proofErr w:type="spellStart"/>
      <w:r w:rsidRPr="009E1D3D">
        <w:rPr>
          <w:lang w:val="en-GB"/>
        </w:rPr>
        <w:t>Gotovina</w:t>
      </w:r>
      <w:proofErr w:type="spellEnd"/>
      <w:r w:rsidRPr="009E1D3D">
        <w:rPr>
          <w:lang w:val="en-GB"/>
        </w:rPr>
        <w:t>, Croatia cooperated with the ICTY (</w:t>
      </w:r>
      <w:proofErr w:type="spellStart"/>
      <w:r w:rsidRPr="009E1D3D">
        <w:rPr>
          <w:lang w:val="en-GB"/>
        </w:rPr>
        <w:t>Schimmelfennig</w:t>
      </w:r>
      <w:proofErr w:type="spellEnd"/>
      <w:r w:rsidRPr="009E1D3D">
        <w:rPr>
          <w:lang w:val="en-GB"/>
        </w:rPr>
        <w:t xml:space="preserve"> 2008). When the closing of accession negotiations approached, </w:t>
      </w:r>
      <w:r>
        <w:rPr>
          <w:lang w:val="en-GB"/>
        </w:rPr>
        <w:t xml:space="preserve">the </w:t>
      </w:r>
      <w:r w:rsidRPr="009E1D3D">
        <w:rPr>
          <w:lang w:val="en-GB"/>
        </w:rPr>
        <w:t>Croatia</w:t>
      </w:r>
      <w:r>
        <w:rPr>
          <w:lang w:val="en-GB"/>
        </w:rPr>
        <w:t>n government</w:t>
      </w:r>
      <w:r w:rsidRPr="009E1D3D">
        <w:rPr>
          <w:lang w:val="en-GB"/>
        </w:rPr>
        <w:t xml:space="preserve"> demonstrated resolve in the fight against corruption by arresting former Prime Minister </w:t>
      </w:r>
      <w:proofErr w:type="spellStart"/>
      <w:r w:rsidRPr="009E1D3D">
        <w:rPr>
          <w:lang w:val="en-GB"/>
        </w:rPr>
        <w:t>Sanader</w:t>
      </w:r>
      <w:proofErr w:type="spellEnd"/>
      <w:r w:rsidRPr="009E1D3D">
        <w:rPr>
          <w:lang w:val="en-GB"/>
        </w:rPr>
        <w:t xml:space="preserve"> (from the same </w:t>
      </w:r>
      <w:r>
        <w:rPr>
          <w:lang w:val="en-GB"/>
        </w:rPr>
        <w:t xml:space="preserve">political </w:t>
      </w:r>
      <w:r w:rsidRPr="009E1D3D">
        <w:rPr>
          <w:lang w:val="en-GB"/>
        </w:rPr>
        <w:t>party) in December 2010 (</w:t>
      </w:r>
      <w:proofErr w:type="spellStart"/>
      <w:r w:rsidRPr="009E1D3D">
        <w:rPr>
          <w:lang w:val="en-GB"/>
        </w:rPr>
        <w:t>Noutcheva</w:t>
      </w:r>
      <w:proofErr w:type="spellEnd"/>
      <w:r w:rsidRPr="009E1D3D">
        <w:rPr>
          <w:lang w:val="en-GB"/>
        </w:rPr>
        <w:t xml:space="preserve"> and Aydin-</w:t>
      </w:r>
      <w:proofErr w:type="spellStart"/>
      <w:r w:rsidRPr="009E1D3D">
        <w:rPr>
          <w:lang w:val="en-GB"/>
        </w:rPr>
        <w:t>Düzgit</w:t>
      </w:r>
      <w:proofErr w:type="spellEnd"/>
      <w:r w:rsidRPr="009E1D3D">
        <w:rPr>
          <w:lang w:val="en-GB"/>
        </w:rPr>
        <w:t xml:space="preserve"> 2012). </w:t>
      </w:r>
      <w:r>
        <w:rPr>
          <w:lang w:val="en-GB"/>
        </w:rPr>
        <w:t>T</w:t>
      </w:r>
      <w:r w:rsidRPr="009E1D3D">
        <w:rPr>
          <w:lang w:val="en-GB"/>
        </w:rPr>
        <w:t>he EU has now created many ‘windows for leverage’ (</w:t>
      </w:r>
      <w:proofErr w:type="spellStart"/>
      <w:r w:rsidRPr="009E1D3D">
        <w:rPr>
          <w:lang w:val="en-GB"/>
        </w:rPr>
        <w:t>O’Brennan</w:t>
      </w:r>
      <w:proofErr w:type="spellEnd"/>
      <w:r w:rsidRPr="009E1D3D">
        <w:rPr>
          <w:lang w:val="en-GB"/>
        </w:rPr>
        <w:t xml:space="preserve"> 2014), from the start of association negotiations to the decisions on closing benchmarks for individual negotiation chapters. These ‘micro-conditionalities’ have, indeed, helped to move the integration processes forward incrementally – especially in the cases of Croatia and Serbia, which were not durably blocked by bilateral conflicts with the member states. In the same vein, the EU has sought to compensate the distant and uncertain reward of membership with a series of smaller, sectoral agreements that would commit the Western Balkan countries to specific policy rules in return for short-term rewards in areas such as energy and border policy </w:t>
      </w:r>
      <w:r>
        <w:rPr>
          <w:lang w:val="en-GB"/>
        </w:rPr>
        <w:t xml:space="preserve">and visa liberalization </w:t>
      </w:r>
      <w:r w:rsidRPr="009E1D3D">
        <w:rPr>
          <w:lang w:val="en-GB"/>
        </w:rPr>
        <w:t xml:space="preserve">(Renner and </w:t>
      </w:r>
      <w:proofErr w:type="spellStart"/>
      <w:r w:rsidRPr="009E1D3D">
        <w:rPr>
          <w:lang w:val="en-GB"/>
        </w:rPr>
        <w:t>Trauner</w:t>
      </w:r>
      <w:proofErr w:type="spellEnd"/>
      <w:r w:rsidRPr="009E1D3D">
        <w:rPr>
          <w:lang w:val="en-GB"/>
        </w:rPr>
        <w:t xml:space="preserve"> 2009</w:t>
      </w:r>
      <w:r>
        <w:rPr>
          <w:lang w:val="en-GB"/>
        </w:rPr>
        <w:t xml:space="preserve">; </w:t>
      </w:r>
      <w:proofErr w:type="spellStart"/>
      <w:r>
        <w:rPr>
          <w:lang w:val="en-GB"/>
        </w:rPr>
        <w:t>Trauner</w:t>
      </w:r>
      <w:proofErr w:type="spellEnd"/>
      <w:r>
        <w:rPr>
          <w:lang w:val="en-GB"/>
        </w:rPr>
        <w:t xml:space="preserve"> 2009</w:t>
      </w:r>
      <w:r w:rsidRPr="009E1D3D">
        <w:rPr>
          <w:lang w:val="en-GB"/>
        </w:rPr>
        <w:t xml:space="preserve">). </w:t>
      </w:r>
    </w:p>
    <w:p w:rsidR="007C2C8F" w:rsidRPr="009E1D3D" w:rsidRDefault="007C2C8F" w:rsidP="00A45C60">
      <w:pPr>
        <w:spacing w:line="480" w:lineRule="auto"/>
        <w:jc w:val="both"/>
        <w:rPr>
          <w:lang w:val="en-GB"/>
        </w:rPr>
      </w:pPr>
      <w:r w:rsidRPr="009E1D3D">
        <w:rPr>
          <w:lang w:val="en-GB"/>
        </w:rPr>
        <w:t>In sum, the major difference between CEE and SEE enlargement is the combination of higher ad</w:t>
      </w:r>
      <w:r w:rsidR="003E1607">
        <w:rPr>
          <w:lang w:val="en-GB"/>
        </w:rPr>
        <w:t>o</w:t>
      </w:r>
      <w:r w:rsidRPr="009E1D3D">
        <w:rPr>
          <w:lang w:val="en-GB"/>
        </w:rPr>
        <w:t xml:space="preserve">ption costs with a lower credibility of the EU’s conditionality. </w:t>
      </w:r>
      <w:r w:rsidR="0026166D">
        <w:rPr>
          <w:lang w:val="en-GB"/>
        </w:rPr>
        <w:t>Not only did t</w:t>
      </w:r>
      <w:r w:rsidRPr="009E1D3D">
        <w:rPr>
          <w:lang w:val="en-GB"/>
        </w:rPr>
        <w:t>he SEE</w:t>
      </w:r>
      <w:r w:rsidR="005C027C" w:rsidRPr="009E1D3D">
        <w:rPr>
          <w:lang w:val="en-GB"/>
        </w:rPr>
        <w:t xml:space="preserve"> countries</w:t>
      </w:r>
      <w:r w:rsidR="0026166D">
        <w:rPr>
          <w:lang w:val="en-GB"/>
        </w:rPr>
        <w:t xml:space="preserve"> start</w:t>
      </w:r>
      <w:r w:rsidRPr="009E1D3D">
        <w:rPr>
          <w:lang w:val="en-GB"/>
        </w:rPr>
        <w:t xml:space="preserve"> from</w:t>
      </w:r>
      <w:r w:rsidR="0026166D">
        <w:rPr>
          <w:lang w:val="en-GB"/>
        </w:rPr>
        <w:t xml:space="preserve"> a </w:t>
      </w:r>
      <w:r w:rsidRPr="009E1D3D">
        <w:rPr>
          <w:lang w:val="en-GB"/>
        </w:rPr>
        <w:t>grea</w:t>
      </w:r>
      <w:r w:rsidR="0026166D">
        <w:rPr>
          <w:lang w:val="en-GB"/>
        </w:rPr>
        <w:t xml:space="preserve">ter distance from EU standards and </w:t>
      </w:r>
      <w:r w:rsidRPr="009E1D3D">
        <w:rPr>
          <w:lang w:val="en-GB"/>
        </w:rPr>
        <w:t>faced additional prerequisites of accession</w:t>
      </w:r>
      <w:r w:rsidR="0026166D">
        <w:rPr>
          <w:lang w:val="en-GB"/>
        </w:rPr>
        <w:t>,</w:t>
      </w:r>
      <w:r w:rsidRPr="009E1D3D">
        <w:rPr>
          <w:lang w:val="en-GB"/>
        </w:rPr>
        <w:t xml:space="preserve"> </w:t>
      </w:r>
      <w:r w:rsidR="0010607C" w:rsidRPr="009E1D3D">
        <w:rPr>
          <w:lang w:val="en-GB"/>
        </w:rPr>
        <w:t xml:space="preserve">but </w:t>
      </w:r>
      <w:r w:rsidR="0026166D">
        <w:rPr>
          <w:lang w:val="en-GB"/>
        </w:rPr>
        <w:t xml:space="preserve">they </w:t>
      </w:r>
      <w:r w:rsidR="0010607C" w:rsidRPr="009E1D3D">
        <w:rPr>
          <w:lang w:val="en-GB"/>
        </w:rPr>
        <w:t xml:space="preserve">were </w:t>
      </w:r>
      <w:r w:rsidR="0026166D">
        <w:rPr>
          <w:lang w:val="en-GB"/>
        </w:rPr>
        <w:t xml:space="preserve">also given a </w:t>
      </w:r>
      <w:r w:rsidR="0010607C" w:rsidRPr="009E1D3D">
        <w:rPr>
          <w:lang w:val="en-GB"/>
        </w:rPr>
        <w:t>more distant and uncertain membership perspective. This discrepancy slowed down Europeanization in the entire region, especially in those countries that suffered from weak statehood and were entangled in bilateral conflicts with a member state.</w:t>
      </w:r>
      <w:r w:rsidR="00637BD1" w:rsidRPr="009E1D3D">
        <w:rPr>
          <w:lang w:val="en-GB"/>
        </w:rPr>
        <w:t xml:space="preserve"> </w:t>
      </w:r>
    </w:p>
    <w:p w:rsidR="005C027C" w:rsidRPr="009E1D3D" w:rsidRDefault="005C027C" w:rsidP="00A45C60">
      <w:pPr>
        <w:spacing w:line="480" w:lineRule="auto"/>
        <w:jc w:val="both"/>
        <w:rPr>
          <w:lang w:val="en-GB"/>
        </w:rPr>
      </w:pPr>
    </w:p>
    <w:p w:rsidR="005C027C" w:rsidRPr="009E1D3D" w:rsidRDefault="005C027C" w:rsidP="00A45C60">
      <w:pPr>
        <w:spacing w:line="480" w:lineRule="auto"/>
        <w:jc w:val="both"/>
        <w:outlineLvl w:val="0"/>
        <w:rPr>
          <w:b/>
          <w:lang w:val="en-GB"/>
        </w:rPr>
      </w:pPr>
      <w:r w:rsidRPr="009E1D3D">
        <w:rPr>
          <w:b/>
          <w:lang w:val="en-GB"/>
        </w:rPr>
        <w:t>Conclusions</w:t>
      </w:r>
    </w:p>
    <w:p w:rsidR="00C37412" w:rsidRPr="009E1D3D" w:rsidRDefault="00C37412" w:rsidP="00A45C60">
      <w:pPr>
        <w:spacing w:line="480" w:lineRule="auto"/>
        <w:jc w:val="both"/>
        <w:rPr>
          <w:lang w:val="en-GB"/>
        </w:rPr>
      </w:pPr>
      <w:r>
        <w:rPr>
          <w:lang w:val="en-GB"/>
        </w:rPr>
        <w:t xml:space="preserve">This article revisited the EIM, first developed in the CEE pre-accession period, by applying it to two </w:t>
      </w:r>
      <w:r w:rsidR="00FF57E5">
        <w:rPr>
          <w:lang w:val="en-GB"/>
        </w:rPr>
        <w:t xml:space="preserve">new empirical </w:t>
      </w:r>
      <w:r>
        <w:rPr>
          <w:lang w:val="en-GB"/>
        </w:rPr>
        <w:t xml:space="preserve">contexts: CEE post-accession and SEE pre-accession. </w:t>
      </w:r>
      <w:r w:rsidRPr="009E1D3D">
        <w:rPr>
          <w:lang w:val="en-GB"/>
        </w:rPr>
        <w:t xml:space="preserve">In the </w:t>
      </w:r>
      <w:r>
        <w:rPr>
          <w:lang w:val="en-GB"/>
        </w:rPr>
        <w:t xml:space="preserve">CEE pre-accession period, </w:t>
      </w:r>
      <w:r w:rsidRPr="009E1D3D">
        <w:rPr>
          <w:lang w:val="en-GB"/>
        </w:rPr>
        <w:t>the EIM explain</w:t>
      </w:r>
      <w:r>
        <w:rPr>
          <w:lang w:val="en-GB"/>
        </w:rPr>
        <w:t>s</w:t>
      </w:r>
      <w:r w:rsidRPr="009E1D3D">
        <w:rPr>
          <w:lang w:val="en-GB"/>
        </w:rPr>
        <w:t xml:space="preserve"> </w:t>
      </w:r>
      <w:r>
        <w:rPr>
          <w:lang w:val="en-GB"/>
        </w:rPr>
        <w:t>Europeanization</w:t>
      </w:r>
      <w:r w:rsidRPr="009E1D3D">
        <w:rPr>
          <w:lang w:val="en-GB"/>
        </w:rPr>
        <w:t xml:space="preserve"> with </w:t>
      </w:r>
      <w:r>
        <w:rPr>
          <w:lang w:val="en-GB"/>
        </w:rPr>
        <w:t xml:space="preserve">favourable conditions. </w:t>
      </w:r>
      <w:r w:rsidRPr="009E1D3D">
        <w:rPr>
          <w:lang w:val="en-GB"/>
        </w:rPr>
        <w:t>Rewards were high and credible, domestic adoption costs moderate, and in the few cases, in which political costs were high</w:t>
      </w:r>
      <w:r>
        <w:rPr>
          <w:lang w:val="en-GB"/>
        </w:rPr>
        <w:t xml:space="preserve"> (such as minority rights in the Baltic countries)</w:t>
      </w:r>
      <w:r w:rsidRPr="009E1D3D">
        <w:rPr>
          <w:lang w:val="en-GB"/>
        </w:rPr>
        <w:t xml:space="preserve">, they </w:t>
      </w:r>
      <w:r>
        <w:rPr>
          <w:lang w:val="en-GB"/>
        </w:rPr>
        <w:t xml:space="preserve">were </w:t>
      </w:r>
      <w:r w:rsidRPr="009E1D3D">
        <w:rPr>
          <w:lang w:val="en-GB"/>
        </w:rPr>
        <w:t xml:space="preserve">overcome by even higher imminent rewards. In the two post-Eastern enlargement contexts we have examined in this </w:t>
      </w:r>
      <w:r w:rsidR="00BD493D">
        <w:rPr>
          <w:lang w:val="en-GB"/>
        </w:rPr>
        <w:t>article</w:t>
      </w:r>
      <w:r w:rsidRPr="009E1D3D">
        <w:rPr>
          <w:lang w:val="en-GB"/>
        </w:rPr>
        <w:t xml:space="preserve">, </w:t>
      </w:r>
      <w:r w:rsidR="00BD493D">
        <w:rPr>
          <w:lang w:val="en-GB"/>
        </w:rPr>
        <w:t xml:space="preserve">the setting of some </w:t>
      </w:r>
      <w:r w:rsidRPr="009E1D3D">
        <w:rPr>
          <w:lang w:val="en-GB"/>
        </w:rPr>
        <w:t>conditions ha</w:t>
      </w:r>
      <w:r w:rsidR="00BD493D">
        <w:rPr>
          <w:lang w:val="en-GB"/>
        </w:rPr>
        <w:t xml:space="preserve">s </w:t>
      </w:r>
      <w:r w:rsidRPr="009E1D3D">
        <w:rPr>
          <w:lang w:val="en-GB"/>
        </w:rPr>
        <w:t>changed</w:t>
      </w:r>
      <w:r>
        <w:rPr>
          <w:lang w:val="en-GB"/>
        </w:rPr>
        <w:t xml:space="preserve"> (see Table 1 above)</w:t>
      </w:r>
      <w:r w:rsidRPr="009E1D3D">
        <w:rPr>
          <w:lang w:val="en-GB"/>
        </w:rPr>
        <w:t xml:space="preserve">. </w:t>
      </w:r>
    </w:p>
    <w:p w:rsidR="00C37412" w:rsidRDefault="00C37412" w:rsidP="00A45C60">
      <w:pPr>
        <w:spacing w:line="480" w:lineRule="auto"/>
        <w:jc w:val="both"/>
        <w:rPr>
          <w:lang w:val="en-GB"/>
        </w:rPr>
      </w:pPr>
      <w:r w:rsidRPr="009E1D3D">
        <w:rPr>
          <w:lang w:val="en-GB"/>
        </w:rPr>
        <w:t xml:space="preserve">In the </w:t>
      </w:r>
      <w:r>
        <w:rPr>
          <w:lang w:val="en-GB"/>
        </w:rPr>
        <w:t xml:space="preserve">CEE </w:t>
      </w:r>
      <w:r w:rsidRPr="009E1D3D">
        <w:rPr>
          <w:lang w:val="en-GB"/>
        </w:rPr>
        <w:t xml:space="preserve">post-accession period, conditions vary significantly between the market acquis and the EU’s liberal democratic norms. The defiant stance of the EU’s ‘illiberal democracies’ vis-à-vis EU </w:t>
      </w:r>
      <w:r w:rsidR="007C6B14">
        <w:rPr>
          <w:lang w:val="en-GB"/>
        </w:rPr>
        <w:t>institutions</w:t>
      </w:r>
      <w:r w:rsidR="007C6B14" w:rsidRPr="009E1D3D">
        <w:rPr>
          <w:lang w:val="en-GB"/>
        </w:rPr>
        <w:t xml:space="preserve"> </w:t>
      </w:r>
      <w:r w:rsidRPr="009E1D3D">
        <w:rPr>
          <w:lang w:val="en-GB"/>
        </w:rPr>
        <w:t xml:space="preserve">fits the prediction of the EIM based on </w:t>
      </w:r>
      <w:r w:rsidR="007C6B14">
        <w:rPr>
          <w:lang w:val="en-GB"/>
        </w:rPr>
        <w:t xml:space="preserve">the </w:t>
      </w:r>
      <w:r w:rsidRPr="009E1D3D">
        <w:rPr>
          <w:lang w:val="en-GB"/>
        </w:rPr>
        <w:t xml:space="preserve">low credibility </w:t>
      </w:r>
      <w:r w:rsidR="007C6B14">
        <w:rPr>
          <w:lang w:val="en-GB"/>
        </w:rPr>
        <w:t xml:space="preserve">of sanctions </w:t>
      </w:r>
      <w:r w:rsidRPr="009E1D3D">
        <w:rPr>
          <w:lang w:val="en-GB"/>
        </w:rPr>
        <w:t xml:space="preserve">and high domestic costs – and in spite of a </w:t>
      </w:r>
      <w:r>
        <w:rPr>
          <w:lang w:val="en-GB"/>
        </w:rPr>
        <w:t xml:space="preserve">potentially </w:t>
      </w:r>
      <w:r w:rsidRPr="009E1D3D">
        <w:rPr>
          <w:lang w:val="en-GB"/>
        </w:rPr>
        <w:t xml:space="preserve">significant loss of membership rewards if sanctions were actually applied. By contrast, higher credibility </w:t>
      </w:r>
      <w:r>
        <w:rPr>
          <w:lang w:val="en-GB"/>
        </w:rPr>
        <w:t xml:space="preserve">of sanctions for non-compliance </w:t>
      </w:r>
      <w:r w:rsidRPr="009E1D3D">
        <w:rPr>
          <w:lang w:val="en-GB"/>
        </w:rPr>
        <w:t xml:space="preserve">and lower </w:t>
      </w:r>
      <w:r>
        <w:rPr>
          <w:lang w:val="en-GB"/>
        </w:rPr>
        <w:t xml:space="preserve">compliance </w:t>
      </w:r>
      <w:r w:rsidRPr="009E1D3D">
        <w:rPr>
          <w:lang w:val="en-GB"/>
        </w:rPr>
        <w:t xml:space="preserve">costs </w:t>
      </w:r>
      <w:r>
        <w:rPr>
          <w:lang w:val="en-GB"/>
        </w:rPr>
        <w:t>are</w:t>
      </w:r>
      <w:r w:rsidRPr="009E1D3D">
        <w:rPr>
          <w:lang w:val="en-GB"/>
        </w:rPr>
        <w:t xml:space="preserve"> more conducive to compliance</w:t>
      </w:r>
      <w:r>
        <w:rPr>
          <w:lang w:val="en-GB"/>
        </w:rPr>
        <w:t xml:space="preserve"> with the single market acquis. </w:t>
      </w:r>
    </w:p>
    <w:p w:rsidR="00BE36CA" w:rsidRPr="009E1D3D" w:rsidRDefault="007C6B14" w:rsidP="00A45C60">
      <w:pPr>
        <w:spacing w:line="480" w:lineRule="auto"/>
        <w:jc w:val="both"/>
        <w:rPr>
          <w:lang w:val="en-GB"/>
        </w:rPr>
      </w:pPr>
      <w:r>
        <w:rPr>
          <w:lang w:val="en-GB"/>
        </w:rPr>
        <w:t>I</w:t>
      </w:r>
      <w:r w:rsidRPr="009E1D3D">
        <w:rPr>
          <w:lang w:val="en-GB"/>
        </w:rPr>
        <w:t>n the CEE and SEE pre-accession contexts</w:t>
      </w:r>
      <w:r>
        <w:rPr>
          <w:lang w:val="en-GB"/>
        </w:rPr>
        <w:t xml:space="preserve">, the EU offers the same (high) rewards, but </w:t>
      </w:r>
      <w:r w:rsidR="000A5E1E">
        <w:rPr>
          <w:lang w:val="en-GB"/>
        </w:rPr>
        <w:t xml:space="preserve">their credibility has diminished significantly. </w:t>
      </w:r>
      <w:r w:rsidR="00C37412" w:rsidRPr="009E1D3D">
        <w:rPr>
          <w:lang w:val="en-GB"/>
        </w:rPr>
        <w:t xml:space="preserve">As predicted by the EIM, </w:t>
      </w:r>
      <w:r w:rsidR="000A5E1E">
        <w:rPr>
          <w:lang w:val="en-GB"/>
        </w:rPr>
        <w:t xml:space="preserve">compliance has suffered overall. </w:t>
      </w:r>
      <w:r w:rsidR="00C37412" w:rsidRPr="009E1D3D">
        <w:rPr>
          <w:lang w:val="en-GB"/>
        </w:rPr>
        <w:t xml:space="preserve">Moreover, </w:t>
      </w:r>
      <w:r w:rsidR="000A5E1E">
        <w:rPr>
          <w:lang w:val="en-GB"/>
        </w:rPr>
        <w:t xml:space="preserve">it </w:t>
      </w:r>
      <w:r w:rsidR="00C37412" w:rsidRPr="009E1D3D">
        <w:rPr>
          <w:lang w:val="en-GB"/>
        </w:rPr>
        <w:t>has varied across time and countries in line with variation in the credibility of EU rewards.</w:t>
      </w:r>
    </w:p>
    <w:p w:rsidR="00C37412" w:rsidRDefault="00C37412" w:rsidP="00A45C60">
      <w:pPr>
        <w:spacing w:line="480" w:lineRule="auto"/>
        <w:jc w:val="both"/>
        <w:rPr>
          <w:lang w:val="en-GB"/>
        </w:rPr>
      </w:pPr>
      <w:r>
        <w:rPr>
          <w:lang w:val="en-GB"/>
        </w:rPr>
        <w:t>T</w:t>
      </w:r>
      <w:r w:rsidRPr="009E1D3D">
        <w:rPr>
          <w:lang w:val="en-GB"/>
        </w:rPr>
        <w:t xml:space="preserve">he comparative evidence </w:t>
      </w:r>
      <w:r w:rsidR="000A5E1E">
        <w:rPr>
          <w:lang w:val="en-GB"/>
        </w:rPr>
        <w:t xml:space="preserve">thus </w:t>
      </w:r>
      <w:r w:rsidRPr="009E1D3D">
        <w:rPr>
          <w:lang w:val="en-GB"/>
        </w:rPr>
        <w:t>highlights the</w:t>
      </w:r>
      <w:r w:rsidR="00BD493D">
        <w:rPr>
          <w:lang w:val="en-GB"/>
        </w:rPr>
        <w:t xml:space="preserve"> central</w:t>
      </w:r>
      <w:r w:rsidRPr="009E1D3D">
        <w:rPr>
          <w:lang w:val="en-GB"/>
        </w:rPr>
        <w:t xml:space="preserve"> importance of credibility. </w:t>
      </w:r>
      <w:r>
        <w:rPr>
          <w:lang w:val="en-GB"/>
        </w:rPr>
        <w:t xml:space="preserve">Credibility is the only condition showing full correspondence with the pattern of compliance. </w:t>
      </w:r>
      <w:r w:rsidRPr="009E1D3D">
        <w:rPr>
          <w:lang w:val="en-GB"/>
        </w:rPr>
        <w:t xml:space="preserve">Even if incentives (rewards and sanctions) are strong in principle, they fail to affect compliance if they lack credibility. In addition, highly credible incentives have proven capable of overcoming considerable domestic costs in the pre-accession periods. </w:t>
      </w:r>
      <w:r>
        <w:rPr>
          <w:lang w:val="en-GB"/>
        </w:rPr>
        <w:t xml:space="preserve">The decline of credibility </w:t>
      </w:r>
      <w:r w:rsidRPr="009E1D3D">
        <w:rPr>
          <w:lang w:val="en-GB"/>
        </w:rPr>
        <w:t>is the most important factor in the decline of the Europeanization effects of the EU’s enlargement policy.</w:t>
      </w:r>
    </w:p>
    <w:p w:rsidR="00C37412" w:rsidRDefault="00C37412" w:rsidP="00A45C60">
      <w:pPr>
        <w:spacing w:line="480" w:lineRule="auto"/>
        <w:jc w:val="both"/>
        <w:rPr>
          <w:lang w:val="en-GB"/>
        </w:rPr>
      </w:pPr>
      <w:r>
        <w:rPr>
          <w:lang w:val="en-GB"/>
        </w:rPr>
        <w:t xml:space="preserve">Our comparative analysis suggests that even as the </w:t>
      </w:r>
      <w:r w:rsidR="00D47D28">
        <w:rPr>
          <w:lang w:val="en-GB"/>
        </w:rPr>
        <w:t>power of</w:t>
      </w:r>
      <w:r>
        <w:rPr>
          <w:lang w:val="en-GB"/>
        </w:rPr>
        <w:t xml:space="preserve"> EU conditionality ha</w:t>
      </w:r>
      <w:r w:rsidR="00D47D28">
        <w:rPr>
          <w:lang w:val="en-GB"/>
        </w:rPr>
        <w:t>s</w:t>
      </w:r>
      <w:r>
        <w:rPr>
          <w:lang w:val="en-GB"/>
        </w:rPr>
        <w:t xml:space="preserve"> waned, the EIM continues to account plausibly for the conditions of Europeanization of new member states and candidate countries. </w:t>
      </w:r>
      <w:r w:rsidR="00D47D28">
        <w:rPr>
          <w:lang w:val="en-GB"/>
        </w:rPr>
        <w:t>Beyond this general finding</w:t>
      </w:r>
      <w:r>
        <w:rPr>
          <w:lang w:val="en-GB"/>
        </w:rPr>
        <w:t xml:space="preserve">, the comparison has singled out credibility as the key condition of compliance. </w:t>
      </w:r>
      <w:r w:rsidR="00D47D28">
        <w:rPr>
          <w:lang w:val="en-GB"/>
        </w:rPr>
        <w:t>Furthermore</w:t>
      </w:r>
      <w:r>
        <w:rPr>
          <w:lang w:val="en-GB"/>
        </w:rPr>
        <w:t>, our comparison shows that the abstract concepts of the EIM mask significant particularities in the regional and institutional contexts. Whereas the concept of ‘rewards’ travels easily from CEE to SEE pre-accession, it acquires a different meaning in the post-accession phase (absence of sanctions)</w:t>
      </w:r>
      <w:r w:rsidR="0000237C">
        <w:rPr>
          <w:lang w:val="en-GB"/>
        </w:rPr>
        <w:t>, and</w:t>
      </w:r>
      <w:r>
        <w:rPr>
          <w:lang w:val="en-GB"/>
        </w:rPr>
        <w:t xml:space="preserve"> </w:t>
      </w:r>
      <w:r w:rsidR="0000237C">
        <w:rPr>
          <w:lang w:val="en-GB"/>
        </w:rPr>
        <w:t>w</w:t>
      </w:r>
      <w:r>
        <w:rPr>
          <w:lang w:val="en-GB"/>
        </w:rPr>
        <w:t>hereas the lacking credibility of the threat is the main impediment for effective post-accession democratic conditionality, SEE pre-accession conditionality is mainly affected by the credibility of the promise. Above all, the relevant ‘domestic adoption costs’ vary strongly in kind across the selected cases (such as administrative capacity in the case of acquis conditionality, authoritarian control of the state in the case of democratic conditionality, and ‘identity costs’ in the Baltics and the Western Balkans). Across all contexts, however, political elites balance (more or less) credible external incentives against domestic costs of compliance in making decisions on compliance.</w:t>
      </w:r>
    </w:p>
    <w:p w:rsidR="00EF7C6A" w:rsidRDefault="00EF7C6A" w:rsidP="00A45C60">
      <w:pPr>
        <w:spacing w:line="480" w:lineRule="auto"/>
        <w:jc w:val="both"/>
        <w:rPr>
          <w:lang w:val="en-GB"/>
        </w:rPr>
      </w:pPr>
      <w:r>
        <w:rPr>
          <w:lang w:val="en-GB"/>
        </w:rPr>
        <w:t>Moreover, it is clear in hindsight that the EIM is based on background conditions that appeared taken for granted at the time it was developed. The CEE pre-accession was characterized by a benign geopolitical environment and a favourable domestic environment in both the old and the prospective member states. The EU</w:t>
      </w:r>
      <w:r w:rsidR="004379DE">
        <w:rPr>
          <w:lang w:val="en-GB"/>
        </w:rPr>
        <w:t xml:space="preserve"> and its enlargement were</w:t>
      </w:r>
      <w:r>
        <w:rPr>
          <w:lang w:val="en-GB"/>
        </w:rPr>
        <w:t xml:space="preserve"> not fundamentally contested either internationally or domestically. In this context, it seemed adequate to conceive of Europeanization </w:t>
      </w:r>
      <w:r w:rsidR="004379DE">
        <w:rPr>
          <w:lang w:val="en-GB"/>
        </w:rPr>
        <w:t xml:space="preserve">as </w:t>
      </w:r>
      <w:r>
        <w:rPr>
          <w:lang w:val="en-GB"/>
        </w:rPr>
        <w:t>a top-down process based on the calculation and manipulation of costs of benefits</w:t>
      </w:r>
      <w:r w:rsidR="004379DE">
        <w:rPr>
          <w:lang w:val="en-GB"/>
        </w:rPr>
        <w:t>. Th</w:t>
      </w:r>
      <w:r w:rsidR="00A56E9B">
        <w:rPr>
          <w:lang w:val="en-GB"/>
        </w:rPr>
        <w:t>ese background conditions</w:t>
      </w:r>
      <w:r w:rsidR="004379DE">
        <w:rPr>
          <w:lang w:val="en-GB"/>
        </w:rPr>
        <w:t xml:space="preserve"> ha</w:t>
      </w:r>
      <w:r w:rsidR="00A56E9B">
        <w:rPr>
          <w:lang w:val="en-GB"/>
        </w:rPr>
        <w:t>ve</w:t>
      </w:r>
      <w:r w:rsidR="004379DE">
        <w:rPr>
          <w:lang w:val="en-GB"/>
        </w:rPr>
        <w:t xml:space="preserve"> obviously changed</w:t>
      </w:r>
      <w:r w:rsidR="001C36D1">
        <w:rPr>
          <w:lang w:val="en-GB"/>
        </w:rPr>
        <w:t>,</w:t>
      </w:r>
      <w:r w:rsidR="004379DE">
        <w:rPr>
          <w:lang w:val="en-GB"/>
        </w:rPr>
        <w:t xml:space="preserve"> owing to the domestic politicization of the EU in the member states, the prevalence of identity politics and the geopolitical competition for influence in the East of Europe. Whereas these developments ultimately translate into </w:t>
      </w:r>
      <w:r w:rsidR="00A56E9B">
        <w:rPr>
          <w:lang w:val="en-GB"/>
        </w:rPr>
        <w:t xml:space="preserve">a diminished </w:t>
      </w:r>
      <w:r w:rsidR="004379DE">
        <w:rPr>
          <w:lang w:val="en-GB"/>
        </w:rPr>
        <w:t xml:space="preserve">credibility of EU incentives and </w:t>
      </w:r>
      <w:r w:rsidR="00A56E9B">
        <w:rPr>
          <w:lang w:val="en-GB"/>
        </w:rPr>
        <w:t xml:space="preserve">higher </w:t>
      </w:r>
      <w:r w:rsidR="004379DE">
        <w:rPr>
          <w:lang w:val="en-GB"/>
        </w:rPr>
        <w:t>domestic adoption costs in the target countries, they require theorists of Europeanization to start from a broader analysis of its domestic and international context.</w:t>
      </w:r>
    </w:p>
    <w:p w:rsidR="001F3AE6" w:rsidRPr="009E1D3D" w:rsidRDefault="001F3AE6" w:rsidP="001F3AE6">
      <w:pPr>
        <w:spacing w:line="480" w:lineRule="auto"/>
        <w:jc w:val="both"/>
        <w:rPr>
          <w:lang w:val="en-GB"/>
        </w:rPr>
      </w:pPr>
    </w:p>
    <w:p w:rsidR="001F3AE6" w:rsidRDefault="001F3AE6" w:rsidP="000D11B5">
      <w:pPr>
        <w:spacing w:line="480" w:lineRule="auto"/>
        <w:jc w:val="both"/>
        <w:rPr>
          <w:b/>
          <w:lang w:val="en-GB"/>
        </w:rPr>
      </w:pPr>
      <w:r>
        <w:rPr>
          <w:b/>
          <w:lang w:val="en-GB"/>
        </w:rPr>
        <w:t>Notes</w:t>
      </w:r>
    </w:p>
    <w:p w:rsidR="001F3AE6" w:rsidRDefault="001F3AE6" w:rsidP="001F3AE6">
      <w:pPr>
        <w:spacing w:line="480" w:lineRule="auto"/>
        <w:jc w:val="both"/>
        <w:rPr>
          <w:b/>
          <w:lang w:val="en-GB"/>
        </w:rPr>
        <w:sectPr w:rsidR="001F3AE6" w:rsidSect="00822612">
          <w:footerReference w:type="even" r:id="rId11"/>
          <w:footerReference w:type="default" r:id="rId12"/>
          <w:footerReference w:type="first" r:id="rId13"/>
          <w:endnotePr>
            <w:numFmt w:val="decimal"/>
          </w:endnotePr>
          <w:pgSz w:w="11906" w:h="16838"/>
          <w:pgMar w:top="1417" w:right="1417" w:bottom="1134" w:left="1417" w:header="708" w:footer="708" w:gutter="0"/>
          <w:cols w:space="708"/>
          <w:titlePg/>
          <w:docGrid w:linePitch="360"/>
        </w:sectPr>
      </w:pPr>
    </w:p>
    <w:p w:rsidR="001F3AE6" w:rsidRPr="000D11B5" w:rsidRDefault="001F3AE6" w:rsidP="001F3AE6">
      <w:pPr>
        <w:spacing w:line="480" w:lineRule="auto"/>
        <w:jc w:val="both"/>
        <w:rPr>
          <w:b/>
          <w:lang w:val="en-GB"/>
        </w:rPr>
      </w:pPr>
    </w:p>
    <w:p w:rsidR="001F3AE6" w:rsidRPr="001F3AE6" w:rsidRDefault="001F3AE6" w:rsidP="001F3AE6">
      <w:pPr>
        <w:spacing w:line="480" w:lineRule="auto"/>
        <w:rPr>
          <w:rFonts w:cs="Times New Roman"/>
          <w:b/>
          <w:szCs w:val="24"/>
          <w:lang w:val="en-GB"/>
        </w:rPr>
      </w:pPr>
      <w:r w:rsidRPr="001F3AE6">
        <w:rPr>
          <w:rFonts w:cs="Times New Roman"/>
          <w:b/>
          <w:szCs w:val="24"/>
          <w:lang w:val="en-GB"/>
        </w:rPr>
        <w:t>Acknowledgments</w:t>
      </w:r>
    </w:p>
    <w:p w:rsidR="001F3AE6" w:rsidRDefault="001F3AE6" w:rsidP="001F3AE6">
      <w:pPr>
        <w:spacing w:line="480" w:lineRule="auto"/>
        <w:rPr>
          <w:rFonts w:cs="Times New Roman"/>
          <w:szCs w:val="24"/>
          <w:lang w:val="en-GB"/>
        </w:rPr>
      </w:pPr>
      <w:r w:rsidRPr="001F3AE6">
        <w:rPr>
          <w:rFonts w:cs="Times New Roman"/>
          <w:szCs w:val="24"/>
          <w:lang w:val="en-GB"/>
        </w:rPr>
        <w:t xml:space="preserve">For comments on previous versions, </w:t>
      </w:r>
      <w:r>
        <w:rPr>
          <w:rFonts w:cs="Times New Roman"/>
          <w:szCs w:val="24"/>
          <w:lang w:val="en-GB"/>
        </w:rPr>
        <w:t>we thank participants</w:t>
      </w:r>
      <w:r w:rsidR="002E3C32">
        <w:rPr>
          <w:rFonts w:cs="Times New Roman"/>
          <w:szCs w:val="24"/>
          <w:lang w:val="en-GB"/>
        </w:rPr>
        <w:t xml:space="preserve"> in the Europeanization Revisited workshop at the European University Institute, Florence, in June 2017 and three reviewers for JEPP. </w:t>
      </w:r>
    </w:p>
    <w:p w:rsidR="002E3C32" w:rsidRPr="001F3AE6" w:rsidRDefault="002E3C32" w:rsidP="001F3AE6">
      <w:pPr>
        <w:spacing w:line="480" w:lineRule="auto"/>
        <w:rPr>
          <w:rFonts w:cs="Times New Roman"/>
          <w:szCs w:val="24"/>
          <w:lang w:val="en-GB"/>
        </w:rPr>
      </w:pPr>
    </w:p>
    <w:p w:rsidR="001F3AE6" w:rsidRPr="001F3AE6" w:rsidRDefault="001F3AE6" w:rsidP="001F3AE6">
      <w:pPr>
        <w:keepNext/>
        <w:spacing w:line="480" w:lineRule="auto"/>
        <w:rPr>
          <w:rFonts w:cs="Times New Roman"/>
          <w:b/>
          <w:szCs w:val="24"/>
          <w:lang w:val="en-GB"/>
        </w:rPr>
      </w:pPr>
      <w:r w:rsidRPr="001F3AE6">
        <w:rPr>
          <w:rFonts w:cs="Times New Roman"/>
          <w:b/>
          <w:szCs w:val="24"/>
          <w:lang w:val="en-GB"/>
        </w:rPr>
        <w:t>Disclosure statement</w:t>
      </w:r>
    </w:p>
    <w:p w:rsidR="001F3AE6" w:rsidRPr="001F3AE6" w:rsidRDefault="001F3AE6" w:rsidP="001F3AE6">
      <w:pPr>
        <w:keepNext/>
        <w:spacing w:line="480" w:lineRule="auto"/>
        <w:rPr>
          <w:rFonts w:cs="Times New Roman"/>
          <w:szCs w:val="24"/>
          <w:lang w:val="en-GB"/>
        </w:rPr>
      </w:pPr>
      <w:r w:rsidRPr="001F3AE6">
        <w:rPr>
          <w:rFonts w:cs="Times New Roman"/>
          <w:szCs w:val="24"/>
          <w:lang w:val="en-GB"/>
        </w:rPr>
        <w:t>No potential conflict of interest was reported by the author.</w:t>
      </w:r>
    </w:p>
    <w:p w:rsidR="001F3AE6" w:rsidRPr="001F3AE6" w:rsidRDefault="001F3AE6" w:rsidP="001F3AE6">
      <w:pPr>
        <w:keepNext/>
        <w:spacing w:line="480" w:lineRule="auto"/>
        <w:rPr>
          <w:rFonts w:cs="Times New Roman"/>
          <w:szCs w:val="24"/>
          <w:lang w:val="en-GB"/>
        </w:rPr>
      </w:pPr>
    </w:p>
    <w:p w:rsidR="001F3AE6" w:rsidRPr="001F3AE6" w:rsidRDefault="001F3AE6" w:rsidP="001F3AE6">
      <w:pPr>
        <w:keepNext/>
        <w:spacing w:line="480" w:lineRule="auto"/>
        <w:rPr>
          <w:rFonts w:cs="Times New Roman"/>
          <w:b/>
          <w:szCs w:val="24"/>
          <w:lang w:val="en-GB"/>
        </w:rPr>
      </w:pPr>
      <w:r w:rsidRPr="001F3AE6">
        <w:rPr>
          <w:rFonts w:cs="Times New Roman"/>
          <w:b/>
          <w:szCs w:val="24"/>
          <w:lang w:val="en-GB"/>
        </w:rPr>
        <w:t>Notes on contributor</w:t>
      </w:r>
    </w:p>
    <w:p w:rsidR="001F3AE6" w:rsidRPr="002E3C32" w:rsidRDefault="001F3AE6" w:rsidP="001F3AE6">
      <w:pPr>
        <w:keepNext/>
        <w:spacing w:line="480" w:lineRule="auto"/>
        <w:rPr>
          <w:rFonts w:cs="Times New Roman"/>
          <w:szCs w:val="24"/>
          <w:lang w:val="en-GB"/>
        </w:rPr>
      </w:pPr>
      <w:r w:rsidRPr="001F3AE6">
        <w:rPr>
          <w:rFonts w:cs="Times New Roman"/>
          <w:i/>
          <w:szCs w:val="24"/>
          <w:lang w:val="en-GB"/>
        </w:rPr>
        <w:t xml:space="preserve">Frank </w:t>
      </w:r>
      <w:proofErr w:type="spellStart"/>
      <w:r w:rsidRPr="001F3AE6">
        <w:rPr>
          <w:rFonts w:cs="Times New Roman"/>
          <w:i/>
          <w:szCs w:val="24"/>
          <w:lang w:val="en-GB"/>
        </w:rPr>
        <w:t>Schimmelfennig</w:t>
      </w:r>
      <w:proofErr w:type="spellEnd"/>
      <w:r w:rsidRPr="001F3AE6">
        <w:rPr>
          <w:rFonts w:cs="Times New Roman"/>
          <w:szCs w:val="24"/>
          <w:lang w:val="en-GB"/>
        </w:rPr>
        <w:t xml:space="preserve"> is professor of European politics at ETH Zurich, Switzerland, </w:t>
      </w:r>
      <w:proofErr w:type="spellStart"/>
      <w:r w:rsidRPr="001F3AE6">
        <w:rPr>
          <w:rFonts w:cs="Times New Roman"/>
          <w:szCs w:val="24"/>
          <w:lang w:val="en-GB"/>
        </w:rPr>
        <w:t>Center</w:t>
      </w:r>
      <w:proofErr w:type="spellEnd"/>
      <w:r w:rsidRPr="001F3AE6">
        <w:rPr>
          <w:rFonts w:cs="Times New Roman"/>
          <w:szCs w:val="24"/>
          <w:lang w:val="en-GB"/>
        </w:rPr>
        <w:t xml:space="preserve"> for Comparative and International Studies.</w:t>
      </w:r>
      <w:r w:rsidR="002E3C32">
        <w:rPr>
          <w:rFonts w:cs="Times New Roman"/>
          <w:szCs w:val="24"/>
          <w:lang w:val="en-GB"/>
        </w:rPr>
        <w:t xml:space="preserve"> </w:t>
      </w:r>
      <w:r w:rsidR="002E3C32">
        <w:rPr>
          <w:rFonts w:cs="Times New Roman"/>
          <w:i/>
          <w:szCs w:val="24"/>
          <w:lang w:val="en-GB"/>
        </w:rPr>
        <w:t xml:space="preserve">Ulrich Sedelmeier </w:t>
      </w:r>
      <w:r w:rsidR="002E3C32">
        <w:rPr>
          <w:rFonts w:cs="Times New Roman"/>
          <w:szCs w:val="24"/>
          <w:lang w:val="en-GB"/>
        </w:rPr>
        <w:t>is associate professor in International Relations at the London School of Economics and Political Science.</w:t>
      </w:r>
    </w:p>
    <w:p w:rsidR="0052412F" w:rsidRPr="001F3AE6" w:rsidRDefault="0052412F" w:rsidP="00123CAB">
      <w:pPr>
        <w:spacing w:line="480" w:lineRule="auto"/>
        <w:jc w:val="both"/>
        <w:rPr>
          <w:b/>
          <w:sz w:val="20"/>
          <w:lang w:val="en-GB"/>
        </w:rPr>
      </w:pPr>
      <w:r w:rsidRPr="001F3AE6">
        <w:rPr>
          <w:b/>
          <w:sz w:val="20"/>
          <w:lang w:val="en-GB"/>
        </w:rPr>
        <w:br w:type="page"/>
      </w:r>
    </w:p>
    <w:p w:rsidR="0052412F" w:rsidRPr="009E1D3D" w:rsidRDefault="0052412F" w:rsidP="000D11B5">
      <w:pPr>
        <w:spacing w:line="480" w:lineRule="auto"/>
        <w:jc w:val="both"/>
        <w:outlineLvl w:val="0"/>
        <w:rPr>
          <w:b/>
          <w:lang w:val="en-GB"/>
        </w:rPr>
      </w:pPr>
      <w:r w:rsidRPr="009E1D3D">
        <w:rPr>
          <w:b/>
          <w:lang w:val="en-GB"/>
        </w:rPr>
        <w:t>References</w:t>
      </w:r>
      <w:r w:rsidR="000D75FB" w:rsidRPr="009E1D3D">
        <w:rPr>
          <w:b/>
          <w:lang w:val="en-GB"/>
        </w:rPr>
        <w:t xml:space="preserve"> </w:t>
      </w:r>
    </w:p>
    <w:p w:rsidR="00C37412" w:rsidRPr="009E1D3D" w:rsidRDefault="00C37412" w:rsidP="000D11B5">
      <w:pPr>
        <w:spacing w:line="480" w:lineRule="auto"/>
        <w:jc w:val="both"/>
        <w:rPr>
          <w:rFonts w:cs="Times New Roman"/>
          <w:szCs w:val="24"/>
          <w:lang w:val="en-GB"/>
        </w:rPr>
      </w:pPr>
      <w:r w:rsidRPr="009E1D3D">
        <w:rPr>
          <w:rFonts w:cs="Times New Roman"/>
          <w:szCs w:val="24"/>
          <w:lang w:val="en-GB"/>
        </w:rPr>
        <w:t xml:space="preserve">Aydin, U. and </w:t>
      </w:r>
      <w:proofErr w:type="spellStart"/>
      <w:r w:rsidRPr="009E1D3D">
        <w:rPr>
          <w:rFonts w:cs="Times New Roman"/>
          <w:szCs w:val="24"/>
          <w:lang w:val="en-GB"/>
        </w:rPr>
        <w:t>Kirisci</w:t>
      </w:r>
      <w:proofErr w:type="spellEnd"/>
      <w:r w:rsidRPr="009E1D3D">
        <w:rPr>
          <w:rFonts w:cs="Times New Roman"/>
          <w:szCs w:val="24"/>
          <w:lang w:val="en-GB"/>
        </w:rPr>
        <w:t xml:space="preserve">, K. (2013) ‘With or Without the EU: Europeanisation of Asylum and Competition Policies in Turkey’, </w:t>
      </w:r>
      <w:r w:rsidRPr="009E1D3D">
        <w:rPr>
          <w:rFonts w:cs="Times New Roman"/>
          <w:i/>
          <w:szCs w:val="24"/>
          <w:lang w:val="en-GB"/>
        </w:rPr>
        <w:t>South European Society and Politics</w:t>
      </w:r>
      <w:r w:rsidRPr="009E1D3D">
        <w:rPr>
          <w:rFonts w:cs="Times New Roman"/>
          <w:szCs w:val="24"/>
          <w:lang w:val="en-GB"/>
        </w:rPr>
        <w:t xml:space="preserve"> 18(3): 375-395.</w:t>
      </w:r>
    </w:p>
    <w:p w:rsidR="00C37412" w:rsidRDefault="00C37412" w:rsidP="000D11B5">
      <w:pPr>
        <w:spacing w:line="480" w:lineRule="auto"/>
        <w:jc w:val="both"/>
        <w:rPr>
          <w:rFonts w:cs="Times New Roman"/>
          <w:szCs w:val="24"/>
          <w:lang w:val="en-GB"/>
        </w:rPr>
      </w:pPr>
      <w:r w:rsidRPr="009E1D3D">
        <w:rPr>
          <w:rFonts w:cs="Times New Roman"/>
          <w:szCs w:val="24"/>
          <w:lang w:val="en-GB"/>
        </w:rPr>
        <w:t xml:space="preserve">Bieber, F. (2011) </w:t>
      </w:r>
      <w:r>
        <w:rPr>
          <w:rFonts w:cs="Times New Roman"/>
          <w:szCs w:val="24"/>
          <w:lang w:val="en-GB"/>
        </w:rPr>
        <w:t>‘</w:t>
      </w:r>
      <w:r w:rsidRPr="009E1D3D">
        <w:rPr>
          <w:rFonts w:cs="Times New Roman"/>
          <w:szCs w:val="24"/>
          <w:lang w:val="en-GB"/>
        </w:rPr>
        <w:t>Building Impossible States? State-building Strategies and EU Membership in the Western Balkans</w:t>
      </w:r>
      <w:r>
        <w:rPr>
          <w:rFonts w:cs="Times New Roman"/>
          <w:szCs w:val="24"/>
          <w:lang w:val="en-GB"/>
        </w:rPr>
        <w:t>’</w:t>
      </w:r>
      <w:r w:rsidRPr="009E1D3D">
        <w:rPr>
          <w:rFonts w:cs="Times New Roman"/>
          <w:szCs w:val="24"/>
          <w:lang w:val="en-GB"/>
        </w:rPr>
        <w:t xml:space="preserve">, </w:t>
      </w:r>
      <w:r w:rsidRPr="009E1D3D">
        <w:rPr>
          <w:rFonts w:cs="Times New Roman"/>
          <w:i/>
          <w:szCs w:val="24"/>
          <w:lang w:val="en-GB"/>
        </w:rPr>
        <w:t>Europe-Asia Studies</w:t>
      </w:r>
      <w:r w:rsidRPr="009E1D3D">
        <w:rPr>
          <w:rFonts w:cs="Times New Roman"/>
          <w:szCs w:val="24"/>
          <w:lang w:val="en-GB"/>
        </w:rPr>
        <w:t xml:space="preserve"> 63(10): 1783-1802.</w:t>
      </w:r>
    </w:p>
    <w:p w:rsidR="00C37412" w:rsidRPr="006863C5" w:rsidRDefault="00C37412" w:rsidP="000D11B5">
      <w:pPr>
        <w:spacing w:line="480" w:lineRule="auto"/>
        <w:jc w:val="both"/>
        <w:rPr>
          <w:rFonts w:cs="Times New Roman"/>
          <w:szCs w:val="24"/>
          <w:lang w:val="en-GB"/>
        </w:rPr>
      </w:pPr>
      <w:r>
        <w:rPr>
          <w:rFonts w:cs="Times New Roman"/>
          <w:szCs w:val="24"/>
          <w:lang w:val="en-GB"/>
        </w:rPr>
        <w:t xml:space="preserve">Bieber, F. (2018) ‘Patterns of competitive authoritarianism in the Western Balkans’, </w:t>
      </w:r>
      <w:r>
        <w:rPr>
          <w:rFonts w:cs="Times New Roman"/>
          <w:i/>
          <w:szCs w:val="24"/>
          <w:lang w:val="en-GB"/>
        </w:rPr>
        <w:t xml:space="preserve">East European Politics </w:t>
      </w:r>
      <w:r>
        <w:rPr>
          <w:rFonts w:cs="Times New Roman"/>
          <w:szCs w:val="24"/>
          <w:lang w:val="en-GB"/>
        </w:rPr>
        <w:t>34(3): 337-354.</w:t>
      </w:r>
    </w:p>
    <w:p w:rsidR="00C37412" w:rsidRDefault="00C37412" w:rsidP="000D11B5">
      <w:pPr>
        <w:spacing w:line="480" w:lineRule="auto"/>
        <w:jc w:val="both"/>
        <w:rPr>
          <w:lang w:val="en-GB"/>
        </w:rPr>
      </w:pPr>
      <w:proofErr w:type="spellStart"/>
      <w:r w:rsidRPr="009E1D3D">
        <w:rPr>
          <w:lang w:val="en-GB"/>
        </w:rPr>
        <w:t>Blauberger</w:t>
      </w:r>
      <w:proofErr w:type="spellEnd"/>
      <w:r w:rsidRPr="009E1D3D">
        <w:rPr>
          <w:lang w:val="en-GB"/>
        </w:rPr>
        <w:t xml:space="preserve">, M. (2009) ‘Compliance with rules of negative integration: European state aid control in the new member states’, </w:t>
      </w:r>
      <w:r w:rsidRPr="009E1D3D">
        <w:rPr>
          <w:i/>
          <w:lang w:val="en-GB"/>
        </w:rPr>
        <w:t>Journal of European Public Policy</w:t>
      </w:r>
      <w:r w:rsidRPr="009E1D3D">
        <w:rPr>
          <w:lang w:val="en-GB"/>
        </w:rPr>
        <w:t xml:space="preserve"> 16(7): 1030-1046.</w:t>
      </w:r>
    </w:p>
    <w:p w:rsidR="008D4EAB" w:rsidRPr="009E1D3D" w:rsidRDefault="008D4EAB" w:rsidP="000D11B5">
      <w:pPr>
        <w:spacing w:line="480" w:lineRule="auto"/>
        <w:jc w:val="both"/>
        <w:rPr>
          <w:lang w:val="en-GB"/>
        </w:rPr>
      </w:pPr>
      <w:proofErr w:type="spellStart"/>
      <w:r w:rsidRPr="008D4EAB">
        <w:rPr>
          <w:lang w:val="en-GB"/>
        </w:rPr>
        <w:t>Börzel</w:t>
      </w:r>
      <w:proofErr w:type="spellEnd"/>
      <w:r w:rsidRPr="008D4EAB">
        <w:rPr>
          <w:lang w:val="en-GB"/>
        </w:rPr>
        <w:t xml:space="preserve">, T.A., Hofmann, T., </w:t>
      </w:r>
      <w:proofErr w:type="spellStart"/>
      <w:r w:rsidRPr="008D4EAB">
        <w:rPr>
          <w:lang w:val="en-GB"/>
        </w:rPr>
        <w:t>Panke</w:t>
      </w:r>
      <w:proofErr w:type="spellEnd"/>
      <w:r w:rsidRPr="008D4EAB">
        <w:rPr>
          <w:lang w:val="en-GB"/>
        </w:rPr>
        <w:t xml:space="preserve">, D., and </w:t>
      </w:r>
      <w:proofErr w:type="spellStart"/>
      <w:r w:rsidRPr="008D4EAB">
        <w:rPr>
          <w:lang w:val="en-GB"/>
        </w:rPr>
        <w:t>Sprungk</w:t>
      </w:r>
      <w:proofErr w:type="spellEnd"/>
      <w:r w:rsidRPr="008D4EAB">
        <w:rPr>
          <w:lang w:val="en-GB"/>
        </w:rPr>
        <w:t xml:space="preserve">, C. (2010) ‘Obstinate and Inefficient: Why Member States Do Not Comply </w:t>
      </w:r>
      <w:proofErr w:type="gramStart"/>
      <w:r w:rsidRPr="008D4EAB">
        <w:rPr>
          <w:lang w:val="en-GB"/>
        </w:rPr>
        <w:t>With</w:t>
      </w:r>
      <w:proofErr w:type="gramEnd"/>
      <w:r w:rsidRPr="008D4EAB">
        <w:rPr>
          <w:lang w:val="en-GB"/>
        </w:rPr>
        <w:t xml:space="preserve"> European Law’, Comparative Political Studies 43(11): 1363-1390.</w:t>
      </w:r>
    </w:p>
    <w:p w:rsidR="00C37412" w:rsidRPr="009E1D3D" w:rsidRDefault="00C37412" w:rsidP="000D11B5">
      <w:pPr>
        <w:spacing w:line="480" w:lineRule="auto"/>
        <w:jc w:val="both"/>
        <w:rPr>
          <w:rFonts w:ascii="Calibri" w:hAnsi="Calibri" w:cs="TimesNewRomanPSMT"/>
          <w:szCs w:val="18"/>
          <w:lang w:val="en-GB" w:eastAsia="de-CH"/>
        </w:rPr>
      </w:pPr>
      <w:proofErr w:type="spellStart"/>
      <w:r w:rsidRPr="009E1D3D">
        <w:rPr>
          <w:rFonts w:ascii="Calibri" w:hAnsi="Calibri" w:cs="TimesNewRomanPSMT"/>
          <w:szCs w:val="18"/>
          <w:lang w:val="en-GB" w:eastAsia="de-CH"/>
        </w:rPr>
        <w:t>Börzel</w:t>
      </w:r>
      <w:proofErr w:type="spellEnd"/>
      <w:r w:rsidRPr="009E1D3D">
        <w:rPr>
          <w:rFonts w:ascii="Calibri" w:hAnsi="Calibri" w:cs="TimesNewRomanPSMT"/>
          <w:szCs w:val="18"/>
          <w:lang w:val="en-GB" w:eastAsia="de-CH"/>
        </w:rPr>
        <w:t xml:space="preserve">, T.A. and Sedelmeier, U. (2017) ‘Larger and More Law-Abiding? The Impact of Enlargement on Compliance in the European Union’, </w:t>
      </w:r>
      <w:r w:rsidRPr="009E1D3D">
        <w:rPr>
          <w:rFonts w:ascii="Calibri" w:hAnsi="Calibri" w:cs="TimesNewRomanPSMT"/>
          <w:i/>
          <w:szCs w:val="18"/>
          <w:lang w:val="en-GB" w:eastAsia="de-CH"/>
        </w:rPr>
        <w:t>Journal of European Public Policy</w:t>
      </w:r>
      <w:r w:rsidRPr="009E1D3D">
        <w:rPr>
          <w:rFonts w:ascii="Calibri" w:hAnsi="Calibri" w:cs="TimesNewRomanPSMT"/>
          <w:szCs w:val="18"/>
          <w:lang w:val="en-GB" w:eastAsia="de-CH"/>
        </w:rPr>
        <w:t xml:space="preserve"> 24(2): 197-215.</w:t>
      </w:r>
    </w:p>
    <w:p w:rsidR="00C37412" w:rsidRPr="009E1D3D" w:rsidRDefault="00C37412" w:rsidP="000D11B5">
      <w:pPr>
        <w:spacing w:line="480" w:lineRule="auto"/>
        <w:jc w:val="both"/>
        <w:rPr>
          <w:rFonts w:ascii="Calibri" w:hAnsi="Calibri" w:cs="TimesNewRomanPSMT"/>
          <w:szCs w:val="18"/>
          <w:lang w:val="en-GB" w:eastAsia="de-CH"/>
        </w:rPr>
      </w:pPr>
      <w:proofErr w:type="spellStart"/>
      <w:r w:rsidRPr="009E1D3D">
        <w:rPr>
          <w:rFonts w:ascii="Calibri" w:hAnsi="Calibri" w:cs="TimesNewRomanPSMT"/>
          <w:szCs w:val="18"/>
          <w:lang w:val="en-GB" w:eastAsia="de-CH"/>
        </w:rPr>
        <w:t>Bürgin</w:t>
      </w:r>
      <w:proofErr w:type="spellEnd"/>
      <w:r w:rsidRPr="009E1D3D">
        <w:rPr>
          <w:rFonts w:ascii="Calibri" w:hAnsi="Calibri" w:cs="TimesNewRomanPSMT"/>
          <w:szCs w:val="18"/>
          <w:lang w:val="en-GB" w:eastAsia="de-CH"/>
        </w:rPr>
        <w:t xml:space="preserve">, A. and </w:t>
      </w:r>
      <w:proofErr w:type="spellStart"/>
      <w:r w:rsidRPr="009E1D3D">
        <w:rPr>
          <w:rFonts w:ascii="Calibri" w:hAnsi="Calibri" w:cs="TimesNewRomanPSMT"/>
          <w:szCs w:val="18"/>
          <w:lang w:val="en-GB" w:eastAsia="de-CH"/>
        </w:rPr>
        <w:t>Asikoglu</w:t>
      </w:r>
      <w:proofErr w:type="spellEnd"/>
      <w:r w:rsidRPr="009E1D3D">
        <w:rPr>
          <w:rFonts w:ascii="Calibri" w:hAnsi="Calibri" w:cs="TimesNewRomanPSMT"/>
          <w:szCs w:val="18"/>
          <w:lang w:val="en-GB" w:eastAsia="de-CH"/>
        </w:rPr>
        <w:t xml:space="preserve">, D. (2017) ‘Turkey’s New Asylum Law: </w:t>
      </w:r>
      <w:proofErr w:type="gramStart"/>
      <w:r w:rsidRPr="009E1D3D">
        <w:rPr>
          <w:rFonts w:ascii="Calibri" w:hAnsi="Calibri" w:cs="TimesNewRomanPSMT"/>
          <w:szCs w:val="18"/>
          <w:lang w:val="en-GB" w:eastAsia="de-CH"/>
        </w:rPr>
        <w:t>a</w:t>
      </w:r>
      <w:proofErr w:type="gramEnd"/>
      <w:r w:rsidRPr="009E1D3D">
        <w:rPr>
          <w:rFonts w:ascii="Calibri" w:hAnsi="Calibri" w:cs="TimesNewRomanPSMT"/>
          <w:szCs w:val="18"/>
          <w:lang w:val="en-GB" w:eastAsia="de-CH"/>
        </w:rPr>
        <w:t xml:space="preserve"> Case of EU Influence’, </w:t>
      </w:r>
      <w:r w:rsidRPr="009E1D3D">
        <w:rPr>
          <w:rFonts w:ascii="Calibri" w:hAnsi="Calibri" w:cs="TimesNewRomanPSMT"/>
          <w:i/>
          <w:szCs w:val="18"/>
          <w:lang w:val="en-GB" w:eastAsia="de-CH"/>
        </w:rPr>
        <w:t xml:space="preserve">Journal of Balkan and Near Eastern Studies </w:t>
      </w:r>
      <w:r w:rsidRPr="009E1D3D">
        <w:rPr>
          <w:rFonts w:ascii="Calibri" w:hAnsi="Calibri" w:cs="TimesNewRomanPSMT"/>
          <w:szCs w:val="18"/>
          <w:lang w:val="en-GB" w:eastAsia="de-CH"/>
        </w:rPr>
        <w:t>19(2): 121-135.</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Dagdeverenis</w:t>
      </w:r>
      <w:proofErr w:type="spellEnd"/>
      <w:r w:rsidRPr="009E1D3D">
        <w:rPr>
          <w:rFonts w:cs="Times New Roman"/>
          <w:szCs w:val="24"/>
          <w:lang w:val="en-GB"/>
        </w:rPr>
        <w:t xml:space="preserve">, D. (2014) EU Public Opinion and Turkey’s Membership (Bridging Europe, EU-Turkey Dialogue Initiative Working Paper 2), available at </w:t>
      </w:r>
      <w:hyperlink r:id="rId14" w:history="1">
        <w:r w:rsidRPr="009E1D3D">
          <w:rPr>
            <w:rStyle w:val="Hyperlink"/>
            <w:rFonts w:cs="Times New Roman"/>
            <w:szCs w:val="24"/>
            <w:lang w:val="en-GB"/>
          </w:rPr>
          <w:t>http://www.bridgingeurope.net/uploads/8/1/7/1/8171506/working_paper_on_eu_public_opinion_on_turkey_dagdeverenis_august.pdf</w:t>
        </w:r>
      </w:hyperlink>
      <w:r w:rsidRPr="009E1D3D">
        <w:rPr>
          <w:rFonts w:cs="Times New Roman"/>
          <w:szCs w:val="24"/>
          <w:lang w:val="en-GB"/>
        </w:rPr>
        <w:t>.</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Dimitrova</w:t>
      </w:r>
      <w:proofErr w:type="spellEnd"/>
      <w:r w:rsidRPr="009E1D3D">
        <w:rPr>
          <w:rFonts w:cs="Times New Roman"/>
          <w:szCs w:val="24"/>
          <w:lang w:val="en-GB"/>
        </w:rPr>
        <w:t xml:space="preserve">, A. (2016) The EU’s Evolving Enlargement Strategies. Does Tougher Conditionality Open the Door for Further Enlargement? (MAXCAP Working Paper 30), available at </w:t>
      </w:r>
      <w:hyperlink r:id="rId15" w:history="1">
        <w:r w:rsidRPr="009E1D3D">
          <w:rPr>
            <w:rStyle w:val="Hyperlink"/>
            <w:rFonts w:cs="Times New Roman"/>
            <w:szCs w:val="24"/>
            <w:lang w:val="en-GB"/>
          </w:rPr>
          <w:t>http://userpage.fu-berlin.de/kfgeu/maxcap/system/files/maxcap_wp_30.pdf</w:t>
        </w:r>
      </w:hyperlink>
      <w:r w:rsidRPr="009E1D3D">
        <w:rPr>
          <w:rFonts w:cs="Times New Roman"/>
          <w:szCs w:val="24"/>
          <w:lang w:val="en-GB"/>
        </w:rPr>
        <w:t>.</w:t>
      </w:r>
    </w:p>
    <w:p w:rsidR="00C37412" w:rsidRPr="009E1D3D" w:rsidRDefault="00C37412" w:rsidP="000D11B5">
      <w:pPr>
        <w:spacing w:line="480" w:lineRule="auto"/>
        <w:jc w:val="both"/>
        <w:rPr>
          <w:rFonts w:cs="Times New Roman"/>
          <w:szCs w:val="24"/>
          <w:lang w:val="en-GB"/>
        </w:rPr>
      </w:pPr>
      <w:r w:rsidRPr="009E1D3D">
        <w:rPr>
          <w:rFonts w:cs="Times New Roman"/>
          <w:szCs w:val="24"/>
          <w:lang w:val="en-GB"/>
        </w:rPr>
        <w:t xml:space="preserve">Epstein, R. and Sedelmeier, U. (2008) ‘Beyond conditionality: international institutions in </w:t>
      </w:r>
      <w:proofErr w:type="spellStart"/>
      <w:r w:rsidRPr="009E1D3D">
        <w:rPr>
          <w:rFonts w:cs="Times New Roman"/>
          <w:szCs w:val="24"/>
          <w:lang w:val="en-GB"/>
        </w:rPr>
        <w:t>postcommunist</w:t>
      </w:r>
      <w:proofErr w:type="spellEnd"/>
      <w:r w:rsidRPr="009E1D3D">
        <w:rPr>
          <w:rFonts w:cs="Times New Roman"/>
          <w:szCs w:val="24"/>
          <w:lang w:val="en-GB"/>
        </w:rPr>
        <w:t xml:space="preserve"> Europe after enlargement’, </w:t>
      </w:r>
      <w:r w:rsidRPr="009E1D3D">
        <w:rPr>
          <w:rFonts w:cs="Times New Roman"/>
          <w:i/>
          <w:iCs/>
          <w:szCs w:val="24"/>
          <w:lang w:val="en-GB"/>
        </w:rPr>
        <w:t>Journal of European Public Policy 15</w:t>
      </w:r>
      <w:r w:rsidRPr="009E1D3D">
        <w:rPr>
          <w:rFonts w:cs="Times New Roman"/>
          <w:szCs w:val="24"/>
          <w:lang w:val="en-GB"/>
        </w:rPr>
        <w:t>(6): 795-805.</w:t>
      </w:r>
    </w:p>
    <w:p w:rsidR="005D47FA" w:rsidRDefault="005D47FA" w:rsidP="000D11B5">
      <w:pPr>
        <w:spacing w:line="480" w:lineRule="auto"/>
        <w:jc w:val="both"/>
        <w:rPr>
          <w:rFonts w:cs="Times New Roman"/>
          <w:szCs w:val="24"/>
          <w:lang w:val="en-GB"/>
        </w:rPr>
      </w:pPr>
      <w:r w:rsidRPr="005D47FA">
        <w:rPr>
          <w:rFonts w:cs="Times New Roman"/>
          <w:szCs w:val="24"/>
          <w:lang w:val="en-GB"/>
        </w:rPr>
        <w:t>Falkner, G</w:t>
      </w:r>
      <w:r>
        <w:rPr>
          <w:rFonts w:cs="Times New Roman"/>
          <w:szCs w:val="24"/>
          <w:lang w:val="en-GB"/>
        </w:rPr>
        <w:t xml:space="preserve">., </w:t>
      </w:r>
      <w:proofErr w:type="spellStart"/>
      <w:r w:rsidRPr="005D47FA">
        <w:rPr>
          <w:rFonts w:cs="Times New Roman"/>
          <w:szCs w:val="24"/>
          <w:lang w:val="en-GB"/>
        </w:rPr>
        <w:t>Treib</w:t>
      </w:r>
      <w:proofErr w:type="spellEnd"/>
      <w:r w:rsidRPr="005D47FA">
        <w:rPr>
          <w:rFonts w:cs="Times New Roman"/>
          <w:szCs w:val="24"/>
          <w:lang w:val="en-GB"/>
        </w:rPr>
        <w:t xml:space="preserve">, </w:t>
      </w:r>
      <w:r w:rsidR="00A56E9B">
        <w:rPr>
          <w:rFonts w:cs="Times New Roman"/>
          <w:szCs w:val="24"/>
          <w:lang w:val="en-GB"/>
        </w:rPr>
        <w:t xml:space="preserve">O. and </w:t>
      </w:r>
      <w:proofErr w:type="spellStart"/>
      <w:r w:rsidRPr="005D47FA">
        <w:rPr>
          <w:rFonts w:cs="Times New Roman"/>
          <w:szCs w:val="24"/>
          <w:lang w:val="en-GB"/>
        </w:rPr>
        <w:t>Holzleithner</w:t>
      </w:r>
      <w:proofErr w:type="spellEnd"/>
      <w:r w:rsidR="00A56E9B">
        <w:rPr>
          <w:rFonts w:cs="Times New Roman"/>
          <w:szCs w:val="24"/>
          <w:lang w:val="en-GB"/>
        </w:rPr>
        <w:t>, E.</w:t>
      </w:r>
      <w:r>
        <w:rPr>
          <w:rFonts w:cs="Times New Roman"/>
          <w:szCs w:val="24"/>
          <w:lang w:val="en-GB"/>
        </w:rPr>
        <w:t xml:space="preserve"> (2008)</w:t>
      </w:r>
      <w:r w:rsidRPr="005D47FA">
        <w:rPr>
          <w:rFonts w:cs="Times New Roman"/>
          <w:szCs w:val="24"/>
          <w:lang w:val="en-GB"/>
        </w:rPr>
        <w:t xml:space="preserve"> </w:t>
      </w:r>
      <w:r w:rsidRPr="003C7532">
        <w:rPr>
          <w:rFonts w:cs="Times New Roman"/>
          <w:i/>
          <w:szCs w:val="24"/>
          <w:lang w:val="en-GB"/>
        </w:rPr>
        <w:t>Compliance in the Enlarged European Union: Living Rights or Dead Letters?</w:t>
      </w:r>
      <w:r w:rsidRPr="005D47FA">
        <w:rPr>
          <w:rFonts w:cs="Times New Roman"/>
          <w:szCs w:val="24"/>
          <w:lang w:val="en-GB"/>
        </w:rPr>
        <w:t xml:space="preserve">  Aldershot: Ashgate. </w:t>
      </w:r>
    </w:p>
    <w:p w:rsidR="00C37412" w:rsidRDefault="00C37412" w:rsidP="000D11B5">
      <w:pPr>
        <w:spacing w:line="480" w:lineRule="auto"/>
        <w:jc w:val="both"/>
        <w:rPr>
          <w:rFonts w:cs="Arial"/>
          <w:color w:val="333333"/>
          <w:lang w:val="en-GB"/>
        </w:rPr>
      </w:pPr>
      <w:proofErr w:type="spellStart"/>
      <w:r w:rsidRPr="009E1D3D">
        <w:rPr>
          <w:rFonts w:cs="Times New Roman"/>
          <w:szCs w:val="24"/>
          <w:lang w:val="en-GB"/>
        </w:rPr>
        <w:t>Freyburg</w:t>
      </w:r>
      <w:proofErr w:type="spellEnd"/>
      <w:r w:rsidRPr="009E1D3D">
        <w:rPr>
          <w:rFonts w:cs="Times New Roman"/>
          <w:szCs w:val="24"/>
          <w:lang w:val="en-GB"/>
        </w:rPr>
        <w:t xml:space="preserve">, T. and Richter, S. (2010) </w:t>
      </w:r>
      <w:r w:rsidRPr="009E1D3D">
        <w:rPr>
          <w:rFonts w:cs="Arial"/>
          <w:color w:val="333333"/>
          <w:lang w:val="en-GB"/>
        </w:rPr>
        <w:t xml:space="preserve">‘National identity matters: the limited impact of EU political conditionality on the Western Balkans’, </w:t>
      </w:r>
      <w:r w:rsidRPr="009E1D3D">
        <w:rPr>
          <w:rFonts w:cs="Arial"/>
          <w:i/>
          <w:color w:val="333333"/>
          <w:lang w:val="en-GB"/>
        </w:rPr>
        <w:t xml:space="preserve">Journal of European Public Policy </w:t>
      </w:r>
      <w:r w:rsidRPr="009E1D3D">
        <w:rPr>
          <w:rFonts w:cs="Arial"/>
          <w:color w:val="333333"/>
          <w:lang w:val="en-GB"/>
        </w:rPr>
        <w:t>17(2): 263-281.</w:t>
      </w:r>
    </w:p>
    <w:p w:rsidR="00C37412" w:rsidRPr="0026166D" w:rsidRDefault="00C37412" w:rsidP="000D11B5">
      <w:pPr>
        <w:spacing w:line="480" w:lineRule="auto"/>
        <w:jc w:val="both"/>
        <w:rPr>
          <w:rFonts w:cs="Arial"/>
          <w:color w:val="333333"/>
          <w:lang w:val="en-GB"/>
        </w:rPr>
      </w:pPr>
      <w:proofErr w:type="spellStart"/>
      <w:r>
        <w:rPr>
          <w:rFonts w:cs="Arial"/>
          <w:color w:val="333333"/>
          <w:lang w:val="en-GB"/>
        </w:rPr>
        <w:t>Gerring</w:t>
      </w:r>
      <w:proofErr w:type="spellEnd"/>
      <w:r>
        <w:rPr>
          <w:rFonts w:cs="Arial"/>
          <w:color w:val="333333"/>
          <w:lang w:val="en-GB"/>
        </w:rPr>
        <w:t xml:space="preserve">, J. (2007) </w:t>
      </w:r>
      <w:r w:rsidRPr="00A061E2">
        <w:rPr>
          <w:rFonts w:cs="Arial"/>
          <w:i/>
          <w:color w:val="333333"/>
          <w:lang w:val="en-GB"/>
        </w:rPr>
        <w:t>Case Study Research. Principles and Practices</w:t>
      </w:r>
      <w:r>
        <w:rPr>
          <w:rFonts w:cs="Arial"/>
          <w:color w:val="333333"/>
          <w:lang w:val="en-GB"/>
        </w:rPr>
        <w:t>. Cambridge: Cambridge University Press.</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Grabbe</w:t>
      </w:r>
      <w:proofErr w:type="spellEnd"/>
      <w:r w:rsidRPr="009E1D3D">
        <w:rPr>
          <w:rFonts w:cs="Times New Roman"/>
          <w:szCs w:val="24"/>
          <w:lang w:val="en-GB"/>
        </w:rPr>
        <w:t>, H. (200</w:t>
      </w:r>
      <w:r>
        <w:rPr>
          <w:rFonts w:cs="Times New Roman"/>
          <w:szCs w:val="24"/>
          <w:lang w:val="en-GB"/>
        </w:rPr>
        <w:t xml:space="preserve">6) </w:t>
      </w:r>
      <w:r w:rsidRPr="00E04B25">
        <w:rPr>
          <w:rFonts w:cs="Times New Roman"/>
          <w:i/>
          <w:szCs w:val="24"/>
          <w:lang w:val="en-GB"/>
        </w:rPr>
        <w:t>The EU's Transformative Power: Europeanization through Conditionality in Central and Eastern Europe</w:t>
      </w:r>
      <w:r w:rsidR="00A4372F">
        <w:rPr>
          <w:rFonts w:cs="Times New Roman"/>
          <w:i/>
          <w:szCs w:val="24"/>
          <w:lang w:val="en-GB"/>
        </w:rPr>
        <w:t>.</w:t>
      </w:r>
      <w:r>
        <w:rPr>
          <w:rFonts w:cs="Times New Roman"/>
          <w:szCs w:val="24"/>
          <w:lang w:val="en-GB"/>
        </w:rPr>
        <w:t xml:space="preserve"> Basingstoke: Palgrave</w:t>
      </w:r>
      <w:r w:rsidRPr="009E1D3D">
        <w:rPr>
          <w:rFonts w:cs="Times New Roman"/>
          <w:szCs w:val="24"/>
          <w:lang w:val="en-GB"/>
        </w:rPr>
        <w:t>.</w:t>
      </w:r>
    </w:p>
    <w:p w:rsidR="00C37412" w:rsidRPr="00E04B25" w:rsidRDefault="00C37412" w:rsidP="000D11B5">
      <w:pPr>
        <w:spacing w:line="480" w:lineRule="auto"/>
        <w:jc w:val="both"/>
        <w:rPr>
          <w:lang w:val="en-US"/>
        </w:rPr>
      </w:pPr>
      <w:r>
        <w:rPr>
          <w:lang w:val="en-US"/>
        </w:rPr>
        <w:t>Kelley, J.G. (2004)</w:t>
      </w:r>
      <w:r w:rsidRPr="003438C1">
        <w:rPr>
          <w:lang w:val="en-US"/>
        </w:rPr>
        <w:t xml:space="preserve"> </w:t>
      </w:r>
      <w:r w:rsidRPr="003438C1">
        <w:rPr>
          <w:i/>
          <w:iCs/>
          <w:lang w:val="en-US"/>
        </w:rPr>
        <w:t>Ethnic Politics in Europe: The Power of Norms and Incentives</w:t>
      </w:r>
      <w:r>
        <w:rPr>
          <w:i/>
          <w:iCs/>
          <w:lang w:val="en-US"/>
        </w:rPr>
        <w:t>.</w:t>
      </w:r>
      <w:r w:rsidRPr="003438C1">
        <w:rPr>
          <w:lang w:val="en-US"/>
        </w:rPr>
        <w:t xml:space="preserve"> Princeton, NJ: </w:t>
      </w:r>
      <w:r>
        <w:rPr>
          <w:lang w:val="en-US"/>
        </w:rPr>
        <w:t>Princeton University Press</w:t>
      </w:r>
      <w:r w:rsidRPr="003438C1">
        <w:rPr>
          <w:lang w:val="en-US"/>
        </w:rPr>
        <w:t>.</w:t>
      </w:r>
    </w:p>
    <w:p w:rsidR="00C37412" w:rsidRPr="009E1D3D" w:rsidRDefault="00C37412" w:rsidP="000D11B5">
      <w:pPr>
        <w:spacing w:line="480" w:lineRule="auto"/>
        <w:jc w:val="both"/>
        <w:rPr>
          <w:lang w:val="en-GB"/>
        </w:rPr>
      </w:pPr>
      <w:proofErr w:type="spellStart"/>
      <w:r w:rsidRPr="009E1D3D">
        <w:rPr>
          <w:lang w:val="en-GB"/>
        </w:rPr>
        <w:t>Kubicek</w:t>
      </w:r>
      <w:proofErr w:type="spellEnd"/>
      <w:r w:rsidRPr="009E1D3D">
        <w:rPr>
          <w:lang w:val="en-GB"/>
        </w:rPr>
        <w:t xml:space="preserve">, P. (2011) ‘Political Conditionality and European Union’s cultivation of Turkish democracy’, </w:t>
      </w:r>
      <w:r w:rsidRPr="009E1D3D">
        <w:rPr>
          <w:i/>
          <w:lang w:val="en-GB"/>
        </w:rPr>
        <w:t xml:space="preserve">Democratization </w:t>
      </w:r>
      <w:r w:rsidRPr="009E1D3D">
        <w:rPr>
          <w:lang w:val="en-GB"/>
        </w:rPr>
        <w:t>18(4): 910-931.</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Müftüler</w:t>
      </w:r>
      <w:proofErr w:type="spellEnd"/>
      <w:r w:rsidRPr="009E1D3D">
        <w:rPr>
          <w:rFonts w:cs="Times New Roman"/>
          <w:szCs w:val="24"/>
          <w:lang w:val="en-GB"/>
        </w:rPr>
        <w:t xml:space="preserve">-Bac, M. (2005) Turkey’s Political Reforms and the Impact of the European Union, </w:t>
      </w:r>
      <w:r w:rsidRPr="009E1D3D">
        <w:rPr>
          <w:rFonts w:cs="Times New Roman"/>
          <w:i/>
          <w:szCs w:val="24"/>
          <w:lang w:val="en-GB"/>
        </w:rPr>
        <w:t xml:space="preserve">South European Society and Politics </w:t>
      </w:r>
      <w:r w:rsidRPr="009E1D3D">
        <w:rPr>
          <w:rFonts w:cs="Times New Roman"/>
          <w:szCs w:val="24"/>
          <w:lang w:val="en-GB"/>
        </w:rPr>
        <w:t>10(1): 17-31.</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Noutcheva</w:t>
      </w:r>
      <w:proofErr w:type="spellEnd"/>
      <w:r w:rsidRPr="009E1D3D">
        <w:rPr>
          <w:rFonts w:cs="Times New Roman"/>
          <w:szCs w:val="24"/>
          <w:lang w:val="en-GB"/>
        </w:rPr>
        <w:t>, G. and Aydin-</w:t>
      </w:r>
      <w:proofErr w:type="spellStart"/>
      <w:r w:rsidRPr="009E1D3D">
        <w:rPr>
          <w:rFonts w:cs="Times New Roman"/>
          <w:szCs w:val="24"/>
          <w:lang w:val="en-GB"/>
        </w:rPr>
        <w:t>Düzgit</w:t>
      </w:r>
      <w:proofErr w:type="spellEnd"/>
      <w:r w:rsidRPr="009E1D3D">
        <w:rPr>
          <w:rFonts w:cs="Times New Roman"/>
          <w:szCs w:val="24"/>
          <w:lang w:val="en-GB"/>
        </w:rPr>
        <w:t xml:space="preserve">, S. (2012) ‘Lost in Europeanisation: The Western Balkans and Turkey’, </w:t>
      </w:r>
      <w:r w:rsidRPr="009E1D3D">
        <w:rPr>
          <w:rFonts w:cs="Times New Roman"/>
          <w:i/>
          <w:szCs w:val="24"/>
          <w:lang w:val="en-GB"/>
        </w:rPr>
        <w:t>West European Politics</w:t>
      </w:r>
      <w:r w:rsidRPr="009E1D3D">
        <w:rPr>
          <w:rFonts w:cs="Times New Roman"/>
          <w:szCs w:val="24"/>
          <w:lang w:val="en-GB"/>
        </w:rPr>
        <w:t xml:space="preserve"> 35(1): 59-78.</w:t>
      </w:r>
    </w:p>
    <w:p w:rsidR="00C37412" w:rsidRPr="009E1D3D" w:rsidRDefault="00C37412" w:rsidP="000D11B5">
      <w:pPr>
        <w:spacing w:line="480" w:lineRule="auto"/>
        <w:jc w:val="both"/>
        <w:rPr>
          <w:rFonts w:cs="Times New Roman"/>
          <w:szCs w:val="24"/>
          <w:lang w:val="en-GB"/>
        </w:rPr>
      </w:pPr>
      <w:proofErr w:type="spellStart"/>
      <w:r w:rsidRPr="009E1D3D">
        <w:rPr>
          <w:rFonts w:cs="Times New Roman"/>
          <w:szCs w:val="24"/>
          <w:lang w:val="en-GB"/>
        </w:rPr>
        <w:t>O’Brennan</w:t>
      </w:r>
      <w:proofErr w:type="spellEnd"/>
      <w:r w:rsidRPr="009E1D3D">
        <w:rPr>
          <w:rFonts w:cs="Times New Roman"/>
          <w:szCs w:val="24"/>
          <w:lang w:val="en-GB"/>
        </w:rPr>
        <w:t xml:space="preserve">, J. (2014) ‘On the Slow Train to Nowhere? The European Union, “Enlargement Fatigue”, and the Western Balkans, </w:t>
      </w:r>
      <w:r w:rsidRPr="009E1D3D">
        <w:rPr>
          <w:rFonts w:cs="Times New Roman"/>
          <w:i/>
          <w:szCs w:val="24"/>
          <w:lang w:val="en-GB"/>
        </w:rPr>
        <w:t>European Foreign Affairs Review</w:t>
      </w:r>
      <w:r w:rsidRPr="009E1D3D">
        <w:rPr>
          <w:rFonts w:cs="Times New Roman"/>
          <w:szCs w:val="24"/>
          <w:lang w:val="en-GB"/>
        </w:rPr>
        <w:t xml:space="preserve"> 19(2): 221-241.</w:t>
      </w:r>
    </w:p>
    <w:p w:rsidR="00E0598E" w:rsidRDefault="00E0598E" w:rsidP="000D11B5">
      <w:pPr>
        <w:spacing w:line="480" w:lineRule="auto"/>
        <w:jc w:val="both"/>
        <w:rPr>
          <w:rFonts w:cs="Times New Roman"/>
          <w:szCs w:val="24"/>
          <w:lang w:val="en-GB"/>
        </w:rPr>
      </w:pPr>
      <w:proofErr w:type="spellStart"/>
      <w:r w:rsidRPr="00E0598E">
        <w:rPr>
          <w:rFonts w:cs="Times New Roman"/>
          <w:szCs w:val="24"/>
          <w:lang w:val="en-GB"/>
        </w:rPr>
        <w:t>Pridham</w:t>
      </w:r>
      <w:proofErr w:type="spellEnd"/>
      <w:r w:rsidRPr="00E0598E">
        <w:rPr>
          <w:rFonts w:cs="Times New Roman"/>
          <w:szCs w:val="24"/>
          <w:lang w:val="en-GB"/>
        </w:rPr>
        <w:t xml:space="preserve">, G. </w:t>
      </w:r>
      <w:r>
        <w:rPr>
          <w:rFonts w:cs="Times New Roman"/>
          <w:szCs w:val="24"/>
          <w:lang w:val="en-GB"/>
        </w:rPr>
        <w:t>(</w:t>
      </w:r>
      <w:r w:rsidRPr="00E0598E">
        <w:rPr>
          <w:rFonts w:cs="Times New Roman"/>
          <w:szCs w:val="24"/>
          <w:lang w:val="en-GB"/>
        </w:rPr>
        <w:t>2005</w:t>
      </w:r>
      <w:r>
        <w:rPr>
          <w:rFonts w:cs="Times New Roman"/>
          <w:szCs w:val="24"/>
          <w:lang w:val="en-GB"/>
        </w:rPr>
        <w:t xml:space="preserve">) </w:t>
      </w:r>
      <w:r w:rsidRPr="00E0598E">
        <w:rPr>
          <w:rFonts w:cs="Times New Roman"/>
          <w:i/>
          <w:szCs w:val="24"/>
          <w:lang w:val="en-GB"/>
        </w:rPr>
        <w:t>Designing Democracy. Eu Enlargement and Regime Change in Post-Communist Europe</w:t>
      </w:r>
      <w:r w:rsidRPr="00E0598E">
        <w:rPr>
          <w:rFonts w:cs="Times New Roman"/>
          <w:szCs w:val="24"/>
          <w:lang w:val="en-GB"/>
        </w:rPr>
        <w:t xml:space="preserve">.  Basingstoke: Palgrave. </w:t>
      </w:r>
    </w:p>
    <w:p w:rsidR="00C37412" w:rsidRDefault="00C37412" w:rsidP="000D11B5">
      <w:pPr>
        <w:spacing w:line="480" w:lineRule="auto"/>
        <w:jc w:val="both"/>
        <w:rPr>
          <w:rFonts w:cs="Times New Roman"/>
          <w:szCs w:val="24"/>
          <w:lang w:val="en-GB"/>
        </w:rPr>
      </w:pPr>
      <w:r w:rsidRPr="009E1D3D">
        <w:rPr>
          <w:rFonts w:cs="Times New Roman"/>
          <w:szCs w:val="24"/>
          <w:lang w:val="en-GB"/>
        </w:rPr>
        <w:t xml:space="preserve">Renner, S. and </w:t>
      </w:r>
      <w:proofErr w:type="spellStart"/>
      <w:r w:rsidRPr="009E1D3D">
        <w:rPr>
          <w:rFonts w:cs="Times New Roman"/>
          <w:szCs w:val="24"/>
          <w:lang w:val="en-GB"/>
        </w:rPr>
        <w:t>Trauner</w:t>
      </w:r>
      <w:proofErr w:type="spellEnd"/>
      <w:r w:rsidRPr="009E1D3D">
        <w:rPr>
          <w:rFonts w:cs="Times New Roman"/>
          <w:szCs w:val="24"/>
          <w:lang w:val="en-GB"/>
        </w:rPr>
        <w:t xml:space="preserve">, F. (2009) ‘Creeping EU Membership in Southeast Europe: The Dynamics of EU Rule Transfer to the Western Balkans’, </w:t>
      </w:r>
      <w:r w:rsidRPr="009E1D3D">
        <w:rPr>
          <w:rFonts w:cs="Times New Roman"/>
          <w:i/>
          <w:szCs w:val="24"/>
          <w:lang w:val="en-GB"/>
        </w:rPr>
        <w:t xml:space="preserve">European Integration </w:t>
      </w:r>
      <w:r w:rsidRPr="009E1D3D">
        <w:rPr>
          <w:rFonts w:cs="Times New Roman"/>
          <w:szCs w:val="24"/>
          <w:lang w:val="en-GB"/>
        </w:rPr>
        <w:t>31(4): 449-465.</w:t>
      </w:r>
    </w:p>
    <w:p w:rsidR="00C37412" w:rsidRDefault="00C37412" w:rsidP="000D11B5">
      <w:pPr>
        <w:spacing w:line="480" w:lineRule="auto"/>
        <w:jc w:val="both"/>
        <w:rPr>
          <w:rFonts w:cs="Times New Roman"/>
          <w:szCs w:val="24"/>
          <w:lang w:val="en-GB"/>
        </w:rPr>
      </w:pPr>
      <w:r>
        <w:rPr>
          <w:rFonts w:cs="Times New Roman"/>
          <w:szCs w:val="24"/>
          <w:lang w:val="en-GB"/>
        </w:rPr>
        <w:t xml:space="preserve">Richter, S. (2012) ‘Two at one blow? The EU and its quest for security and democracy by political conditionality in the Western Balkans’, </w:t>
      </w:r>
      <w:r>
        <w:rPr>
          <w:rFonts w:cs="Times New Roman"/>
          <w:i/>
          <w:szCs w:val="24"/>
          <w:lang w:val="en-GB"/>
        </w:rPr>
        <w:t xml:space="preserve">Democratization </w:t>
      </w:r>
      <w:r>
        <w:rPr>
          <w:rFonts w:cs="Times New Roman"/>
          <w:szCs w:val="24"/>
          <w:lang w:val="en-GB"/>
        </w:rPr>
        <w:t>19(3): 507-534.</w:t>
      </w:r>
    </w:p>
    <w:p w:rsidR="00C37412" w:rsidRPr="00FA6F43" w:rsidRDefault="00C37412" w:rsidP="000D11B5">
      <w:pPr>
        <w:spacing w:line="480" w:lineRule="auto"/>
        <w:jc w:val="both"/>
        <w:rPr>
          <w:rFonts w:cs="Times New Roman"/>
          <w:szCs w:val="24"/>
          <w:lang w:val="en-GB"/>
        </w:rPr>
      </w:pPr>
      <w:r>
        <w:rPr>
          <w:rFonts w:cs="Times New Roman"/>
          <w:szCs w:val="24"/>
          <w:lang w:val="en-GB"/>
        </w:rPr>
        <w:t>Richter, S. and Wunsch, N. (201</w:t>
      </w:r>
      <w:r w:rsidR="00276B6E">
        <w:rPr>
          <w:rFonts w:cs="Times New Roman"/>
          <w:szCs w:val="24"/>
          <w:lang w:val="en-GB"/>
        </w:rPr>
        <w:t>9</w:t>
      </w:r>
      <w:r>
        <w:rPr>
          <w:rFonts w:cs="Times New Roman"/>
          <w:szCs w:val="24"/>
          <w:lang w:val="en-GB"/>
        </w:rPr>
        <w:t xml:space="preserve">) Money, power, glory: The linkages between EU conditionality and state capture in the Western Balkans, </w:t>
      </w:r>
      <w:r w:rsidR="00276B6E" w:rsidRPr="00C773C6">
        <w:rPr>
          <w:rFonts w:cs="Times New Roman"/>
          <w:i/>
          <w:szCs w:val="24"/>
          <w:lang w:val="en-GB"/>
        </w:rPr>
        <w:t>Journal of European Public Policy</w:t>
      </w:r>
      <w:r w:rsidR="00276B6E">
        <w:rPr>
          <w:rFonts w:cs="Times New Roman"/>
          <w:szCs w:val="24"/>
          <w:lang w:val="en-GB"/>
        </w:rPr>
        <w:t xml:space="preserve">, online first, 17 </w:t>
      </w:r>
      <w:r w:rsidR="003E1607">
        <w:rPr>
          <w:rFonts w:cs="Times New Roman"/>
          <w:szCs w:val="24"/>
          <w:lang w:val="en-GB"/>
        </w:rPr>
        <w:t>February</w:t>
      </w:r>
      <w:r w:rsidR="00276B6E">
        <w:rPr>
          <w:rFonts w:cs="Times New Roman"/>
          <w:szCs w:val="24"/>
          <w:lang w:val="en-GB"/>
        </w:rPr>
        <w:t xml:space="preserve"> 2019 </w:t>
      </w:r>
      <w:r w:rsidR="00276B6E" w:rsidRPr="00276B6E">
        <w:rPr>
          <w:rFonts w:cs="Times New Roman"/>
          <w:szCs w:val="24"/>
          <w:lang w:val="en-GB"/>
        </w:rPr>
        <w:t>https://doi.org/10.1080/13501763.2019.1578815</w:t>
      </w:r>
    </w:p>
    <w:p w:rsidR="00C37412" w:rsidRPr="009E1D3D" w:rsidRDefault="00C37412" w:rsidP="000D11B5">
      <w:pPr>
        <w:spacing w:line="480" w:lineRule="auto"/>
        <w:jc w:val="both"/>
        <w:rPr>
          <w:rFonts w:cs="Arial"/>
          <w:lang w:val="en-GB"/>
        </w:rPr>
      </w:pPr>
      <w:proofErr w:type="spellStart"/>
      <w:r w:rsidRPr="009E1D3D">
        <w:rPr>
          <w:rFonts w:cs="Arial"/>
          <w:szCs w:val="19"/>
          <w:lang w:val="en-GB"/>
        </w:rPr>
        <w:t>Schimmelfennig</w:t>
      </w:r>
      <w:proofErr w:type="spellEnd"/>
      <w:r w:rsidRPr="009E1D3D">
        <w:rPr>
          <w:rFonts w:cs="Arial"/>
          <w:szCs w:val="19"/>
          <w:lang w:val="en-GB"/>
        </w:rPr>
        <w:t xml:space="preserve">, F. (2008) </w:t>
      </w:r>
      <w:r w:rsidRPr="009E1D3D">
        <w:rPr>
          <w:rFonts w:cs="Arial"/>
          <w:lang w:val="en-GB"/>
        </w:rPr>
        <w:t>‘</w:t>
      </w:r>
      <w:r w:rsidRPr="009E1D3D">
        <w:rPr>
          <w:rFonts w:ascii="Calibri" w:hAnsi="Calibri" w:cs="Calibri"/>
          <w:lang w:val="en-GB"/>
        </w:rPr>
        <w:t xml:space="preserve">EU Political Conditionality After the 2004 Enlargement: Consistency and Effectiveness’, </w:t>
      </w:r>
      <w:r w:rsidRPr="009E1D3D">
        <w:rPr>
          <w:rFonts w:ascii="Calibri" w:hAnsi="Calibri" w:cs="Calibri"/>
          <w:i/>
          <w:lang w:val="en-GB"/>
        </w:rPr>
        <w:t>Journal of European Public Policy</w:t>
      </w:r>
      <w:r w:rsidRPr="009E1D3D">
        <w:rPr>
          <w:rFonts w:ascii="Calibri" w:hAnsi="Calibri" w:cs="Calibri"/>
          <w:lang w:val="en-GB"/>
        </w:rPr>
        <w:t xml:space="preserve"> 15(6): 918-937.</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Schimmelfennig</w:t>
      </w:r>
      <w:proofErr w:type="spellEnd"/>
      <w:r w:rsidRPr="009E1D3D">
        <w:rPr>
          <w:rFonts w:cs="Arial"/>
          <w:szCs w:val="19"/>
          <w:lang w:val="en-GB"/>
        </w:rPr>
        <w:t xml:space="preserve">, F., </w:t>
      </w:r>
      <w:proofErr w:type="spellStart"/>
      <w:r w:rsidRPr="009E1D3D">
        <w:rPr>
          <w:rFonts w:cs="Arial"/>
          <w:szCs w:val="19"/>
          <w:lang w:val="en-GB"/>
        </w:rPr>
        <w:t>Engert</w:t>
      </w:r>
      <w:proofErr w:type="spellEnd"/>
      <w:r w:rsidRPr="009E1D3D">
        <w:rPr>
          <w:rFonts w:cs="Arial"/>
          <w:szCs w:val="19"/>
          <w:lang w:val="en-GB"/>
        </w:rPr>
        <w:t xml:space="preserve">, S. and </w:t>
      </w:r>
      <w:proofErr w:type="spellStart"/>
      <w:r w:rsidRPr="009E1D3D">
        <w:rPr>
          <w:rFonts w:cs="Arial"/>
          <w:szCs w:val="19"/>
          <w:lang w:val="en-GB"/>
        </w:rPr>
        <w:t>Knobel</w:t>
      </w:r>
      <w:proofErr w:type="spellEnd"/>
      <w:r w:rsidRPr="009E1D3D">
        <w:rPr>
          <w:rFonts w:cs="Arial"/>
          <w:szCs w:val="19"/>
          <w:lang w:val="en-GB"/>
        </w:rPr>
        <w:t xml:space="preserve">, H. (2006) </w:t>
      </w:r>
      <w:r w:rsidRPr="009E1D3D">
        <w:rPr>
          <w:rFonts w:cs="Arial"/>
          <w:i/>
          <w:szCs w:val="19"/>
          <w:lang w:val="en-GB"/>
        </w:rPr>
        <w:t xml:space="preserve">International Socialization in Europe. European Organizations, Political Conditionality and Democratic Change. </w:t>
      </w:r>
      <w:r w:rsidRPr="009E1D3D">
        <w:rPr>
          <w:rFonts w:cs="Arial"/>
          <w:szCs w:val="19"/>
          <w:lang w:val="en-GB"/>
        </w:rPr>
        <w:t>Basingstoke: Palgrave Macmillan.</w:t>
      </w:r>
    </w:p>
    <w:p w:rsidR="00E0598E" w:rsidRDefault="00E0598E" w:rsidP="000D11B5">
      <w:pPr>
        <w:spacing w:line="480" w:lineRule="auto"/>
        <w:jc w:val="both"/>
        <w:rPr>
          <w:rFonts w:cs="Arial"/>
          <w:szCs w:val="19"/>
          <w:lang w:val="en-GB"/>
        </w:rPr>
      </w:pPr>
      <w:proofErr w:type="spellStart"/>
      <w:r w:rsidRPr="00E0598E">
        <w:rPr>
          <w:rFonts w:cs="Arial"/>
          <w:szCs w:val="19"/>
          <w:lang w:val="en-GB"/>
        </w:rPr>
        <w:t>Schimmelfennig</w:t>
      </w:r>
      <w:proofErr w:type="spellEnd"/>
      <w:r w:rsidRPr="00E0598E">
        <w:rPr>
          <w:rFonts w:cs="Arial"/>
          <w:szCs w:val="19"/>
          <w:lang w:val="en-GB"/>
        </w:rPr>
        <w:t xml:space="preserve">, </w:t>
      </w:r>
      <w:r>
        <w:rPr>
          <w:rFonts w:cs="Arial"/>
          <w:szCs w:val="19"/>
          <w:lang w:val="en-GB"/>
        </w:rPr>
        <w:t>F</w:t>
      </w:r>
      <w:r w:rsidRPr="00E0598E">
        <w:rPr>
          <w:rFonts w:cs="Arial"/>
          <w:szCs w:val="19"/>
          <w:lang w:val="en-GB"/>
        </w:rPr>
        <w:t>, and Sedelmeier</w:t>
      </w:r>
      <w:r w:rsidR="005A7A9D">
        <w:rPr>
          <w:rFonts w:cs="Arial"/>
          <w:szCs w:val="19"/>
          <w:lang w:val="en-GB"/>
        </w:rPr>
        <w:t>, U.</w:t>
      </w:r>
      <w:r>
        <w:rPr>
          <w:rFonts w:cs="Arial"/>
          <w:szCs w:val="19"/>
          <w:lang w:val="en-GB"/>
        </w:rPr>
        <w:t xml:space="preserve"> (2004) ‘</w:t>
      </w:r>
      <w:r w:rsidRPr="00E0598E">
        <w:rPr>
          <w:rFonts w:cs="Arial"/>
          <w:szCs w:val="19"/>
          <w:lang w:val="en-GB"/>
        </w:rPr>
        <w:t>Governance by Conditionality: E</w:t>
      </w:r>
      <w:r>
        <w:rPr>
          <w:rFonts w:cs="Arial"/>
          <w:szCs w:val="19"/>
          <w:lang w:val="en-GB"/>
        </w:rPr>
        <w:t>U</w:t>
      </w:r>
      <w:r w:rsidRPr="00E0598E">
        <w:rPr>
          <w:rFonts w:cs="Arial"/>
          <w:szCs w:val="19"/>
          <w:lang w:val="en-GB"/>
        </w:rPr>
        <w:t xml:space="preserve"> Rule Transfer to the Candidate Countries of Central and Eastern Europe</w:t>
      </w:r>
      <w:r>
        <w:rPr>
          <w:rFonts w:cs="Arial"/>
          <w:szCs w:val="19"/>
          <w:lang w:val="en-GB"/>
        </w:rPr>
        <w:t>’,</w:t>
      </w:r>
      <w:r w:rsidRPr="00E0598E">
        <w:rPr>
          <w:rFonts w:cs="Arial"/>
          <w:szCs w:val="19"/>
          <w:lang w:val="en-GB"/>
        </w:rPr>
        <w:t xml:space="preserve"> </w:t>
      </w:r>
      <w:r w:rsidRPr="007E0B05">
        <w:rPr>
          <w:rFonts w:cs="Arial"/>
          <w:i/>
          <w:szCs w:val="19"/>
          <w:lang w:val="en-GB"/>
        </w:rPr>
        <w:t>Journal of European Public Policy</w:t>
      </w:r>
      <w:r w:rsidRPr="00E0598E">
        <w:rPr>
          <w:rFonts w:cs="Arial"/>
          <w:szCs w:val="19"/>
          <w:lang w:val="en-GB"/>
        </w:rPr>
        <w:t xml:space="preserve"> 11</w:t>
      </w:r>
      <w:r>
        <w:rPr>
          <w:rFonts w:cs="Arial"/>
          <w:szCs w:val="19"/>
          <w:lang w:val="en-GB"/>
        </w:rPr>
        <w:t xml:space="preserve">(4): </w:t>
      </w:r>
      <w:r w:rsidRPr="00E0598E">
        <w:rPr>
          <w:rFonts w:cs="Arial"/>
          <w:szCs w:val="19"/>
          <w:lang w:val="en-GB"/>
        </w:rPr>
        <w:t xml:space="preserve">661-79. </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Schimmelfennig</w:t>
      </w:r>
      <w:proofErr w:type="spellEnd"/>
      <w:r w:rsidRPr="009E1D3D">
        <w:rPr>
          <w:rFonts w:cs="Arial"/>
          <w:szCs w:val="19"/>
          <w:lang w:val="en-GB"/>
        </w:rPr>
        <w:t xml:space="preserve">, F. and Sedelmeier, U. (Eds.) (2005a) </w:t>
      </w:r>
      <w:r w:rsidRPr="009E1D3D">
        <w:rPr>
          <w:rFonts w:cs="Arial"/>
          <w:i/>
          <w:szCs w:val="19"/>
          <w:lang w:val="en-GB"/>
        </w:rPr>
        <w:t>The Europeanization of Central and Eastern Europe</w:t>
      </w:r>
      <w:r w:rsidRPr="009E1D3D">
        <w:rPr>
          <w:rFonts w:cs="Arial"/>
          <w:szCs w:val="19"/>
          <w:lang w:val="en-GB"/>
        </w:rPr>
        <w:t>. Ithaca: Cornell University Press.</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Schimmelfennig</w:t>
      </w:r>
      <w:proofErr w:type="spellEnd"/>
      <w:r w:rsidRPr="009E1D3D">
        <w:rPr>
          <w:rFonts w:cs="Arial"/>
          <w:szCs w:val="19"/>
          <w:lang w:val="en-GB"/>
        </w:rPr>
        <w:t xml:space="preserve">, F. and Sedelmeier, U. (Eds.) (2005b) ‘Introduction: Conceptualizing the Europeanization of Central and Eastern Europe’, in </w:t>
      </w:r>
      <w:proofErr w:type="spellStart"/>
      <w:r w:rsidRPr="009E1D3D">
        <w:rPr>
          <w:rFonts w:cs="Arial"/>
          <w:szCs w:val="19"/>
          <w:lang w:val="en-GB"/>
        </w:rPr>
        <w:t>Schimmelfennig</w:t>
      </w:r>
      <w:proofErr w:type="spellEnd"/>
      <w:r w:rsidRPr="009E1D3D">
        <w:rPr>
          <w:rFonts w:cs="Arial"/>
          <w:szCs w:val="19"/>
          <w:lang w:val="en-GB"/>
        </w:rPr>
        <w:t xml:space="preserve">, F. and Sedelmeier U. (eds.), </w:t>
      </w:r>
      <w:r w:rsidRPr="009E1D3D">
        <w:rPr>
          <w:rFonts w:cs="Arial"/>
          <w:i/>
          <w:szCs w:val="19"/>
          <w:lang w:val="en-GB"/>
        </w:rPr>
        <w:t>The Europeanization of Central and Eastern Europe</w:t>
      </w:r>
      <w:r w:rsidRPr="009E1D3D">
        <w:rPr>
          <w:rFonts w:cs="Arial"/>
          <w:szCs w:val="19"/>
          <w:lang w:val="en-GB"/>
        </w:rPr>
        <w:t>. Ithaca: Cornell University Press, 1-28.</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Schimmelfennig</w:t>
      </w:r>
      <w:proofErr w:type="spellEnd"/>
      <w:r w:rsidRPr="009E1D3D">
        <w:rPr>
          <w:rFonts w:cs="Arial"/>
          <w:szCs w:val="19"/>
          <w:lang w:val="en-GB"/>
        </w:rPr>
        <w:t xml:space="preserve">, F. and Sedelmeier, U. (Eds.) (2005c) ‘Conclusions: The Impact of the EU on the Accession Countries’, in </w:t>
      </w:r>
      <w:proofErr w:type="spellStart"/>
      <w:r w:rsidRPr="009E1D3D">
        <w:rPr>
          <w:rFonts w:cs="Arial"/>
          <w:szCs w:val="19"/>
          <w:lang w:val="en-GB"/>
        </w:rPr>
        <w:t>Schimmelfennig</w:t>
      </w:r>
      <w:proofErr w:type="spellEnd"/>
      <w:r w:rsidRPr="009E1D3D">
        <w:rPr>
          <w:rFonts w:cs="Arial"/>
          <w:szCs w:val="19"/>
          <w:lang w:val="en-GB"/>
        </w:rPr>
        <w:t xml:space="preserve">, F. and Sedelmeier U. (eds.), </w:t>
      </w:r>
      <w:r w:rsidRPr="009E1D3D">
        <w:rPr>
          <w:rFonts w:cs="Arial"/>
          <w:i/>
          <w:szCs w:val="19"/>
          <w:lang w:val="en-GB"/>
        </w:rPr>
        <w:t>The Europeanization of Central and Eastern Europe</w:t>
      </w:r>
      <w:r w:rsidRPr="009E1D3D">
        <w:rPr>
          <w:rFonts w:cs="Arial"/>
          <w:szCs w:val="19"/>
          <w:lang w:val="en-GB"/>
        </w:rPr>
        <w:t>. Ithaca: Cornell University Press, 210-228.</w:t>
      </w:r>
    </w:p>
    <w:p w:rsidR="00C37412" w:rsidRPr="009E1D3D" w:rsidRDefault="00C37412" w:rsidP="000D11B5">
      <w:pPr>
        <w:spacing w:line="480" w:lineRule="auto"/>
        <w:jc w:val="both"/>
        <w:rPr>
          <w:rFonts w:cs="Arial"/>
          <w:szCs w:val="19"/>
          <w:lang w:val="en-GB"/>
        </w:rPr>
      </w:pPr>
      <w:r w:rsidRPr="009E1D3D">
        <w:rPr>
          <w:rFonts w:cs="Arial"/>
          <w:szCs w:val="19"/>
          <w:lang w:val="en-GB"/>
        </w:rPr>
        <w:t>Sedelmeier, U. (2008)</w:t>
      </w:r>
      <w:r w:rsidRPr="009E1D3D">
        <w:rPr>
          <w:rFonts w:ascii="Helvetica" w:hAnsi="Helvetica" w:cs="Times New Roman"/>
          <w:sz w:val="18"/>
          <w:szCs w:val="18"/>
          <w:lang w:val="en-GB"/>
        </w:rPr>
        <w:t xml:space="preserve"> </w:t>
      </w:r>
      <w:r w:rsidRPr="009E1D3D">
        <w:rPr>
          <w:rFonts w:cs="Arial"/>
          <w:szCs w:val="19"/>
          <w:lang w:val="en-GB"/>
        </w:rPr>
        <w:t xml:space="preserve">‘After conditionality: Post-accession compliance with EU law in East Central Europe’, </w:t>
      </w:r>
      <w:r w:rsidRPr="009E1D3D">
        <w:rPr>
          <w:rFonts w:cs="Arial"/>
          <w:i/>
          <w:iCs/>
          <w:szCs w:val="19"/>
          <w:lang w:val="en-GB"/>
        </w:rPr>
        <w:t>Journal of European Public Policy 15</w:t>
      </w:r>
      <w:r w:rsidRPr="009E1D3D">
        <w:rPr>
          <w:rFonts w:cs="Arial"/>
          <w:szCs w:val="19"/>
          <w:lang w:val="en-GB"/>
        </w:rPr>
        <w:t>(6): 806-825.</w:t>
      </w:r>
    </w:p>
    <w:p w:rsidR="00C37412" w:rsidRPr="009E1D3D" w:rsidRDefault="00C37412" w:rsidP="000D11B5">
      <w:pPr>
        <w:spacing w:line="480" w:lineRule="auto"/>
        <w:jc w:val="both"/>
        <w:rPr>
          <w:rFonts w:cs="Arial"/>
          <w:szCs w:val="19"/>
          <w:lang w:val="en-GB"/>
        </w:rPr>
      </w:pPr>
      <w:r w:rsidRPr="009E1D3D">
        <w:rPr>
          <w:lang w:val="en-GB"/>
        </w:rPr>
        <w:t xml:space="preserve">Sedelmeier, U. (2012) ‘Is Europeanization through conditionality sustainable? Lock-in of institutional change after EU accession’, </w:t>
      </w:r>
      <w:r w:rsidRPr="009E1D3D">
        <w:rPr>
          <w:i/>
          <w:lang w:val="en-GB"/>
        </w:rPr>
        <w:t>West European Politics</w:t>
      </w:r>
      <w:r w:rsidRPr="009E1D3D">
        <w:rPr>
          <w:lang w:val="en-GB"/>
        </w:rPr>
        <w:t xml:space="preserve"> 35:1 (2012): 20-38.</w:t>
      </w:r>
    </w:p>
    <w:p w:rsidR="00C37412" w:rsidRPr="009E1D3D" w:rsidRDefault="00C37412" w:rsidP="000D11B5">
      <w:pPr>
        <w:spacing w:line="480" w:lineRule="auto"/>
        <w:jc w:val="both"/>
        <w:rPr>
          <w:rFonts w:cs="Arial"/>
          <w:szCs w:val="19"/>
          <w:lang w:val="en-GB"/>
        </w:rPr>
      </w:pPr>
      <w:r w:rsidRPr="009E1D3D">
        <w:rPr>
          <w:rFonts w:cs="Arial"/>
          <w:szCs w:val="19"/>
          <w:lang w:val="en-GB"/>
        </w:rPr>
        <w:t xml:space="preserve">Sedelmeier, U. (2014) </w:t>
      </w:r>
      <w:r w:rsidR="005A7A9D">
        <w:rPr>
          <w:rFonts w:cs="Arial"/>
          <w:szCs w:val="19"/>
          <w:lang w:val="en-GB"/>
        </w:rPr>
        <w:t>‘</w:t>
      </w:r>
      <w:r w:rsidRPr="009E1D3D">
        <w:rPr>
          <w:rFonts w:cs="Arial"/>
          <w:szCs w:val="19"/>
          <w:lang w:val="en-GB"/>
        </w:rPr>
        <w:t>Anchoring Democracy from Above? The European Union and Democratic Backsliding in Hungary and Romania after Accession</w:t>
      </w:r>
      <w:r w:rsidR="005A7A9D">
        <w:rPr>
          <w:rFonts w:cs="Arial"/>
          <w:szCs w:val="19"/>
          <w:lang w:val="en-GB"/>
        </w:rPr>
        <w:t>’,</w:t>
      </w:r>
      <w:r w:rsidRPr="009E1D3D">
        <w:rPr>
          <w:rFonts w:cs="Arial"/>
          <w:szCs w:val="19"/>
          <w:lang w:val="en-GB"/>
        </w:rPr>
        <w:t xml:space="preserve"> </w:t>
      </w:r>
      <w:r w:rsidRPr="009E1D3D">
        <w:rPr>
          <w:rFonts w:cs="Arial"/>
          <w:i/>
          <w:szCs w:val="19"/>
          <w:lang w:val="en-GB"/>
        </w:rPr>
        <w:t>Journal of Common Market Studies</w:t>
      </w:r>
      <w:r w:rsidRPr="009E1D3D">
        <w:rPr>
          <w:rFonts w:cs="Arial"/>
          <w:szCs w:val="19"/>
          <w:lang w:val="en-GB"/>
        </w:rPr>
        <w:t xml:space="preserve"> 52(1), 105-121.</w:t>
      </w:r>
    </w:p>
    <w:p w:rsidR="00C37412" w:rsidRPr="009E1D3D" w:rsidRDefault="00C37412" w:rsidP="000D11B5">
      <w:pPr>
        <w:spacing w:line="480" w:lineRule="auto"/>
        <w:jc w:val="both"/>
        <w:rPr>
          <w:rFonts w:cs="Arial"/>
          <w:szCs w:val="19"/>
          <w:lang w:val="en-GB"/>
        </w:rPr>
      </w:pPr>
      <w:r w:rsidRPr="009E1D3D">
        <w:rPr>
          <w:rFonts w:cs="Arial"/>
          <w:szCs w:val="19"/>
          <w:lang w:val="en-GB"/>
        </w:rPr>
        <w:t xml:space="preserve">Sedelmeier, U. (2016) </w:t>
      </w:r>
      <w:r w:rsidRPr="009E1D3D">
        <w:rPr>
          <w:lang w:val="en-GB"/>
        </w:rPr>
        <w:t>‘</w:t>
      </w:r>
      <w:r w:rsidRPr="009E1D3D">
        <w:rPr>
          <w:rFonts w:cs="Arial"/>
          <w:szCs w:val="19"/>
          <w:lang w:val="en-GB"/>
        </w:rPr>
        <w:t>Compliance after Conditionality: Why Are the European Union’s New Member States So Good?’, (MAXCAP Working Paper No. 22), available at http://userpage.fu-berlin.de/kfgeu/maxcap/system/files/maxcap_wp_22.pdf</w:t>
      </w:r>
    </w:p>
    <w:p w:rsidR="00C37412" w:rsidRPr="009E1D3D" w:rsidRDefault="00C37412" w:rsidP="000D11B5">
      <w:pPr>
        <w:spacing w:line="480" w:lineRule="auto"/>
        <w:jc w:val="both"/>
        <w:rPr>
          <w:lang w:val="en-GB"/>
        </w:rPr>
      </w:pPr>
      <w:r w:rsidRPr="009E1D3D">
        <w:rPr>
          <w:lang w:val="en-GB"/>
        </w:rPr>
        <w:t xml:space="preserve">Sedelmeier, U. (2017) </w:t>
      </w:r>
      <w:r w:rsidR="005A7A9D">
        <w:rPr>
          <w:lang w:val="en-GB"/>
        </w:rPr>
        <w:t>‘</w:t>
      </w:r>
      <w:r w:rsidRPr="009E1D3D">
        <w:rPr>
          <w:lang w:val="en-GB"/>
        </w:rPr>
        <w:t>Political safeguards against democratic backsliding in the EU: the limits of material sanctions and the scope of social pressure</w:t>
      </w:r>
      <w:r w:rsidR="005A7A9D">
        <w:rPr>
          <w:lang w:val="en-GB"/>
        </w:rPr>
        <w:t>’</w:t>
      </w:r>
      <w:r w:rsidRPr="009E1D3D">
        <w:rPr>
          <w:lang w:val="en-GB"/>
        </w:rPr>
        <w:t xml:space="preserve">, </w:t>
      </w:r>
      <w:r w:rsidRPr="009E1D3D">
        <w:rPr>
          <w:i/>
          <w:lang w:val="en-GB"/>
        </w:rPr>
        <w:t>Journal of European Public Policy</w:t>
      </w:r>
      <w:r w:rsidRPr="009E1D3D">
        <w:rPr>
          <w:lang w:val="en-GB"/>
        </w:rPr>
        <w:t xml:space="preserve"> 24(3): 337-351. </w:t>
      </w:r>
    </w:p>
    <w:p w:rsidR="00C37412" w:rsidRPr="009E1D3D" w:rsidRDefault="00C37412" w:rsidP="000D11B5">
      <w:pPr>
        <w:spacing w:line="480" w:lineRule="auto"/>
        <w:jc w:val="both"/>
        <w:rPr>
          <w:lang w:val="en-GB"/>
        </w:rPr>
      </w:pPr>
      <w:proofErr w:type="spellStart"/>
      <w:r w:rsidRPr="009E1D3D">
        <w:rPr>
          <w:lang w:val="en-GB"/>
        </w:rPr>
        <w:t>Steunenberg</w:t>
      </w:r>
      <w:proofErr w:type="spellEnd"/>
      <w:r w:rsidRPr="009E1D3D">
        <w:rPr>
          <w:lang w:val="en-GB"/>
        </w:rPr>
        <w:t xml:space="preserve">, B. and </w:t>
      </w:r>
      <w:proofErr w:type="spellStart"/>
      <w:r w:rsidRPr="009E1D3D">
        <w:rPr>
          <w:lang w:val="en-GB"/>
        </w:rPr>
        <w:t>Toshkov</w:t>
      </w:r>
      <w:proofErr w:type="spellEnd"/>
      <w:r w:rsidRPr="009E1D3D">
        <w:rPr>
          <w:lang w:val="en-GB"/>
        </w:rPr>
        <w:t xml:space="preserve">, D. (2009) </w:t>
      </w:r>
      <w:r w:rsidR="005A7A9D">
        <w:rPr>
          <w:lang w:val="en-GB"/>
        </w:rPr>
        <w:t>‘</w:t>
      </w:r>
      <w:r w:rsidRPr="009E1D3D">
        <w:rPr>
          <w:lang w:val="en-GB"/>
        </w:rPr>
        <w:t xml:space="preserve">Comparing transposition in the </w:t>
      </w:r>
      <w:proofErr w:type="gramStart"/>
      <w:r w:rsidRPr="009E1D3D">
        <w:rPr>
          <w:lang w:val="en-GB"/>
        </w:rPr>
        <w:t>27 member</w:t>
      </w:r>
      <w:proofErr w:type="gramEnd"/>
      <w:r w:rsidRPr="009E1D3D">
        <w:rPr>
          <w:lang w:val="en-GB"/>
        </w:rPr>
        <w:t xml:space="preserve"> states of the EU: the impact of discretion and legal fit’, </w:t>
      </w:r>
      <w:r w:rsidRPr="009E1D3D">
        <w:rPr>
          <w:i/>
          <w:lang w:val="en-GB"/>
        </w:rPr>
        <w:t>Journal of European Public Policy</w:t>
      </w:r>
      <w:r w:rsidRPr="009E1D3D">
        <w:rPr>
          <w:lang w:val="en-GB"/>
        </w:rPr>
        <w:t xml:space="preserve"> 16(7): 951-970.</w:t>
      </w:r>
    </w:p>
    <w:p w:rsidR="00C37412" w:rsidRPr="009E1D3D" w:rsidRDefault="00C37412" w:rsidP="000D11B5">
      <w:pPr>
        <w:spacing w:line="480" w:lineRule="auto"/>
        <w:jc w:val="both"/>
        <w:rPr>
          <w:lang w:val="en-GB"/>
        </w:rPr>
      </w:pPr>
      <w:proofErr w:type="spellStart"/>
      <w:r w:rsidRPr="009E1D3D">
        <w:rPr>
          <w:lang w:val="en-GB"/>
        </w:rPr>
        <w:t>Toshkov</w:t>
      </w:r>
      <w:proofErr w:type="spellEnd"/>
      <w:r w:rsidRPr="009E1D3D">
        <w:rPr>
          <w:lang w:val="en-GB"/>
        </w:rPr>
        <w:t xml:space="preserve">, D. (2008) ‘Embracing European law - Compliance with EU directives in Central and Eastern Europe’, </w:t>
      </w:r>
      <w:r w:rsidRPr="009E1D3D">
        <w:rPr>
          <w:i/>
          <w:lang w:val="en-GB"/>
        </w:rPr>
        <w:t>European Union Politics</w:t>
      </w:r>
      <w:r w:rsidRPr="009E1D3D">
        <w:rPr>
          <w:lang w:val="en-GB"/>
        </w:rPr>
        <w:t xml:space="preserve"> 9(3): 379-402.</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Toshkov</w:t>
      </w:r>
      <w:proofErr w:type="spellEnd"/>
      <w:r w:rsidRPr="009E1D3D">
        <w:rPr>
          <w:rFonts w:cs="Arial"/>
          <w:szCs w:val="19"/>
          <w:lang w:val="en-GB"/>
        </w:rPr>
        <w:t xml:space="preserve">, D., </w:t>
      </w:r>
      <w:proofErr w:type="spellStart"/>
      <w:r w:rsidRPr="009E1D3D">
        <w:rPr>
          <w:rFonts w:cs="Arial"/>
          <w:szCs w:val="19"/>
          <w:lang w:val="en-GB"/>
        </w:rPr>
        <w:t>Kortenska</w:t>
      </w:r>
      <w:proofErr w:type="spellEnd"/>
      <w:r w:rsidRPr="009E1D3D">
        <w:rPr>
          <w:rFonts w:cs="Arial"/>
          <w:szCs w:val="19"/>
          <w:lang w:val="en-GB"/>
        </w:rPr>
        <w:t xml:space="preserve">, E., </w:t>
      </w:r>
      <w:proofErr w:type="spellStart"/>
      <w:r w:rsidRPr="009E1D3D">
        <w:rPr>
          <w:rFonts w:cs="Arial"/>
          <w:szCs w:val="19"/>
          <w:lang w:val="en-GB"/>
        </w:rPr>
        <w:t>Dimitrova</w:t>
      </w:r>
      <w:proofErr w:type="spellEnd"/>
      <w:r w:rsidRPr="009E1D3D">
        <w:rPr>
          <w:rFonts w:cs="Arial"/>
          <w:szCs w:val="19"/>
          <w:lang w:val="en-GB"/>
        </w:rPr>
        <w:t xml:space="preserve">, A. and Fagan, A. (2014) The ‘Old’ and the ‘New’ Europeans: Analyses of Public Opinion on EU Enlargement in Review (MAXCAP Working Paper 2), available at </w:t>
      </w:r>
      <w:hyperlink r:id="rId16" w:history="1">
        <w:r w:rsidRPr="009E1D3D">
          <w:rPr>
            <w:rStyle w:val="Hyperlink"/>
            <w:rFonts w:cs="Arial"/>
            <w:szCs w:val="19"/>
            <w:lang w:val="en-GB"/>
          </w:rPr>
          <w:t>http://userpage.fu-berlin.de/kfgeu/maxcap/system/files/maxcap_wp_02.pdf</w:t>
        </w:r>
      </w:hyperlink>
      <w:r w:rsidRPr="009E1D3D">
        <w:rPr>
          <w:rFonts w:cs="Arial"/>
          <w:szCs w:val="19"/>
          <w:lang w:val="en-GB"/>
        </w:rPr>
        <w:t>.</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Trauner</w:t>
      </w:r>
      <w:proofErr w:type="spellEnd"/>
      <w:r w:rsidRPr="009E1D3D">
        <w:rPr>
          <w:rFonts w:cs="Arial"/>
          <w:szCs w:val="19"/>
          <w:lang w:val="en-GB"/>
        </w:rPr>
        <w:t xml:space="preserve">, F. (2009) ‘From Membership Conditionality to Policy Conditionality: EU External Governance in South Eastern Europe’, </w:t>
      </w:r>
      <w:r w:rsidRPr="009E1D3D">
        <w:rPr>
          <w:rFonts w:cs="Arial"/>
          <w:i/>
          <w:szCs w:val="19"/>
          <w:lang w:val="en-GB"/>
        </w:rPr>
        <w:t>Journal of European Public Policy</w:t>
      </w:r>
      <w:r w:rsidRPr="009E1D3D">
        <w:rPr>
          <w:rFonts w:cs="Arial"/>
          <w:szCs w:val="19"/>
          <w:lang w:val="en-GB"/>
        </w:rPr>
        <w:t xml:space="preserve"> 16(5): 774-790.</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Vachudova</w:t>
      </w:r>
      <w:proofErr w:type="spellEnd"/>
      <w:r w:rsidRPr="009E1D3D">
        <w:rPr>
          <w:rFonts w:cs="Arial"/>
          <w:szCs w:val="19"/>
          <w:lang w:val="en-GB"/>
        </w:rPr>
        <w:t xml:space="preserve">, M. (2005) </w:t>
      </w:r>
      <w:r w:rsidRPr="009E1D3D">
        <w:rPr>
          <w:rFonts w:cs="Arial"/>
          <w:i/>
          <w:szCs w:val="19"/>
          <w:lang w:val="en-GB"/>
        </w:rPr>
        <w:t>Europe Undivided: Democracy, Leverage, and Integration since 1989</w:t>
      </w:r>
      <w:r w:rsidRPr="009E1D3D">
        <w:rPr>
          <w:rFonts w:cs="Arial"/>
          <w:szCs w:val="19"/>
          <w:lang w:val="en-GB"/>
        </w:rPr>
        <w:t>. Oxford: Oxford University Press.</w:t>
      </w:r>
    </w:p>
    <w:p w:rsidR="00C37412" w:rsidRPr="009E1D3D" w:rsidRDefault="00C37412" w:rsidP="000D11B5">
      <w:pPr>
        <w:spacing w:line="480" w:lineRule="auto"/>
        <w:jc w:val="both"/>
        <w:rPr>
          <w:rFonts w:cs="Arial"/>
          <w:szCs w:val="19"/>
          <w:lang w:val="en-GB"/>
        </w:rPr>
      </w:pPr>
      <w:proofErr w:type="spellStart"/>
      <w:r w:rsidRPr="009E1D3D">
        <w:rPr>
          <w:rFonts w:cs="Arial"/>
          <w:szCs w:val="19"/>
          <w:lang w:val="en-GB"/>
        </w:rPr>
        <w:t>Vachudova</w:t>
      </w:r>
      <w:proofErr w:type="spellEnd"/>
      <w:r w:rsidRPr="009E1D3D">
        <w:rPr>
          <w:rFonts w:cs="Arial"/>
          <w:szCs w:val="19"/>
          <w:lang w:val="en-GB"/>
        </w:rPr>
        <w:t xml:space="preserve">, M. (2014) ‘EU Leverage and National Interests in the Western Balkans: The Puzzles of Enlargement Ten Years On’, </w:t>
      </w:r>
      <w:r w:rsidRPr="009E1D3D">
        <w:rPr>
          <w:rFonts w:cs="Arial"/>
          <w:i/>
          <w:szCs w:val="19"/>
          <w:lang w:val="en-GB"/>
        </w:rPr>
        <w:t xml:space="preserve">Journal of Common Market Studies </w:t>
      </w:r>
      <w:r w:rsidRPr="009E1D3D">
        <w:rPr>
          <w:rFonts w:cs="Arial"/>
          <w:szCs w:val="19"/>
          <w:lang w:val="en-GB"/>
        </w:rPr>
        <w:t>52(1): 122-138.</w:t>
      </w:r>
    </w:p>
    <w:p w:rsidR="00C37412" w:rsidRPr="009E1D3D" w:rsidRDefault="00C37412" w:rsidP="000D11B5">
      <w:pPr>
        <w:spacing w:line="480" w:lineRule="auto"/>
        <w:jc w:val="both"/>
        <w:rPr>
          <w:rFonts w:cs="Arial"/>
          <w:szCs w:val="19"/>
          <w:lang w:val="en-GB"/>
        </w:rPr>
      </w:pPr>
      <w:r w:rsidRPr="009E1D3D">
        <w:rPr>
          <w:rFonts w:cs="Arial"/>
          <w:szCs w:val="19"/>
          <w:lang w:val="en-GB"/>
        </w:rPr>
        <w:t xml:space="preserve">Yilmaz, G. (2016) </w:t>
      </w:r>
      <w:r w:rsidR="005A7A9D">
        <w:rPr>
          <w:rFonts w:cs="Arial"/>
          <w:szCs w:val="19"/>
          <w:lang w:val="en-GB"/>
        </w:rPr>
        <w:t>‘</w:t>
      </w:r>
      <w:r w:rsidRPr="009E1D3D">
        <w:rPr>
          <w:rFonts w:cs="Arial"/>
          <w:szCs w:val="19"/>
          <w:lang w:val="en-GB"/>
        </w:rPr>
        <w:t>From Europeanization to De-Europeanization: The Europeanization Process of Turkey in 1999-2014</w:t>
      </w:r>
      <w:r w:rsidR="005A7A9D">
        <w:rPr>
          <w:rFonts w:cs="Arial"/>
          <w:szCs w:val="19"/>
          <w:lang w:val="en-GB"/>
        </w:rPr>
        <w:t>’</w:t>
      </w:r>
      <w:r w:rsidRPr="009E1D3D">
        <w:rPr>
          <w:rFonts w:cs="Arial"/>
          <w:szCs w:val="19"/>
          <w:lang w:val="en-GB"/>
        </w:rPr>
        <w:t xml:space="preserve">, </w:t>
      </w:r>
      <w:r w:rsidRPr="009E1D3D">
        <w:rPr>
          <w:rFonts w:cs="Arial"/>
          <w:i/>
          <w:szCs w:val="19"/>
          <w:lang w:val="en-GB"/>
        </w:rPr>
        <w:t>Journal of Contemporary European Studies</w:t>
      </w:r>
      <w:r w:rsidRPr="009E1D3D">
        <w:rPr>
          <w:rFonts w:cs="Arial"/>
          <w:szCs w:val="19"/>
          <w:lang w:val="en-GB"/>
        </w:rPr>
        <w:t xml:space="preserve"> 24(1): 86-100.</w:t>
      </w:r>
    </w:p>
    <w:p w:rsidR="00C37412" w:rsidRPr="009E1D3D" w:rsidRDefault="00C37412" w:rsidP="000D11B5">
      <w:pPr>
        <w:spacing w:line="480" w:lineRule="auto"/>
        <w:jc w:val="both"/>
        <w:rPr>
          <w:rFonts w:cs="Arial"/>
          <w:szCs w:val="19"/>
          <w:lang w:val="en-GB"/>
        </w:rPr>
      </w:pPr>
      <w:r w:rsidRPr="009E1D3D">
        <w:rPr>
          <w:rFonts w:cs="Arial"/>
          <w:szCs w:val="19"/>
          <w:lang w:val="en-GB"/>
        </w:rPr>
        <w:t xml:space="preserve">Yilmaz, G. and </w:t>
      </w:r>
      <w:proofErr w:type="spellStart"/>
      <w:r w:rsidRPr="009E1D3D">
        <w:rPr>
          <w:rFonts w:cs="Arial"/>
          <w:szCs w:val="19"/>
          <w:lang w:val="en-GB"/>
        </w:rPr>
        <w:t>Soyaltin</w:t>
      </w:r>
      <w:proofErr w:type="spellEnd"/>
      <w:r w:rsidRPr="009E1D3D">
        <w:rPr>
          <w:rFonts w:cs="Arial"/>
          <w:szCs w:val="19"/>
          <w:lang w:val="en-GB"/>
        </w:rPr>
        <w:t xml:space="preserve">, D. (2014) ‘Zooming into the “Domestic” in Europeanization: Promotion of Fight against Corruption and Minority Rights in Turkey’, </w:t>
      </w:r>
      <w:r w:rsidRPr="009E1D3D">
        <w:rPr>
          <w:rFonts w:cs="Arial"/>
          <w:i/>
          <w:szCs w:val="19"/>
          <w:lang w:val="en-GB"/>
        </w:rPr>
        <w:t xml:space="preserve">Journal of Balkan and Near Eastern Studies </w:t>
      </w:r>
      <w:r w:rsidRPr="009E1D3D">
        <w:rPr>
          <w:rFonts w:cs="Arial"/>
          <w:szCs w:val="19"/>
          <w:lang w:val="en-GB"/>
        </w:rPr>
        <w:t>16(1): 11-29.</w:t>
      </w:r>
    </w:p>
    <w:p w:rsidR="001F3AE6" w:rsidRPr="000D11B5" w:rsidRDefault="00C37412" w:rsidP="006A5430">
      <w:pPr>
        <w:spacing w:line="480" w:lineRule="auto"/>
        <w:jc w:val="both"/>
        <w:rPr>
          <w:rFonts w:cs="Arial"/>
          <w:szCs w:val="19"/>
          <w:lang w:val="en-GB"/>
        </w:rPr>
        <w:sectPr w:rsidR="001F3AE6" w:rsidRPr="000D11B5" w:rsidSect="001F3AE6">
          <w:type w:val="continuous"/>
          <w:pgSz w:w="11906" w:h="16838"/>
          <w:pgMar w:top="1417" w:right="1417" w:bottom="1134" w:left="1417" w:header="708" w:footer="708" w:gutter="0"/>
          <w:cols w:space="708"/>
          <w:titlePg/>
          <w:docGrid w:linePitch="360"/>
        </w:sectPr>
      </w:pPr>
      <w:proofErr w:type="spellStart"/>
      <w:r w:rsidRPr="009E1D3D">
        <w:rPr>
          <w:rFonts w:cs="Arial"/>
          <w:szCs w:val="19"/>
          <w:lang w:val="en-GB"/>
        </w:rPr>
        <w:t>Zhelyazkova</w:t>
      </w:r>
      <w:proofErr w:type="spellEnd"/>
      <w:r w:rsidRPr="009E1D3D">
        <w:rPr>
          <w:rFonts w:cs="Arial"/>
          <w:szCs w:val="19"/>
          <w:lang w:val="en-GB"/>
        </w:rPr>
        <w:t xml:space="preserve">, A., </w:t>
      </w:r>
      <w:proofErr w:type="spellStart"/>
      <w:r w:rsidRPr="009E1D3D">
        <w:rPr>
          <w:rFonts w:cs="Arial"/>
          <w:szCs w:val="19"/>
          <w:lang w:val="en-GB"/>
        </w:rPr>
        <w:t>Damjanovski</w:t>
      </w:r>
      <w:proofErr w:type="spellEnd"/>
      <w:r w:rsidRPr="009E1D3D">
        <w:rPr>
          <w:rFonts w:cs="Arial"/>
          <w:szCs w:val="19"/>
          <w:lang w:val="en-GB"/>
        </w:rPr>
        <w:t xml:space="preserve">, I., </w:t>
      </w:r>
      <w:proofErr w:type="spellStart"/>
      <w:r w:rsidRPr="009E1D3D">
        <w:rPr>
          <w:rFonts w:cs="Arial"/>
          <w:szCs w:val="19"/>
          <w:lang w:val="en-GB"/>
        </w:rPr>
        <w:t>Nechev</w:t>
      </w:r>
      <w:proofErr w:type="spellEnd"/>
      <w:r w:rsidRPr="009E1D3D">
        <w:rPr>
          <w:rFonts w:cs="Arial"/>
          <w:szCs w:val="19"/>
          <w:lang w:val="en-GB"/>
        </w:rPr>
        <w:t xml:space="preserve">, Z. and </w:t>
      </w:r>
      <w:proofErr w:type="spellStart"/>
      <w:r w:rsidRPr="009E1D3D">
        <w:rPr>
          <w:rFonts w:cs="Arial"/>
          <w:szCs w:val="19"/>
          <w:lang w:val="en-GB"/>
        </w:rPr>
        <w:t>Schimmelfennig</w:t>
      </w:r>
      <w:proofErr w:type="spellEnd"/>
      <w:r w:rsidRPr="009E1D3D">
        <w:rPr>
          <w:rFonts w:cs="Arial"/>
          <w:szCs w:val="19"/>
          <w:lang w:val="en-GB"/>
        </w:rPr>
        <w:t>, F. (201</w:t>
      </w:r>
      <w:r>
        <w:rPr>
          <w:rFonts w:cs="Arial"/>
          <w:szCs w:val="19"/>
          <w:lang w:val="en-GB"/>
        </w:rPr>
        <w:t>8</w:t>
      </w:r>
      <w:r w:rsidRPr="009E1D3D">
        <w:rPr>
          <w:rFonts w:cs="Arial"/>
          <w:szCs w:val="19"/>
          <w:lang w:val="en-GB"/>
        </w:rPr>
        <w:t xml:space="preserve">) </w:t>
      </w:r>
      <w:r w:rsidR="005A7A9D">
        <w:rPr>
          <w:rFonts w:cs="Arial"/>
          <w:szCs w:val="19"/>
          <w:lang w:val="en-GB"/>
        </w:rPr>
        <w:t>‘</w:t>
      </w:r>
      <w:r w:rsidRPr="009E1D3D">
        <w:rPr>
          <w:rFonts w:cs="Arial"/>
          <w:szCs w:val="19"/>
          <w:lang w:val="en-GB"/>
        </w:rPr>
        <w:t>European Union Conditionality in the Western Balkans: External Incentives and Europeanisation</w:t>
      </w:r>
      <w:r w:rsidR="005A7A9D">
        <w:rPr>
          <w:rFonts w:cs="Arial"/>
          <w:szCs w:val="19"/>
          <w:lang w:val="en-GB"/>
        </w:rPr>
        <w:t>’</w:t>
      </w:r>
      <w:r w:rsidRPr="009E1D3D">
        <w:rPr>
          <w:rFonts w:cs="Arial"/>
          <w:szCs w:val="19"/>
          <w:lang w:val="en-GB"/>
        </w:rPr>
        <w:t xml:space="preserve">, </w:t>
      </w:r>
      <w:r>
        <w:rPr>
          <w:rFonts w:cs="Arial"/>
          <w:szCs w:val="19"/>
          <w:lang w:val="en-GB"/>
        </w:rPr>
        <w:t xml:space="preserve">in </w:t>
      </w:r>
      <w:proofErr w:type="spellStart"/>
      <w:r>
        <w:rPr>
          <w:rFonts w:cs="Arial"/>
          <w:szCs w:val="19"/>
          <w:lang w:val="en-GB"/>
        </w:rPr>
        <w:t>Dzankic</w:t>
      </w:r>
      <w:proofErr w:type="spellEnd"/>
      <w:r>
        <w:rPr>
          <w:rFonts w:cs="Arial"/>
          <w:szCs w:val="19"/>
          <w:lang w:val="en-GB"/>
        </w:rPr>
        <w:t xml:space="preserve">, J., </w:t>
      </w:r>
      <w:proofErr w:type="spellStart"/>
      <w:r>
        <w:rPr>
          <w:rFonts w:cs="Arial"/>
          <w:szCs w:val="19"/>
          <w:lang w:val="en-GB"/>
        </w:rPr>
        <w:t>Keil</w:t>
      </w:r>
      <w:proofErr w:type="spellEnd"/>
      <w:r>
        <w:rPr>
          <w:rFonts w:cs="Arial"/>
          <w:szCs w:val="19"/>
          <w:lang w:val="en-GB"/>
        </w:rPr>
        <w:t xml:space="preserve">, S. and </w:t>
      </w:r>
      <w:proofErr w:type="spellStart"/>
      <w:r>
        <w:rPr>
          <w:rFonts w:cs="Arial"/>
          <w:szCs w:val="19"/>
          <w:lang w:val="en-GB"/>
        </w:rPr>
        <w:t>Kmezic</w:t>
      </w:r>
      <w:proofErr w:type="spellEnd"/>
      <w:r>
        <w:rPr>
          <w:rFonts w:cs="Arial"/>
          <w:szCs w:val="19"/>
          <w:lang w:val="en-GB"/>
        </w:rPr>
        <w:t xml:space="preserve">, M. (eds.) </w:t>
      </w:r>
      <w:r w:rsidRPr="00A061E2">
        <w:rPr>
          <w:rFonts w:cs="Arial"/>
          <w:i/>
          <w:szCs w:val="19"/>
          <w:lang w:val="en-GB"/>
        </w:rPr>
        <w:t>The Europeanisation of the Western Balkans. A Failure of EU Conditionality</w:t>
      </w:r>
      <w:r>
        <w:rPr>
          <w:rFonts w:cs="Arial"/>
          <w:i/>
          <w:szCs w:val="19"/>
          <w:lang w:val="en-GB"/>
        </w:rPr>
        <w:t>?</w:t>
      </w:r>
      <w:r>
        <w:rPr>
          <w:rFonts w:cs="Arial"/>
          <w:szCs w:val="19"/>
          <w:lang w:val="en-GB"/>
        </w:rPr>
        <w:t xml:space="preserve"> Springer</w:t>
      </w:r>
      <w:r w:rsidR="00A4372F">
        <w:rPr>
          <w:rFonts w:cs="Arial"/>
          <w:szCs w:val="19"/>
          <w:lang w:val="en-GB"/>
        </w:rPr>
        <w:t>, 15-37</w:t>
      </w:r>
      <w:r>
        <w:rPr>
          <w:rFonts w:cs="Arial"/>
          <w:szCs w:val="19"/>
          <w:lang w:val="en-GB"/>
        </w:rPr>
        <w:t>.</w:t>
      </w:r>
      <w:r w:rsidR="00A4372F" w:rsidRPr="00A4372F">
        <w:rPr>
          <w:rFonts w:cs="Arial"/>
          <w:szCs w:val="19"/>
          <w:lang w:val="en-GB"/>
        </w:rPr>
        <w:t xml:space="preserve"> </w:t>
      </w:r>
    </w:p>
    <w:p w:rsidR="008D4EAB" w:rsidRPr="009E1D3D" w:rsidRDefault="008D4EAB" w:rsidP="008D4EAB">
      <w:pPr>
        <w:spacing w:line="480" w:lineRule="auto"/>
        <w:jc w:val="both"/>
        <w:rPr>
          <w:lang w:val="en-GB"/>
        </w:rPr>
      </w:pPr>
      <w:proofErr w:type="spellStart"/>
      <w:r w:rsidRPr="009E1D3D">
        <w:rPr>
          <w:lang w:val="en-GB"/>
        </w:rPr>
        <w:t>Zhelyazkova</w:t>
      </w:r>
      <w:proofErr w:type="spellEnd"/>
      <w:r w:rsidRPr="009E1D3D">
        <w:rPr>
          <w:lang w:val="en-GB"/>
        </w:rPr>
        <w:t xml:space="preserve">, A., </w:t>
      </w:r>
      <w:r>
        <w:rPr>
          <w:lang w:val="en-GB"/>
        </w:rPr>
        <w:t>Kaya, C., and</w:t>
      </w:r>
      <w:r w:rsidRPr="009E1D3D">
        <w:rPr>
          <w:lang w:val="en-GB"/>
        </w:rPr>
        <w:t xml:space="preserve"> </w:t>
      </w:r>
      <w:proofErr w:type="spellStart"/>
      <w:r w:rsidRPr="009E1D3D">
        <w:rPr>
          <w:lang w:val="en-GB"/>
        </w:rPr>
        <w:t>Schrama</w:t>
      </w:r>
      <w:proofErr w:type="spellEnd"/>
      <w:r w:rsidRPr="009E1D3D">
        <w:rPr>
          <w:lang w:val="en-GB"/>
        </w:rPr>
        <w:t xml:space="preserve">, R. (2017) ‘Notified and substantive compliance with EU law in enlarged Europe: evidence from four policy areas’, </w:t>
      </w:r>
      <w:r w:rsidRPr="009E1D3D">
        <w:rPr>
          <w:i/>
          <w:lang w:val="en-GB"/>
        </w:rPr>
        <w:t>Journal of European Public Policy</w:t>
      </w:r>
      <w:r w:rsidRPr="009E1D3D">
        <w:rPr>
          <w:lang w:val="en-GB"/>
        </w:rPr>
        <w:t xml:space="preserve"> 24(2): 216-238.</w:t>
      </w:r>
    </w:p>
    <w:p w:rsidR="001F3AE6" w:rsidRPr="000D11B5" w:rsidRDefault="001F3AE6" w:rsidP="000D11B5">
      <w:pPr>
        <w:spacing w:line="480" w:lineRule="auto"/>
        <w:jc w:val="both"/>
        <w:rPr>
          <w:b/>
          <w:lang w:val="en-GB"/>
        </w:rPr>
      </w:pPr>
    </w:p>
    <w:sectPr w:rsidR="001F3AE6" w:rsidRPr="000D11B5" w:rsidSect="001F3AE6">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AB" w:rsidRDefault="00EA39AB" w:rsidP="00477200">
      <w:pPr>
        <w:spacing w:after="0" w:line="240" w:lineRule="auto"/>
      </w:pPr>
      <w:r>
        <w:separator/>
      </w:r>
    </w:p>
  </w:endnote>
  <w:endnote w:type="continuationSeparator" w:id="0">
    <w:p w:rsidR="00EA39AB" w:rsidRDefault="00EA39AB" w:rsidP="00477200">
      <w:pPr>
        <w:spacing w:after="0" w:line="240" w:lineRule="auto"/>
      </w:pPr>
      <w:r>
        <w:continuationSeparator/>
      </w:r>
    </w:p>
  </w:endnote>
  <w:endnote w:id="1">
    <w:p w:rsidR="00C237AA" w:rsidRPr="00A061E2" w:rsidRDefault="00C237AA" w:rsidP="001F3AE6">
      <w:pPr>
        <w:pStyle w:val="EndnoteText"/>
        <w:spacing w:line="480" w:lineRule="auto"/>
        <w:rPr>
          <w:lang w:val="en-GB"/>
        </w:rPr>
      </w:pPr>
      <w:r>
        <w:rPr>
          <w:rStyle w:val="EndnoteReference"/>
        </w:rPr>
        <w:endnoteRef/>
      </w:r>
      <w:r>
        <w:t xml:space="preserve"> </w:t>
      </w:r>
      <w:r>
        <w:rPr>
          <w:lang w:val="en-GB"/>
        </w:rPr>
        <w:t>Possible exceptions are the conditions to qualify for Eurozone membership, as well as the link that some member states have made between progress in fighting corruption and Schengen membership (which requires a unanimous decision of its members), although it is not a formal EU position.</w:t>
      </w:r>
    </w:p>
  </w:endnote>
  <w:endnote w:id="2">
    <w:p w:rsidR="00C237AA" w:rsidRPr="009C7C66" w:rsidRDefault="00C237AA" w:rsidP="001F3AE6">
      <w:pPr>
        <w:pStyle w:val="EndnoteText"/>
        <w:spacing w:line="480" w:lineRule="auto"/>
        <w:rPr>
          <w:lang w:val="en-US"/>
        </w:rPr>
      </w:pPr>
      <w:r>
        <w:rPr>
          <w:rStyle w:val="EndnoteReference"/>
        </w:rPr>
        <w:endnoteRef/>
      </w:r>
      <w:r w:rsidRPr="009C7C66">
        <w:rPr>
          <w:lang w:val="en-US"/>
        </w:rPr>
        <w:t xml:space="preserve"> </w:t>
      </w:r>
      <w:r>
        <w:rPr>
          <w:lang w:val="en-US"/>
        </w:rPr>
        <w:t xml:space="preserve">See </w:t>
      </w:r>
      <w:hyperlink r:id="rId1" w:history="1">
        <w:r w:rsidRPr="00797AF2">
          <w:rPr>
            <w:rStyle w:val="Hyperlink"/>
            <w:lang w:val="en-US"/>
          </w:rPr>
          <w:t>http://ec.europa.eu/trade/policy/countries-and-regions/regions/western-balkans/</w:t>
        </w:r>
      </w:hyperlink>
      <w:r>
        <w:rPr>
          <w:lang w:val="en-US"/>
        </w:rPr>
        <w:t xml:space="preserve"> (accessed 5 May 2019).</w:t>
      </w:r>
    </w:p>
  </w:endnote>
  <w:endnote w:id="3">
    <w:p w:rsidR="00C237AA" w:rsidRPr="004F1184" w:rsidRDefault="00C237AA" w:rsidP="001F3AE6">
      <w:pPr>
        <w:pStyle w:val="EndnoteText"/>
        <w:spacing w:line="480" w:lineRule="auto"/>
        <w:rPr>
          <w:lang w:val="en-US"/>
        </w:rPr>
      </w:pPr>
      <w:r>
        <w:rPr>
          <w:rStyle w:val="EndnoteReference"/>
        </w:rPr>
        <w:endnoteRef/>
      </w:r>
      <w:r w:rsidRPr="004F1184">
        <w:rPr>
          <w:lang w:val="en-US"/>
        </w:rPr>
        <w:t xml:space="preserve"> </w:t>
      </w:r>
      <w:r w:rsidRPr="0025287E">
        <w:t xml:space="preserve"> </w:t>
      </w:r>
      <w:hyperlink r:id="rId2" w:history="1">
        <w:r w:rsidRPr="00797AF2">
          <w:rPr>
            <w:rStyle w:val="Hyperlink"/>
            <w:lang w:val="en-US"/>
          </w:rPr>
          <w:t>https://webgate.ec.europa.eu/isdb_results/factsheets/country/details_turkey_en.pdf</w:t>
        </w:r>
      </w:hyperlink>
      <w:r>
        <w:rPr>
          <w:lang w:val="en-US"/>
        </w:rPr>
        <w:t xml:space="preserve"> (accessed 5 May 2019).</w:t>
      </w:r>
    </w:p>
  </w:endnote>
  <w:endnote w:id="4">
    <w:p w:rsidR="00C237AA" w:rsidRPr="000D11B5" w:rsidRDefault="00C237AA" w:rsidP="001F3AE6">
      <w:pPr>
        <w:pStyle w:val="EndnoteText"/>
        <w:spacing w:line="480" w:lineRule="auto"/>
        <w:rPr>
          <w:lang w:val="en-GB"/>
        </w:rPr>
      </w:pPr>
      <w:r>
        <w:rPr>
          <w:rStyle w:val="EndnoteReference"/>
        </w:rPr>
        <w:endnoteRef/>
      </w:r>
      <w:r>
        <w:t xml:space="preserve"> </w:t>
      </w:r>
      <w:r w:rsidRPr="000D11B5">
        <w:rPr>
          <w:lang w:val="en-GB"/>
        </w:rPr>
        <w:t xml:space="preserve">A referendum is necessary unless the National Assembly and the Senate, meeting as the Congress of the French Parliament, endorse accession with a 3/5 majority.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panose1 w:val="020B0604020202020204"/>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C6" w:rsidRDefault="00C773C6" w:rsidP="00F736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3C6" w:rsidRDefault="00C77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C6" w:rsidRDefault="00C773C6" w:rsidP="00F736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C32">
      <w:rPr>
        <w:rStyle w:val="PageNumber"/>
        <w:noProof/>
      </w:rPr>
      <w:t>30</w:t>
    </w:r>
    <w:r>
      <w:rPr>
        <w:rStyle w:val="PageNumber"/>
      </w:rPr>
      <w:fldChar w:fldCharType="end"/>
    </w:r>
  </w:p>
  <w:p w:rsidR="00C773C6" w:rsidRDefault="00C77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555904"/>
      <w:docPartObj>
        <w:docPartGallery w:val="Page Numbers (Bottom of Page)"/>
        <w:docPartUnique/>
      </w:docPartObj>
    </w:sdtPr>
    <w:sdtEndPr>
      <w:rPr>
        <w:noProof/>
      </w:rPr>
    </w:sdtEndPr>
    <w:sdtContent>
      <w:p w:rsidR="00C773C6" w:rsidRDefault="00C773C6">
        <w:pPr>
          <w:pStyle w:val="Footer"/>
          <w:jc w:val="center"/>
        </w:pPr>
        <w:r>
          <w:fldChar w:fldCharType="begin"/>
        </w:r>
        <w:r>
          <w:instrText xml:space="preserve"> PAGE   \* MERGEFORMAT </w:instrText>
        </w:r>
        <w:r>
          <w:fldChar w:fldCharType="separate"/>
        </w:r>
        <w:r w:rsidR="001F3AE6">
          <w:rPr>
            <w:noProof/>
          </w:rPr>
          <w:t>1</w:t>
        </w:r>
        <w:r>
          <w:rPr>
            <w:noProof/>
          </w:rPr>
          <w:fldChar w:fldCharType="end"/>
        </w:r>
      </w:p>
    </w:sdtContent>
  </w:sdt>
  <w:p w:rsidR="00C773C6" w:rsidRDefault="00C77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AB" w:rsidRDefault="00EA39AB" w:rsidP="00477200">
      <w:pPr>
        <w:spacing w:after="0" w:line="240" w:lineRule="auto"/>
      </w:pPr>
      <w:r>
        <w:separator/>
      </w:r>
    </w:p>
  </w:footnote>
  <w:footnote w:type="continuationSeparator" w:id="0">
    <w:p w:rsidR="00EA39AB" w:rsidRDefault="00EA39AB" w:rsidP="00477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4F4F75"/>
    <w:multiLevelType w:val="hybridMultilevel"/>
    <w:tmpl w:val="139CD036"/>
    <w:lvl w:ilvl="0" w:tplc="0D641A88">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331521C"/>
    <w:multiLevelType w:val="hybridMultilevel"/>
    <w:tmpl w:val="1AE8955E"/>
    <w:lvl w:ilvl="0" w:tplc="2F0A1AF2">
      <w:start w:val="1"/>
      <w:numFmt w:val="bullet"/>
      <w:lvlText w:val="-"/>
      <w:lvlJc w:val="left"/>
      <w:pPr>
        <w:ind w:left="1080" w:hanging="360"/>
      </w:pPr>
      <w:rPr>
        <w:rFonts w:ascii="Calibri" w:eastAsiaTheme="minorHAnsi" w:hAnsi="Calibri"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6C00194D"/>
    <w:multiLevelType w:val="hybridMultilevel"/>
    <w:tmpl w:val="1BAA9D62"/>
    <w:lvl w:ilvl="0" w:tplc="0E0093FE">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A1D"/>
    <w:rsid w:val="00001164"/>
    <w:rsid w:val="0000237C"/>
    <w:rsid w:val="0000268F"/>
    <w:rsid w:val="00004F69"/>
    <w:rsid w:val="000065FB"/>
    <w:rsid w:val="00010334"/>
    <w:rsid w:val="00011BD5"/>
    <w:rsid w:val="000138D7"/>
    <w:rsid w:val="00013F99"/>
    <w:rsid w:val="000213F9"/>
    <w:rsid w:val="00025231"/>
    <w:rsid w:val="0002677E"/>
    <w:rsid w:val="00027F04"/>
    <w:rsid w:val="0003361C"/>
    <w:rsid w:val="00037A8B"/>
    <w:rsid w:val="00037B90"/>
    <w:rsid w:val="00043B21"/>
    <w:rsid w:val="00044C36"/>
    <w:rsid w:val="00052102"/>
    <w:rsid w:val="00053C06"/>
    <w:rsid w:val="00053E23"/>
    <w:rsid w:val="00056284"/>
    <w:rsid w:val="000577EF"/>
    <w:rsid w:val="0006456E"/>
    <w:rsid w:val="000675E7"/>
    <w:rsid w:val="0008375E"/>
    <w:rsid w:val="00084260"/>
    <w:rsid w:val="00084529"/>
    <w:rsid w:val="000862A8"/>
    <w:rsid w:val="00090AEF"/>
    <w:rsid w:val="0009133F"/>
    <w:rsid w:val="00091843"/>
    <w:rsid w:val="00094B0A"/>
    <w:rsid w:val="000950D8"/>
    <w:rsid w:val="000972C6"/>
    <w:rsid w:val="00097DD2"/>
    <w:rsid w:val="000A36AB"/>
    <w:rsid w:val="000A5001"/>
    <w:rsid w:val="000A5E1E"/>
    <w:rsid w:val="000B0693"/>
    <w:rsid w:val="000B3EEC"/>
    <w:rsid w:val="000B75CB"/>
    <w:rsid w:val="000B77F6"/>
    <w:rsid w:val="000C692D"/>
    <w:rsid w:val="000D0005"/>
    <w:rsid w:val="000D11B5"/>
    <w:rsid w:val="000D4635"/>
    <w:rsid w:val="000D75FB"/>
    <w:rsid w:val="000E0863"/>
    <w:rsid w:val="000E586B"/>
    <w:rsid w:val="000E6662"/>
    <w:rsid w:val="000E6873"/>
    <w:rsid w:val="000F3452"/>
    <w:rsid w:val="000F46B3"/>
    <w:rsid w:val="000F4C42"/>
    <w:rsid w:val="00104E78"/>
    <w:rsid w:val="0010607C"/>
    <w:rsid w:val="001109C6"/>
    <w:rsid w:val="00115EDE"/>
    <w:rsid w:val="001219BF"/>
    <w:rsid w:val="00121A79"/>
    <w:rsid w:val="00121FCE"/>
    <w:rsid w:val="00122407"/>
    <w:rsid w:val="001236DB"/>
    <w:rsid w:val="00123CAB"/>
    <w:rsid w:val="001241BF"/>
    <w:rsid w:val="00124719"/>
    <w:rsid w:val="00125020"/>
    <w:rsid w:val="00132491"/>
    <w:rsid w:val="00134289"/>
    <w:rsid w:val="00136A1C"/>
    <w:rsid w:val="001419EC"/>
    <w:rsid w:val="00141CD2"/>
    <w:rsid w:val="0014431E"/>
    <w:rsid w:val="001478E4"/>
    <w:rsid w:val="00160606"/>
    <w:rsid w:val="0016362A"/>
    <w:rsid w:val="00165A10"/>
    <w:rsid w:val="00166B0E"/>
    <w:rsid w:val="00172C7D"/>
    <w:rsid w:val="0017612A"/>
    <w:rsid w:val="0017711F"/>
    <w:rsid w:val="00181A34"/>
    <w:rsid w:val="0018410B"/>
    <w:rsid w:val="00184B6F"/>
    <w:rsid w:val="001851B8"/>
    <w:rsid w:val="00193137"/>
    <w:rsid w:val="00195330"/>
    <w:rsid w:val="001972C6"/>
    <w:rsid w:val="00197954"/>
    <w:rsid w:val="00197FFC"/>
    <w:rsid w:val="001A12AA"/>
    <w:rsid w:val="001A1CBE"/>
    <w:rsid w:val="001A45B9"/>
    <w:rsid w:val="001A64C6"/>
    <w:rsid w:val="001B1DF0"/>
    <w:rsid w:val="001C19C9"/>
    <w:rsid w:val="001C307E"/>
    <w:rsid w:val="001C364F"/>
    <w:rsid w:val="001C36D1"/>
    <w:rsid w:val="001D5E04"/>
    <w:rsid w:val="001D632F"/>
    <w:rsid w:val="001E31C1"/>
    <w:rsid w:val="001F3460"/>
    <w:rsid w:val="001F3AE6"/>
    <w:rsid w:val="001F4B53"/>
    <w:rsid w:val="002007D8"/>
    <w:rsid w:val="0020442E"/>
    <w:rsid w:val="00206BF2"/>
    <w:rsid w:val="00212E12"/>
    <w:rsid w:val="002173EF"/>
    <w:rsid w:val="00222955"/>
    <w:rsid w:val="002244D9"/>
    <w:rsid w:val="00225433"/>
    <w:rsid w:val="00234362"/>
    <w:rsid w:val="00244930"/>
    <w:rsid w:val="00246256"/>
    <w:rsid w:val="00247A4F"/>
    <w:rsid w:val="00247FB2"/>
    <w:rsid w:val="00250051"/>
    <w:rsid w:val="00250DA6"/>
    <w:rsid w:val="00252288"/>
    <w:rsid w:val="0025287E"/>
    <w:rsid w:val="00254A2F"/>
    <w:rsid w:val="00260041"/>
    <w:rsid w:val="0026166D"/>
    <w:rsid w:val="00265943"/>
    <w:rsid w:val="002673D4"/>
    <w:rsid w:val="00271554"/>
    <w:rsid w:val="0027163D"/>
    <w:rsid w:val="00273BC1"/>
    <w:rsid w:val="00276B6E"/>
    <w:rsid w:val="00277995"/>
    <w:rsid w:val="00284D25"/>
    <w:rsid w:val="00285C49"/>
    <w:rsid w:val="00287A4F"/>
    <w:rsid w:val="00292122"/>
    <w:rsid w:val="0029793E"/>
    <w:rsid w:val="002A2331"/>
    <w:rsid w:val="002A5AF5"/>
    <w:rsid w:val="002A5F72"/>
    <w:rsid w:val="002A7C88"/>
    <w:rsid w:val="002B0AAB"/>
    <w:rsid w:val="002B39F1"/>
    <w:rsid w:val="002B75C9"/>
    <w:rsid w:val="002C2408"/>
    <w:rsid w:val="002C5CE9"/>
    <w:rsid w:val="002C74A7"/>
    <w:rsid w:val="002C7EA5"/>
    <w:rsid w:val="002D156B"/>
    <w:rsid w:val="002D3CA3"/>
    <w:rsid w:val="002D5CCD"/>
    <w:rsid w:val="002D5CF8"/>
    <w:rsid w:val="002D7901"/>
    <w:rsid w:val="002E1DFA"/>
    <w:rsid w:val="002E3C32"/>
    <w:rsid w:val="002E6FA5"/>
    <w:rsid w:val="002E76DE"/>
    <w:rsid w:val="002E7CEC"/>
    <w:rsid w:val="002F69EF"/>
    <w:rsid w:val="003004D7"/>
    <w:rsid w:val="00303C12"/>
    <w:rsid w:val="00314F22"/>
    <w:rsid w:val="00315D3F"/>
    <w:rsid w:val="00316462"/>
    <w:rsid w:val="00320577"/>
    <w:rsid w:val="00321C9F"/>
    <w:rsid w:val="003248D0"/>
    <w:rsid w:val="0033082C"/>
    <w:rsid w:val="003320D4"/>
    <w:rsid w:val="00332A50"/>
    <w:rsid w:val="0033382D"/>
    <w:rsid w:val="00334B9C"/>
    <w:rsid w:val="00335F6F"/>
    <w:rsid w:val="003438C1"/>
    <w:rsid w:val="00345297"/>
    <w:rsid w:val="003573AF"/>
    <w:rsid w:val="00361CD1"/>
    <w:rsid w:val="0036334D"/>
    <w:rsid w:val="00363646"/>
    <w:rsid w:val="00367B35"/>
    <w:rsid w:val="003707A8"/>
    <w:rsid w:val="00372D13"/>
    <w:rsid w:val="0037663D"/>
    <w:rsid w:val="0038117C"/>
    <w:rsid w:val="003828D6"/>
    <w:rsid w:val="003836FB"/>
    <w:rsid w:val="00384484"/>
    <w:rsid w:val="00387B5F"/>
    <w:rsid w:val="00394A51"/>
    <w:rsid w:val="00394E49"/>
    <w:rsid w:val="003A1715"/>
    <w:rsid w:val="003A36BE"/>
    <w:rsid w:val="003A4394"/>
    <w:rsid w:val="003A5F50"/>
    <w:rsid w:val="003A6099"/>
    <w:rsid w:val="003B06A9"/>
    <w:rsid w:val="003B08E1"/>
    <w:rsid w:val="003B0975"/>
    <w:rsid w:val="003B3911"/>
    <w:rsid w:val="003B400C"/>
    <w:rsid w:val="003B54E0"/>
    <w:rsid w:val="003B71EC"/>
    <w:rsid w:val="003C37EE"/>
    <w:rsid w:val="003C6A39"/>
    <w:rsid w:val="003C6E07"/>
    <w:rsid w:val="003C7532"/>
    <w:rsid w:val="003D01F8"/>
    <w:rsid w:val="003D6E0C"/>
    <w:rsid w:val="003E1607"/>
    <w:rsid w:val="003E325E"/>
    <w:rsid w:val="003E409E"/>
    <w:rsid w:val="003E68EE"/>
    <w:rsid w:val="003F069D"/>
    <w:rsid w:val="003F4A50"/>
    <w:rsid w:val="003F5F05"/>
    <w:rsid w:val="003F5F13"/>
    <w:rsid w:val="003F7A74"/>
    <w:rsid w:val="004035C8"/>
    <w:rsid w:val="0040471A"/>
    <w:rsid w:val="0041113D"/>
    <w:rsid w:val="00417700"/>
    <w:rsid w:val="004204CC"/>
    <w:rsid w:val="00425123"/>
    <w:rsid w:val="004308B3"/>
    <w:rsid w:val="00432201"/>
    <w:rsid w:val="00434C3F"/>
    <w:rsid w:val="00436AA7"/>
    <w:rsid w:val="0043738E"/>
    <w:rsid w:val="004379DE"/>
    <w:rsid w:val="004437E7"/>
    <w:rsid w:val="00443AB2"/>
    <w:rsid w:val="00447258"/>
    <w:rsid w:val="004526A6"/>
    <w:rsid w:val="00455EF7"/>
    <w:rsid w:val="004624D3"/>
    <w:rsid w:val="00473A1D"/>
    <w:rsid w:val="00473B85"/>
    <w:rsid w:val="004760F8"/>
    <w:rsid w:val="00477200"/>
    <w:rsid w:val="00477FD6"/>
    <w:rsid w:val="00482A01"/>
    <w:rsid w:val="00490F42"/>
    <w:rsid w:val="00491CEF"/>
    <w:rsid w:val="00494CC2"/>
    <w:rsid w:val="004966A7"/>
    <w:rsid w:val="004973AD"/>
    <w:rsid w:val="004A0012"/>
    <w:rsid w:val="004A0497"/>
    <w:rsid w:val="004A2663"/>
    <w:rsid w:val="004A5705"/>
    <w:rsid w:val="004C0A16"/>
    <w:rsid w:val="004C1796"/>
    <w:rsid w:val="004C5CBC"/>
    <w:rsid w:val="004D37B8"/>
    <w:rsid w:val="004E0F2C"/>
    <w:rsid w:val="004E1830"/>
    <w:rsid w:val="004E22B9"/>
    <w:rsid w:val="004E350D"/>
    <w:rsid w:val="004F487E"/>
    <w:rsid w:val="004F5154"/>
    <w:rsid w:val="004F6C87"/>
    <w:rsid w:val="00500C90"/>
    <w:rsid w:val="00505A57"/>
    <w:rsid w:val="00506417"/>
    <w:rsid w:val="005100D4"/>
    <w:rsid w:val="00514BCC"/>
    <w:rsid w:val="00514C48"/>
    <w:rsid w:val="005216EC"/>
    <w:rsid w:val="005238C2"/>
    <w:rsid w:val="0052412F"/>
    <w:rsid w:val="0053658C"/>
    <w:rsid w:val="005438F2"/>
    <w:rsid w:val="005470B9"/>
    <w:rsid w:val="00550307"/>
    <w:rsid w:val="005535FD"/>
    <w:rsid w:val="00557AFE"/>
    <w:rsid w:val="0056262B"/>
    <w:rsid w:val="00563052"/>
    <w:rsid w:val="00567477"/>
    <w:rsid w:val="00567FC5"/>
    <w:rsid w:val="00572BF6"/>
    <w:rsid w:val="00573BFE"/>
    <w:rsid w:val="00577734"/>
    <w:rsid w:val="00580255"/>
    <w:rsid w:val="0058435A"/>
    <w:rsid w:val="00591372"/>
    <w:rsid w:val="005922EE"/>
    <w:rsid w:val="005949F9"/>
    <w:rsid w:val="005959DB"/>
    <w:rsid w:val="005A2D8F"/>
    <w:rsid w:val="005A44DE"/>
    <w:rsid w:val="005A51D4"/>
    <w:rsid w:val="005A6210"/>
    <w:rsid w:val="005A7A9D"/>
    <w:rsid w:val="005B6138"/>
    <w:rsid w:val="005B64A2"/>
    <w:rsid w:val="005C026D"/>
    <w:rsid w:val="005C027C"/>
    <w:rsid w:val="005C1FF9"/>
    <w:rsid w:val="005C3DA2"/>
    <w:rsid w:val="005D233D"/>
    <w:rsid w:val="005D47FA"/>
    <w:rsid w:val="005E1260"/>
    <w:rsid w:val="005E2C10"/>
    <w:rsid w:val="005F31B3"/>
    <w:rsid w:val="005F5BEF"/>
    <w:rsid w:val="005F7E07"/>
    <w:rsid w:val="006070ED"/>
    <w:rsid w:val="0060772C"/>
    <w:rsid w:val="00611283"/>
    <w:rsid w:val="0061398A"/>
    <w:rsid w:val="006159BB"/>
    <w:rsid w:val="00617D07"/>
    <w:rsid w:val="0063390E"/>
    <w:rsid w:val="00633EA0"/>
    <w:rsid w:val="00635FAD"/>
    <w:rsid w:val="00637BD1"/>
    <w:rsid w:val="00642AA5"/>
    <w:rsid w:val="006435AC"/>
    <w:rsid w:val="00644001"/>
    <w:rsid w:val="00644429"/>
    <w:rsid w:val="006540F8"/>
    <w:rsid w:val="00657BFA"/>
    <w:rsid w:val="00660AB4"/>
    <w:rsid w:val="00674F3E"/>
    <w:rsid w:val="0067579F"/>
    <w:rsid w:val="00676B5B"/>
    <w:rsid w:val="00681820"/>
    <w:rsid w:val="006826C0"/>
    <w:rsid w:val="00690752"/>
    <w:rsid w:val="00692568"/>
    <w:rsid w:val="006939D0"/>
    <w:rsid w:val="00697491"/>
    <w:rsid w:val="00697A3F"/>
    <w:rsid w:val="006A2136"/>
    <w:rsid w:val="006A3F14"/>
    <w:rsid w:val="006A5430"/>
    <w:rsid w:val="006A5940"/>
    <w:rsid w:val="006B1035"/>
    <w:rsid w:val="006B22F7"/>
    <w:rsid w:val="006B26E4"/>
    <w:rsid w:val="006B6C1C"/>
    <w:rsid w:val="006C572D"/>
    <w:rsid w:val="006C690C"/>
    <w:rsid w:val="006D1F42"/>
    <w:rsid w:val="006E29FB"/>
    <w:rsid w:val="006E2F49"/>
    <w:rsid w:val="006E3671"/>
    <w:rsid w:val="006E4A1D"/>
    <w:rsid w:val="006E7C50"/>
    <w:rsid w:val="006F4943"/>
    <w:rsid w:val="00701D59"/>
    <w:rsid w:val="00703072"/>
    <w:rsid w:val="00706A70"/>
    <w:rsid w:val="00715738"/>
    <w:rsid w:val="00717D95"/>
    <w:rsid w:val="00722436"/>
    <w:rsid w:val="00722DDD"/>
    <w:rsid w:val="007341C0"/>
    <w:rsid w:val="00735993"/>
    <w:rsid w:val="00747941"/>
    <w:rsid w:val="007505CA"/>
    <w:rsid w:val="007555E5"/>
    <w:rsid w:val="00763770"/>
    <w:rsid w:val="0077104F"/>
    <w:rsid w:val="00775AE5"/>
    <w:rsid w:val="007768E9"/>
    <w:rsid w:val="007800C6"/>
    <w:rsid w:val="00780855"/>
    <w:rsid w:val="007856EB"/>
    <w:rsid w:val="00791075"/>
    <w:rsid w:val="00793FD8"/>
    <w:rsid w:val="00794056"/>
    <w:rsid w:val="007958F8"/>
    <w:rsid w:val="00796586"/>
    <w:rsid w:val="007A4C74"/>
    <w:rsid w:val="007B1CF9"/>
    <w:rsid w:val="007B6626"/>
    <w:rsid w:val="007B7C57"/>
    <w:rsid w:val="007C09CF"/>
    <w:rsid w:val="007C26B6"/>
    <w:rsid w:val="007C2C8F"/>
    <w:rsid w:val="007C5FF7"/>
    <w:rsid w:val="007C6B14"/>
    <w:rsid w:val="007D05E7"/>
    <w:rsid w:val="007D3444"/>
    <w:rsid w:val="007D361B"/>
    <w:rsid w:val="007D6EB3"/>
    <w:rsid w:val="007E0B05"/>
    <w:rsid w:val="007E1066"/>
    <w:rsid w:val="007E65DC"/>
    <w:rsid w:val="007F2EF4"/>
    <w:rsid w:val="007F344C"/>
    <w:rsid w:val="007F7807"/>
    <w:rsid w:val="008066A3"/>
    <w:rsid w:val="00810BBD"/>
    <w:rsid w:val="00812C79"/>
    <w:rsid w:val="008172D6"/>
    <w:rsid w:val="008223B6"/>
    <w:rsid w:val="008224D5"/>
    <w:rsid w:val="00822612"/>
    <w:rsid w:val="00822F56"/>
    <w:rsid w:val="00824151"/>
    <w:rsid w:val="0082569A"/>
    <w:rsid w:val="0082721C"/>
    <w:rsid w:val="00832C30"/>
    <w:rsid w:val="0083493D"/>
    <w:rsid w:val="00840EBE"/>
    <w:rsid w:val="008445F8"/>
    <w:rsid w:val="0084766F"/>
    <w:rsid w:val="00851D7B"/>
    <w:rsid w:val="00853784"/>
    <w:rsid w:val="0085536A"/>
    <w:rsid w:val="00860338"/>
    <w:rsid w:val="00863D95"/>
    <w:rsid w:val="00864855"/>
    <w:rsid w:val="00871459"/>
    <w:rsid w:val="00871595"/>
    <w:rsid w:val="00871A3B"/>
    <w:rsid w:val="00873914"/>
    <w:rsid w:val="008747F7"/>
    <w:rsid w:val="00875870"/>
    <w:rsid w:val="00893794"/>
    <w:rsid w:val="00894BF3"/>
    <w:rsid w:val="0089517F"/>
    <w:rsid w:val="00896CB6"/>
    <w:rsid w:val="00897D9F"/>
    <w:rsid w:val="008A0370"/>
    <w:rsid w:val="008A0EF9"/>
    <w:rsid w:val="008A35E4"/>
    <w:rsid w:val="008A4D15"/>
    <w:rsid w:val="008A78D7"/>
    <w:rsid w:val="008B4509"/>
    <w:rsid w:val="008B4D63"/>
    <w:rsid w:val="008C0600"/>
    <w:rsid w:val="008C3EC6"/>
    <w:rsid w:val="008D4EAB"/>
    <w:rsid w:val="008D7DB8"/>
    <w:rsid w:val="008E3DDF"/>
    <w:rsid w:val="008F0947"/>
    <w:rsid w:val="008F31E9"/>
    <w:rsid w:val="008F74D6"/>
    <w:rsid w:val="008F7D33"/>
    <w:rsid w:val="009039CB"/>
    <w:rsid w:val="009053E4"/>
    <w:rsid w:val="009064D0"/>
    <w:rsid w:val="00907A9E"/>
    <w:rsid w:val="00912426"/>
    <w:rsid w:val="00913A9E"/>
    <w:rsid w:val="009159B0"/>
    <w:rsid w:val="009247B3"/>
    <w:rsid w:val="00930CD9"/>
    <w:rsid w:val="00932517"/>
    <w:rsid w:val="00932660"/>
    <w:rsid w:val="00932E94"/>
    <w:rsid w:val="009430FD"/>
    <w:rsid w:val="009438F6"/>
    <w:rsid w:val="00943F75"/>
    <w:rsid w:val="0094752F"/>
    <w:rsid w:val="00950102"/>
    <w:rsid w:val="00950781"/>
    <w:rsid w:val="00951A1E"/>
    <w:rsid w:val="00955F7C"/>
    <w:rsid w:val="00962069"/>
    <w:rsid w:val="00964BC2"/>
    <w:rsid w:val="00970F02"/>
    <w:rsid w:val="00973517"/>
    <w:rsid w:val="00975DCA"/>
    <w:rsid w:val="0097624E"/>
    <w:rsid w:val="00976F82"/>
    <w:rsid w:val="009813CB"/>
    <w:rsid w:val="0098411F"/>
    <w:rsid w:val="009853AD"/>
    <w:rsid w:val="009877A5"/>
    <w:rsid w:val="00991785"/>
    <w:rsid w:val="009A1A5A"/>
    <w:rsid w:val="009A3885"/>
    <w:rsid w:val="009A6626"/>
    <w:rsid w:val="009B1F96"/>
    <w:rsid w:val="009B6376"/>
    <w:rsid w:val="009C0193"/>
    <w:rsid w:val="009C2D49"/>
    <w:rsid w:val="009C38A3"/>
    <w:rsid w:val="009C7029"/>
    <w:rsid w:val="009C7363"/>
    <w:rsid w:val="009D19CD"/>
    <w:rsid w:val="009D67F8"/>
    <w:rsid w:val="009D6A97"/>
    <w:rsid w:val="009E0926"/>
    <w:rsid w:val="009E1B35"/>
    <w:rsid w:val="009E1D3D"/>
    <w:rsid w:val="009E2FAE"/>
    <w:rsid w:val="009E4303"/>
    <w:rsid w:val="009E6922"/>
    <w:rsid w:val="009E797A"/>
    <w:rsid w:val="009F1C62"/>
    <w:rsid w:val="009F31B8"/>
    <w:rsid w:val="009F5688"/>
    <w:rsid w:val="00A00FE0"/>
    <w:rsid w:val="00A045C1"/>
    <w:rsid w:val="00A04D99"/>
    <w:rsid w:val="00A0505A"/>
    <w:rsid w:val="00A1420D"/>
    <w:rsid w:val="00A24325"/>
    <w:rsid w:val="00A24B8E"/>
    <w:rsid w:val="00A41022"/>
    <w:rsid w:val="00A4372F"/>
    <w:rsid w:val="00A44720"/>
    <w:rsid w:val="00A45221"/>
    <w:rsid w:val="00A45C60"/>
    <w:rsid w:val="00A46345"/>
    <w:rsid w:val="00A56E9B"/>
    <w:rsid w:val="00A60EC7"/>
    <w:rsid w:val="00A63884"/>
    <w:rsid w:val="00A6455E"/>
    <w:rsid w:val="00A647D9"/>
    <w:rsid w:val="00A649F6"/>
    <w:rsid w:val="00A654C7"/>
    <w:rsid w:val="00A77EEA"/>
    <w:rsid w:val="00A872AB"/>
    <w:rsid w:val="00A9136E"/>
    <w:rsid w:val="00A965A4"/>
    <w:rsid w:val="00A96D9C"/>
    <w:rsid w:val="00A977BC"/>
    <w:rsid w:val="00AA0A49"/>
    <w:rsid w:val="00AA4729"/>
    <w:rsid w:val="00AB2FFB"/>
    <w:rsid w:val="00AB409F"/>
    <w:rsid w:val="00AB6D10"/>
    <w:rsid w:val="00AB7721"/>
    <w:rsid w:val="00AD0DD9"/>
    <w:rsid w:val="00AD2CBB"/>
    <w:rsid w:val="00AE5775"/>
    <w:rsid w:val="00AF3166"/>
    <w:rsid w:val="00B01731"/>
    <w:rsid w:val="00B024E1"/>
    <w:rsid w:val="00B07919"/>
    <w:rsid w:val="00B140DC"/>
    <w:rsid w:val="00B14798"/>
    <w:rsid w:val="00B156A9"/>
    <w:rsid w:val="00B16C37"/>
    <w:rsid w:val="00B23B7B"/>
    <w:rsid w:val="00B244A0"/>
    <w:rsid w:val="00B2756C"/>
    <w:rsid w:val="00B376E6"/>
    <w:rsid w:val="00B41084"/>
    <w:rsid w:val="00B42C3A"/>
    <w:rsid w:val="00B43B75"/>
    <w:rsid w:val="00B45837"/>
    <w:rsid w:val="00B45B94"/>
    <w:rsid w:val="00B520B7"/>
    <w:rsid w:val="00B52640"/>
    <w:rsid w:val="00B53218"/>
    <w:rsid w:val="00B53698"/>
    <w:rsid w:val="00B5436E"/>
    <w:rsid w:val="00B61A2B"/>
    <w:rsid w:val="00B61CCA"/>
    <w:rsid w:val="00B638E4"/>
    <w:rsid w:val="00B64A8A"/>
    <w:rsid w:val="00B650A2"/>
    <w:rsid w:val="00B73CF6"/>
    <w:rsid w:val="00B7608B"/>
    <w:rsid w:val="00B81E0B"/>
    <w:rsid w:val="00B832C5"/>
    <w:rsid w:val="00B84CDE"/>
    <w:rsid w:val="00B8593D"/>
    <w:rsid w:val="00B86F50"/>
    <w:rsid w:val="00B906CD"/>
    <w:rsid w:val="00B92A77"/>
    <w:rsid w:val="00B948E4"/>
    <w:rsid w:val="00B97FCD"/>
    <w:rsid w:val="00BA4E5B"/>
    <w:rsid w:val="00BA4E8A"/>
    <w:rsid w:val="00BB00A1"/>
    <w:rsid w:val="00BB110B"/>
    <w:rsid w:val="00BB145C"/>
    <w:rsid w:val="00BB3135"/>
    <w:rsid w:val="00BC3612"/>
    <w:rsid w:val="00BC596B"/>
    <w:rsid w:val="00BD11ED"/>
    <w:rsid w:val="00BD493D"/>
    <w:rsid w:val="00BD4F23"/>
    <w:rsid w:val="00BE07C1"/>
    <w:rsid w:val="00BE36CA"/>
    <w:rsid w:val="00BF35BD"/>
    <w:rsid w:val="00C013CE"/>
    <w:rsid w:val="00C05788"/>
    <w:rsid w:val="00C10B34"/>
    <w:rsid w:val="00C17566"/>
    <w:rsid w:val="00C237AA"/>
    <w:rsid w:val="00C23F05"/>
    <w:rsid w:val="00C26AAF"/>
    <w:rsid w:val="00C30A89"/>
    <w:rsid w:val="00C3207C"/>
    <w:rsid w:val="00C34F03"/>
    <w:rsid w:val="00C37412"/>
    <w:rsid w:val="00C410A1"/>
    <w:rsid w:val="00C43249"/>
    <w:rsid w:val="00C4390E"/>
    <w:rsid w:val="00C47672"/>
    <w:rsid w:val="00C50A04"/>
    <w:rsid w:val="00C53C65"/>
    <w:rsid w:val="00C66349"/>
    <w:rsid w:val="00C66E7D"/>
    <w:rsid w:val="00C7051A"/>
    <w:rsid w:val="00C73C36"/>
    <w:rsid w:val="00C763B7"/>
    <w:rsid w:val="00C770E8"/>
    <w:rsid w:val="00C773C6"/>
    <w:rsid w:val="00C84D6D"/>
    <w:rsid w:val="00C85193"/>
    <w:rsid w:val="00C91DED"/>
    <w:rsid w:val="00C920E7"/>
    <w:rsid w:val="00CA04CF"/>
    <w:rsid w:val="00CA05EA"/>
    <w:rsid w:val="00CA7FFD"/>
    <w:rsid w:val="00CB5CC1"/>
    <w:rsid w:val="00CC1CB5"/>
    <w:rsid w:val="00CC212B"/>
    <w:rsid w:val="00CC3A79"/>
    <w:rsid w:val="00CC7436"/>
    <w:rsid w:val="00CD1F3C"/>
    <w:rsid w:val="00CD2697"/>
    <w:rsid w:val="00CE0107"/>
    <w:rsid w:val="00CE2621"/>
    <w:rsid w:val="00CE3AC7"/>
    <w:rsid w:val="00CF1404"/>
    <w:rsid w:val="00CF3DCC"/>
    <w:rsid w:val="00CF7B3C"/>
    <w:rsid w:val="00D002CC"/>
    <w:rsid w:val="00D11DD0"/>
    <w:rsid w:val="00D20FBA"/>
    <w:rsid w:val="00D22E8B"/>
    <w:rsid w:val="00D2348D"/>
    <w:rsid w:val="00D27EF6"/>
    <w:rsid w:val="00D332B7"/>
    <w:rsid w:val="00D352C2"/>
    <w:rsid w:val="00D40661"/>
    <w:rsid w:val="00D46AB9"/>
    <w:rsid w:val="00D47D28"/>
    <w:rsid w:val="00D5033B"/>
    <w:rsid w:val="00D564C8"/>
    <w:rsid w:val="00D61B28"/>
    <w:rsid w:val="00D65B00"/>
    <w:rsid w:val="00D67347"/>
    <w:rsid w:val="00D711FF"/>
    <w:rsid w:val="00D71882"/>
    <w:rsid w:val="00D750F1"/>
    <w:rsid w:val="00D838D5"/>
    <w:rsid w:val="00D91B01"/>
    <w:rsid w:val="00D93209"/>
    <w:rsid w:val="00DA0895"/>
    <w:rsid w:val="00DA3A9B"/>
    <w:rsid w:val="00DB419C"/>
    <w:rsid w:val="00DC48C4"/>
    <w:rsid w:val="00DC69F4"/>
    <w:rsid w:val="00DD1ADD"/>
    <w:rsid w:val="00DD380D"/>
    <w:rsid w:val="00DE0CF2"/>
    <w:rsid w:val="00DE2B3E"/>
    <w:rsid w:val="00DF16F2"/>
    <w:rsid w:val="00DF432C"/>
    <w:rsid w:val="00DF4748"/>
    <w:rsid w:val="00DF5080"/>
    <w:rsid w:val="00E04B25"/>
    <w:rsid w:val="00E058FC"/>
    <w:rsid w:val="00E0598E"/>
    <w:rsid w:val="00E06C25"/>
    <w:rsid w:val="00E07CFD"/>
    <w:rsid w:val="00E13435"/>
    <w:rsid w:val="00E1369D"/>
    <w:rsid w:val="00E16E09"/>
    <w:rsid w:val="00E22A11"/>
    <w:rsid w:val="00E31D6B"/>
    <w:rsid w:val="00E327B6"/>
    <w:rsid w:val="00E41432"/>
    <w:rsid w:val="00E42CEB"/>
    <w:rsid w:val="00E4410A"/>
    <w:rsid w:val="00E455F0"/>
    <w:rsid w:val="00E51168"/>
    <w:rsid w:val="00E524AB"/>
    <w:rsid w:val="00E56645"/>
    <w:rsid w:val="00E602D5"/>
    <w:rsid w:val="00E6098B"/>
    <w:rsid w:val="00E73629"/>
    <w:rsid w:val="00E749EB"/>
    <w:rsid w:val="00E75233"/>
    <w:rsid w:val="00E762DC"/>
    <w:rsid w:val="00E77071"/>
    <w:rsid w:val="00E8107A"/>
    <w:rsid w:val="00E82748"/>
    <w:rsid w:val="00E8477D"/>
    <w:rsid w:val="00E87AEA"/>
    <w:rsid w:val="00E934C7"/>
    <w:rsid w:val="00E93B26"/>
    <w:rsid w:val="00E96A14"/>
    <w:rsid w:val="00E9757C"/>
    <w:rsid w:val="00EA1D6C"/>
    <w:rsid w:val="00EA39AB"/>
    <w:rsid w:val="00EA67E7"/>
    <w:rsid w:val="00EB6EFC"/>
    <w:rsid w:val="00EB7177"/>
    <w:rsid w:val="00EC3701"/>
    <w:rsid w:val="00EC55E1"/>
    <w:rsid w:val="00EC77AD"/>
    <w:rsid w:val="00ED0333"/>
    <w:rsid w:val="00ED3526"/>
    <w:rsid w:val="00ED55FF"/>
    <w:rsid w:val="00ED562C"/>
    <w:rsid w:val="00EF07F5"/>
    <w:rsid w:val="00EF2243"/>
    <w:rsid w:val="00EF7C6A"/>
    <w:rsid w:val="00F024FA"/>
    <w:rsid w:val="00F040E6"/>
    <w:rsid w:val="00F06A5C"/>
    <w:rsid w:val="00F11012"/>
    <w:rsid w:val="00F11D7E"/>
    <w:rsid w:val="00F1274E"/>
    <w:rsid w:val="00F17828"/>
    <w:rsid w:val="00F178B9"/>
    <w:rsid w:val="00F20508"/>
    <w:rsid w:val="00F20933"/>
    <w:rsid w:val="00F20A97"/>
    <w:rsid w:val="00F20BBD"/>
    <w:rsid w:val="00F21010"/>
    <w:rsid w:val="00F21283"/>
    <w:rsid w:val="00F32254"/>
    <w:rsid w:val="00F40145"/>
    <w:rsid w:val="00F43389"/>
    <w:rsid w:val="00F43BD6"/>
    <w:rsid w:val="00F4694D"/>
    <w:rsid w:val="00F5292A"/>
    <w:rsid w:val="00F5370C"/>
    <w:rsid w:val="00F55F0E"/>
    <w:rsid w:val="00F57497"/>
    <w:rsid w:val="00F60769"/>
    <w:rsid w:val="00F62C19"/>
    <w:rsid w:val="00F64EA5"/>
    <w:rsid w:val="00F667F5"/>
    <w:rsid w:val="00F70E19"/>
    <w:rsid w:val="00F7333F"/>
    <w:rsid w:val="00F736F3"/>
    <w:rsid w:val="00F75045"/>
    <w:rsid w:val="00F76D95"/>
    <w:rsid w:val="00F81CB8"/>
    <w:rsid w:val="00F82F14"/>
    <w:rsid w:val="00F83442"/>
    <w:rsid w:val="00F86D8B"/>
    <w:rsid w:val="00F905EE"/>
    <w:rsid w:val="00F93E33"/>
    <w:rsid w:val="00FA0138"/>
    <w:rsid w:val="00FA1C36"/>
    <w:rsid w:val="00FA2659"/>
    <w:rsid w:val="00FA2D52"/>
    <w:rsid w:val="00FA4831"/>
    <w:rsid w:val="00FA5EDC"/>
    <w:rsid w:val="00FB0A2D"/>
    <w:rsid w:val="00FB1ABA"/>
    <w:rsid w:val="00FB2303"/>
    <w:rsid w:val="00FB3CC3"/>
    <w:rsid w:val="00FC176C"/>
    <w:rsid w:val="00FC1F81"/>
    <w:rsid w:val="00FC3C98"/>
    <w:rsid w:val="00FC6348"/>
    <w:rsid w:val="00FD0015"/>
    <w:rsid w:val="00FE0616"/>
    <w:rsid w:val="00FE52EB"/>
    <w:rsid w:val="00FE7AB5"/>
    <w:rsid w:val="00FF3F8A"/>
    <w:rsid w:val="00FF57E5"/>
    <w:rsid w:val="00FF788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8ACE"/>
  <w15:chartTrackingRefBased/>
  <w15:docId w15:val="{8C49AE0C-8E2C-43E7-A527-D06DD9C4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6284"/>
    <w:rPr>
      <w:i/>
      <w:iCs/>
    </w:rPr>
  </w:style>
  <w:style w:type="paragraph" w:styleId="FootnoteText">
    <w:name w:val="footnote text"/>
    <w:basedOn w:val="Normal"/>
    <w:link w:val="FootnoteTextChar"/>
    <w:uiPriority w:val="99"/>
    <w:unhideWhenUsed/>
    <w:rsid w:val="00477200"/>
    <w:pPr>
      <w:spacing w:after="0" w:line="240" w:lineRule="auto"/>
    </w:pPr>
    <w:rPr>
      <w:sz w:val="20"/>
      <w:szCs w:val="20"/>
    </w:rPr>
  </w:style>
  <w:style w:type="character" w:customStyle="1" w:styleId="FootnoteTextChar">
    <w:name w:val="Footnote Text Char"/>
    <w:basedOn w:val="DefaultParagraphFont"/>
    <w:link w:val="FootnoteText"/>
    <w:uiPriority w:val="99"/>
    <w:rsid w:val="00477200"/>
    <w:rPr>
      <w:sz w:val="20"/>
      <w:szCs w:val="20"/>
    </w:rPr>
  </w:style>
  <w:style w:type="character" w:styleId="FootnoteReference">
    <w:name w:val="footnote reference"/>
    <w:basedOn w:val="DefaultParagraphFont"/>
    <w:uiPriority w:val="99"/>
    <w:unhideWhenUsed/>
    <w:rsid w:val="00477200"/>
    <w:rPr>
      <w:vertAlign w:val="superscript"/>
    </w:rPr>
  </w:style>
  <w:style w:type="paragraph" w:styleId="BalloonText">
    <w:name w:val="Balloon Text"/>
    <w:basedOn w:val="Normal"/>
    <w:link w:val="BalloonTextChar"/>
    <w:uiPriority w:val="99"/>
    <w:semiHidden/>
    <w:unhideWhenUsed/>
    <w:rsid w:val="008C3E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3EC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17D95"/>
    <w:rPr>
      <w:sz w:val="18"/>
      <w:szCs w:val="18"/>
    </w:rPr>
  </w:style>
  <w:style w:type="paragraph" w:styleId="CommentText">
    <w:name w:val="annotation text"/>
    <w:basedOn w:val="Normal"/>
    <w:link w:val="CommentTextChar"/>
    <w:uiPriority w:val="99"/>
    <w:semiHidden/>
    <w:unhideWhenUsed/>
    <w:rsid w:val="00717D95"/>
    <w:pPr>
      <w:spacing w:line="240" w:lineRule="auto"/>
    </w:pPr>
    <w:rPr>
      <w:sz w:val="24"/>
      <w:szCs w:val="24"/>
    </w:rPr>
  </w:style>
  <w:style w:type="character" w:customStyle="1" w:styleId="CommentTextChar">
    <w:name w:val="Comment Text Char"/>
    <w:basedOn w:val="DefaultParagraphFont"/>
    <w:link w:val="CommentText"/>
    <w:uiPriority w:val="99"/>
    <w:semiHidden/>
    <w:rsid w:val="00717D95"/>
    <w:rPr>
      <w:sz w:val="24"/>
      <w:szCs w:val="24"/>
    </w:rPr>
  </w:style>
  <w:style w:type="paragraph" w:styleId="CommentSubject">
    <w:name w:val="annotation subject"/>
    <w:basedOn w:val="CommentText"/>
    <w:next w:val="CommentText"/>
    <w:link w:val="CommentSubjectChar"/>
    <w:uiPriority w:val="99"/>
    <w:semiHidden/>
    <w:unhideWhenUsed/>
    <w:rsid w:val="00717D95"/>
    <w:rPr>
      <w:b/>
      <w:bCs/>
      <w:sz w:val="20"/>
      <w:szCs w:val="20"/>
    </w:rPr>
  </w:style>
  <w:style w:type="character" w:customStyle="1" w:styleId="CommentSubjectChar">
    <w:name w:val="Comment Subject Char"/>
    <w:basedOn w:val="CommentTextChar"/>
    <w:link w:val="CommentSubject"/>
    <w:uiPriority w:val="99"/>
    <w:semiHidden/>
    <w:rsid w:val="00717D95"/>
    <w:rPr>
      <w:b/>
      <w:bCs/>
      <w:sz w:val="20"/>
      <w:szCs w:val="20"/>
    </w:rPr>
  </w:style>
  <w:style w:type="paragraph" w:styleId="Footer">
    <w:name w:val="footer"/>
    <w:basedOn w:val="Normal"/>
    <w:link w:val="FooterChar"/>
    <w:uiPriority w:val="99"/>
    <w:unhideWhenUsed/>
    <w:rsid w:val="0082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612"/>
  </w:style>
  <w:style w:type="character" w:styleId="PageNumber">
    <w:name w:val="page number"/>
    <w:basedOn w:val="DefaultParagraphFont"/>
    <w:uiPriority w:val="99"/>
    <w:semiHidden/>
    <w:unhideWhenUsed/>
    <w:rsid w:val="00822612"/>
  </w:style>
  <w:style w:type="character" w:styleId="Hyperlink">
    <w:name w:val="Hyperlink"/>
    <w:basedOn w:val="DefaultParagraphFont"/>
    <w:uiPriority w:val="99"/>
    <w:unhideWhenUsed/>
    <w:rsid w:val="0052412F"/>
    <w:rPr>
      <w:color w:val="0563C1" w:themeColor="hyperlink"/>
      <w:u w:val="single"/>
    </w:rPr>
  </w:style>
  <w:style w:type="table" w:styleId="TableGrid">
    <w:name w:val="Table Grid"/>
    <w:basedOn w:val="TableNormal"/>
    <w:uiPriority w:val="39"/>
    <w:rsid w:val="0020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BF2"/>
    <w:pPr>
      <w:ind w:left="720"/>
      <w:contextualSpacing/>
    </w:pPr>
  </w:style>
  <w:style w:type="paragraph" w:styleId="Header">
    <w:name w:val="header"/>
    <w:basedOn w:val="Normal"/>
    <w:link w:val="HeaderChar"/>
    <w:uiPriority w:val="99"/>
    <w:unhideWhenUsed/>
    <w:rsid w:val="008066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6A3"/>
  </w:style>
  <w:style w:type="character" w:styleId="FollowedHyperlink">
    <w:name w:val="FollowedHyperlink"/>
    <w:basedOn w:val="DefaultParagraphFont"/>
    <w:uiPriority w:val="99"/>
    <w:semiHidden/>
    <w:unhideWhenUsed/>
    <w:rsid w:val="00701D59"/>
    <w:rPr>
      <w:color w:val="954F72" w:themeColor="followedHyperlink"/>
      <w:u w:val="single"/>
    </w:rPr>
  </w:style>
  <w:style w:type="paragraph" w:styleId="Revision">
    <w:name w:val="Revision"/>
    <w:hidden/>
    <w:uiPriority w:val="99"/>
    <w:semiHidden/>
    <w:rsid w:val="002007D8"/>
    <w:pPr>
      <w:spacing w:after="0" w:line="240" w:lineRule="auto"/>
    </w:pPr>
  </w:style>
  <w:style w:type="table" w:styleId="GridTable2">
    <w:name w:val="Grid Table 2"/>
    <w:basedOn w:val="TableNormal"/>
    <w:uiPriority w:val="47"/>
    <w:rsid w:val="00AD0D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C237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7AA"/>
    <w:rPr>
      <w:sz w:val="20"/>
      <w:szCs w:val="20"/>
    </w:rPr>
  </w:style>
  <w:style w:type="character" w:styleId="EndnoteReference">
    <w:name w:val="endnote reference"/>
    <w:basedOn w:val="DefaultParagraphFont"/>
    <w:uiPriority w:val="99"/>
    <w:semiHidden/>
    <w:unhideWhenUsed/>
    <w:rsid w:val="00C237AA"/>
    <w:rPr>
      <w:vertAlign w:val="superscript"/>
    </w:rPr>
  </w:style>
  <w:style w:type="character" w:styleId="UnresolvedMention">
    <w:name w:val="Unresolved Mention"/>
    <w:basedOn w:val="DefaultParagraphFont"/>
    <w:uiPriority w:val="99"/>
    <w:semiHidden/>
    <w:unhideWhenUsed/>
    <w:rsid w:val="0012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179">
      <w:bodyDiv w:val="1"/>
      <w:marLeft w:val="0"/>
      <w:marRight w:val="0"/>
      <w:marTop w:val="0"/>
      <w:marBottom w:val="0"/>
      <w:divBdr>
        <w:top w:val="none" w:sz="0" w:space="0" w:color="auto"/>
        <w:left w:val="none" w:sz="0" w:space="0" w:color="auto"/>
        <w:bottom w:val="none" w:sz="0" w:space="0" w:color="auto"/>
        <w:right w:val="none" w:sz="0" w:space="0" w:color="auto"/>
      </w:divBdr>
      <w:divsChild>
        <w:div w:id="699432468">
          <w:marLeft w:val="0"/>
          <w:marRight w:val="0"/>
          <w:marTop w:val="0"/>
          <w:marBottom w:val="0"/>
          <w:divBdr>
            <w:top w:val="none" w:sz="0" w:space="0" w:color="auto"/>
            <w:left w:val="none" w:sz="0" w:space="0" w:color="auto"/>
            <w:bottom w:val="none" w:sz="0" w:space="0" w:color="auto"/>
            <w:right w:val="none" w:sz="0" w:space="0" w:color="auto"/>
          </w:divBdr>
          <w:divsChild>
            <w:div w:id="1155606195">
              <w:marLeft w:val="0"/>
              <w:marRight w:val="0"/>
              <w:marTop w:val="0"/>
              <w:marBottom w:val="0"/>
              <w:divBdr>
                <w:top w:val="none" w:sz="0" w:space="0" w:color="auto"/>
                <w:left w:val="none" w:sz="0" w:space="0" w:color="auto"/>
                <w:bottom w:val="none" w:sz="0" w:space="0" w:color="auto"/>
                <w:right w:val="none" w:sz="0" w:space="0" w:color="auto"/>
              </w:divBdr>
              <w:divsChild>
                <w:div w:id="1675035677">
                  <w:marLeft w:val="0"/>
                  <w:marRight w:val="0"/>
                  <w:marTop w:val="0"/>
                  <w:marBottom w:val="0"/>
                  <w:divBdr>
                    <w:top w:val="none" w:sz="0" w:space="0" w:color="auto"/>
                    <w:left w:val="none" w:sz="0" w:space="0" w:color="auto"/>
                    <w:bottom w:val="none" w:sz="0" w:space="0" w:color="auto"/>
                    <w:right w:val="none" w:sz="0" w:space="0" w:color="auto"/>
                  </w:divBdr>
                  <w:divsChild>
                    <w:div w:id="1516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8487">
      <w:bodyDiv w:val="1"/>
      <w:marLeft w:val="0"/>
      <w:marRight w:val="0"/>
      <w:marTop w:val="0"/>
      <w:marBottom w:val="0"/>
      <w:divBdr>
        <w:top w:val="none" w:sz="0" w:space="0" w:color="auto"/>
        <w:left w:val="none" w:sz="0" w:space="0" w:color="auto"/>
        <w:bottom w:val="none" w:sz="0" w:space="0" w:color="auto"/>
        <w:right w:val="none" w:sz="0" w:space="0" w:color="auto"/>
      </w:divBdr>
    </w:div>
    <w:div w:id="290789868">
      <w:bodyDiv w:val="1"/>
      <w:marLeft w:val="0"/>
      <w:marRight w:val="0"/>
      <w:marTop w:val="0"/>
      <w:marBottom w:val="0"/>
      <w:divBdr>
        <w:top w:val="none" w:sz="0" w:space="0" w:color="auto"/>
        <w:left w:val="none" w:sz="0" w:space="0" w:color="auto"/>
        <w:bottom w:val="none" w:sz="0" w:space="0" w:color="auto"/>
        <w:right w:val="none" w:sz="0" w:space="0" w:color="auto"/>
      </w:divBdr>
    </w:div>
    <w:div w:id="309093441">
      <w:bodyDiv w:val="1"/>
      <w:marLeft w:val="0"/>
      <w:marRight w:val="0"/>
      <w:marTop w:val="0"/>
      <w:marBottom w:val="0"/>
      <w:divBdr>
        <w:top w:val="none" w:sz="0" w:space="0" w:color="auto"/>
        <w:left w:val="none" w:sz="0" w:space="0" w:color="auto"/>
        <w:bottom w:val="none" w:sz="0" w:space="0" w:color="auto"/>
        <w:right w:val="none" w:sz="0" w:space="0" w:color="auto"/>
      </w:divBdr>
    </w:div>
    <w:div w:id="392045339">
      <w:bodyDiv w:val="1"/>
      <w:marLeft w:val="0"/>
      <w:marRight w:val="0"/>
      <w:marTop w:val="0"/>
      <w:marBottom w:val="0"/>
      <w:divBdr>
        <w:top w:val="none" w:sz="0" w:space="0" w:color="auto"/>
        <w:left w:val="none" w:sz="0" w:space="0" w:color="auto"/>
        <w:bottom w:val="none" w:sz="0" w:space="0" w:color="auto"/>
        <w:right w:val="none" w:sz="0" w:space="0" w:color="auto"/>
      </w:divBdr>
    </w:div>
    <w:div w:id="581916411">
      <w:bodyDiv w:val="1"/>
      <w:marLeft w:val="0"/>
      <w:marRight w:val="0"/>
      <w:marTop w:val="0"/>
      <w:marBottom w:val="0"/>
      <w:divBdr>
        <w:top w:val="none" w:sz="0" w:space="0" w:color="auto"/>
        <w:left w:val="none" w:sz="0" w:space="0" w:color="auto"/>
        <w:bottom w:val="none" w:sz="0" w:space="0" w:color="auto"/>
        <w:right w:val="none" w:sz="0" w:space="0" w:color="auto"/>
      </w:divBdr>
    </w:div>
    <w:div w:id="666061506">
      <w:bodyDiv w:val="1"/>
      <w:marLeft w:val="0"/>
      <w:marRight w:val="0"/>
      <w:marTop w:val="0"/>
      <w:marBottom w:val="0"/>
      <w:divBdr>
        <w:top w:val="none" w:sz="0" w:space="0" w:color="auto"/>
        <w:left w:val="none" w:sz="0" w:space="0" w:color="auto"/>
        <w:bottom w:val="none" w:sz="0" w:space="0" w:color="auto"/>
        <w:right w:val="none" w:sz="0" w:space="0" w:color="auto"/>
      </w:divBdr>
    </w:div>
    <w:div w:id="1424640864">
      <w:bodyDiv w:val="1"/>
      <w:marLeft w:val="0"/>
      <w:marRight w:val="0"/>
      <w:marTop w:val="0"/>
      <w:marBottom w:val="0"/>
      <w:divBdr>
        <w:top w:val="none" w:sz="0" w:space="0" w:color="auto"/>
        <w:left w:val="none" w:sz="0" w:space="0" w:color="auto"/>
        <w:bottom w:val="none" w:sz="0" w:space="0" w:color="auto"/>
        <w:right w:val="none" w:sz="0" w:space="0" w:color="auto"/>
      </w:divBdr>
    </w:div>
    <w:div w:id="19599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01763.2019.1617333"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erpage.fu-berlin.de/kfgeu/maxcap/system/files/maxcap_wp_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erpage.fu-berlin.de/kfgeu/maxcap/system/files/maxcap_wp_30.pdf"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bridgingeurope.net/uploads/8/1/7/1/8171506/working_paper_on_eu_public_opinion_on_turkey_dagdeverenis_august.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webgate.ec.europa.eu/isdb_results/factsheets/country/details_turkey_en.pdf" TargetMode="External"/><Relationship Id="rId1" Type="http://schemas.openxmlformats.org/officeDocument/2006/relationships/hyperlink" Target="http://ec.europa.eu/trade/policy/countries-and-regions/regions/western-balk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984B-D249-5E42-BDEE-BC713C02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8765</Words>
  <Characters>47245</Characters>
  <Application>Microsoft Office Word</Application>
  <DocSecurity>0</DocSecurity>
  <Lines>859</Lines>
  <Paragraphs>270</Paragraphs>
  <ScaleCrop>false</ScaleCrop>
  <HeadingPairs>
    <vt:vector size="2" baseType="variant">
      <vt:variant>
        <vt:lpstr>Title</vt:lpstr>
      </vt:variant>
      <vt:variant>
        <vt:i4>1</vt:i4>
      </vt:variant>
    </vt:vector>
  </HeadingPairs>
  <TitlesOfParts>
    <vt:vector size="1" baseType="lpstr">
      <vt:lpstr/>
    </vt:vector>
  </TitlesOfParts>
  <Company>ETH Zuerich</Company>
  <LinksUpToDate>false</LinksUpToDate>
  <CharactersWithSpaces>55740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Schimmelfennig  Frank</dc:creator>
  <cp:keywords/>
  <dc:description/>
  <cp:lastModifiedBy>Ulrich Sedelmeier</cp:lastModifiedBy>
  <cp:revision>3</cp:revision>
  <dcterms:created xsi:type="dcterms:W3CDTF">2019-05-29T10:46:00Z</dcterms:created>
  <dcterms:modified xsi:type="dcterms:W3CDTF">2019-05-29T10:58:00Z</dcterms:modified>
</cp:coreProperties>
</file>