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92658C" w14:textId="77777777" w:rsidR="005F104B" w:rsidRDefault="005F104B" w:rsidP="005F104B">
      <w:pPr>
        <w:spacing w:before="100" w:beforeAutospacing="1" w:after="100" w:afterAutospacing="1" w:line="480" w:lineRule="auto"/>
        <w:jc w:val="both"/>
        <w:rPr>
          <w:rFonts w:ascii="Arial" w:eastAsia="Calibri" w:hAnsi="Arial" w:cs="Arial"/>
          <w:b/>
          <w:bCs/>
          <w:lang w:val="en-US"/>
        </w:rPr>
      </w:pPr>
      <w:r w:rsidRPr="0088353A">
        <w:rPr>
          <w:rFonts w:ascii="Arial" w:eastAsia="Calibri" w:hAnsi="Arial" w:cs="Arial"/>
          <w:b/>
          <w:bCs/>
          <w:lang w:val="en-US"/>
        </w:rPr>
        <w:t xml:space="preserve">Cost-effectiveness of antidepressants versus </w:t>
      </w:r>
      <w:r>
        <w:rPr>
          <w:rFonts w:ascii="Arial" w:eastAsia="Calibri" w:hAnsi="Arial" w:cs="Arial"/>
          <w:b/>
          <w:bCs/>
          <w:lang w:val="en-US"/>
        </w:rPr>
        <w:t>a</w:t>
      </w:r>
      <w:r w:rsidRPr="00F5081B">
        <w:rPr>
          <w:rFonts w:ascii="Arial" w:eastAsia="Calibri" w:hAnsi="Arial" w:cs="Arial"/>
          <w:b/>
          <w:bCs/>
          <w:lang w:val="en-GB"/>
        </w:rPr>
        <w:t xml:space="preserve">ctive </w:t>
      </w:r>
      <w:r>
        <w:rPr>
          <w:rFonts w:ascii="Arial" w:eastAsia="Calibri" w:hAnsi="Arial" w:cs="Arial"/>
          <w:b/>
          <w:bCs/>
          <w:lang w:val="en-GB"/>
        </w:rPr>
        <w:t>m</w:t>
      </w:r>
      <w:r w:rsidRPr="00F5081B">
        <w:rPr>
          <w:rFonts w:ascii="Arial" w:eastAsia="Calibri" w:hAnsi="Arial" w:cs="Arial"/>
          <w:b/>
          <w:bCs/>
          <w:lang w:val="en-GB"/>
        </w:rPr>
        <w:t>onitoring</w:t>
      </w:r>
      <w:r w:rsidRPr="00F5081B">
        <w:rPr>
          <w:rFonts w:ascii="Arial" w:eastAsia="Calibri" w:hAnsi="Arial" w:cs="Arial"/>
          <w:b/>
          <w:bCs/>
          <w:lang w:val="en-US"/>
        </w:rPr>
        <w:t xml:space="preserve"> </w:t>
      </w:r>
      <w:r w:rsidRPr="0088353A">
        <w:rPr>
          <w:rFonts w:ascii="Arial" w:eastAsia="Calibri" w:hAnsi="Arial" w:cs="Arial"/>
          <w:b/>
          <w:bCs/>
          <w:lang w:val="en-US"/>
        </w:rPr>
        <w:t>for mild-to-moderate major depressive disorder: a multisite non-randomized controlled trial in primary care (INFAP study)</w:t>
      </w:r>
    </w:p>
    <w:p w14:paraId="7D4E73B6" w14:textId="77777777" w:rsidR="005F104B" w:rsidRPr="00D74449" w:rsidRDefault="005F104B" w:rsidP="005F104B">
      <w:pPr>
        <w:spacing w:after="200" w:line="480" w:lineRule="auto"/>
        <w:jc w:val="both"/>
        <w:rPr>
          <w:rFonts w:ascii="Arial" w:eastAsia="Calibri" w:hAnsi="Arial" w:cs="Arial"/>
          <w:b/>
          <w:sz w:val="20"/>
          <w:lang w:val="it-IT"/>
        </w:rPr>
      </w:pPr>
      <w:r w:rsidRPr="0088353A">
        <w:rPr>
          <w:rFonts w:ascii="Arial" w:eastAsia="Calibri" w:hAnsi="Arial" w:cs="Arial"/>
          <w:b/>
          <w:sz w:val="20"/>
        </w:rPr>
        <w:t>Maria Rubio-Valera</w:t>
      </w:r>
      <w:r>
        <w:rPr>
          <w:rFonts w:ascii="Arial" w:eastAsia="Calibri" w:hAnsi="Arial" w:cs="Arial"/>
          <w:b/>
          <w:sz w:val="20"/>
          <w:vertAlign w:val="superscript"/>
        </w:rPr>
        <w:t>a,b,c,*</w:t>
      </w:r>
      <w:r>
        <w:rPr>
          <w:rFonts w:ascii="Arial" w:eastAsia="Calibri" w:hAnsi="Arial" w:cs="Arial"/>
          <w:b/>
          <w:sz w:val="20"/>
        </w:rPr>
        <w:t xml:space="preserve">, </w:t>
      </w:r>
      <w:r w:rsidRPr="0088353A">
        <w:rPr>
          <w:rFonts w:ascii="Arial" w:eastAsia="Calibri" w:hAnsi="Arial" w:cs="Arial"/>
          <w:b/>
          <w:sz w:val="20"/>
        </w:rPr>
        <w:t>María Teresa Peñarrubia-María</w:t>
      </w:r>
      <w:r>
        <w:rPr>
          <w:rFonts w:ascii="Arial" w:eastAsia="Calibri" w:hAnsi="Arial" w:cs="Arial"/>
          <w:b/>
          <w:sz w:val="20"/>
          <w:vertAlign w:val="superscript"/>
        </w:rPr>
        <w:t>d</w:t>
      </w:r>
      <w:r>
        <w:rPr>
          <w:rFonts w:ascii="Arial" w:eastAsia="Calibri" w:hAnsi="Arial" w:cs="Arial"/>
          <w:b/>
          <w:sz w:val="20"/>
        </w:rPr>
        <w:t>,</w:t>
      </w:r>
      <w:r w:rsidRPr="00D74449">
        <w:rPr>
          <w:rFonts w:ascii="Arial" w:eastAsia="Calibri" w:hAnsi="Arial" w:cs="Arial"/>
          <w:b/>
          <w:sz w:val="20"/>
          <w:lang w:val="it-IT"/>
        </w:rPr>
        <w:t xml:space="preserve"> </w:t>
      </w:r>
      <w:r w:rsidRPr="0088353A">
        <w:rPr>
          <w:rFonts w:ascii="Arial" w:eastAsia="Calibri" w:hAnsi="Arial" w:cs="Arial"/>
          <w:b/>
          <w:sz w:val="20"/>
          <w:lang w:val="it-IT"/>
        </w:rPr>
        <w:t>Maria Iglesias-González</w:t>
      </w:r>
      <w:r>
        <w:rPr>
          <w:rFonts w:ascii="Arial" w:eastAsia="Calibri" w:hAnsi="Arial" w:cs="Arial"/>
          <w:b/>
          <w:sz w:val="20"/>
          <w:vertAlign w:val="superscript"/>
          <w:lang w:val="it-IT"/>
        </w:rPr>
        <w:t>e</w:t>
      </w:r>
      <w:r>
        <w:rPr>
          <w:rFonts w:ascii="Arial" w:eastAsia="Calibri" w:hAnsi="Arial" w:cs="Arial"/>
          <w:b/>
          <w:sz w:val="20"/>
          <w:lang w:val="it-IT"/>
        </w:rPr>
        <w:t xml:space="preserve">, </w:t>
      </w:r>
      <w:r w:rsidRPr="0088353A">
        <w:rPr>
          <w:rFonts w:ascii="Arial" w:eastAsia="Calibri" w:hAnsi="Arial" w:cs="Arial"/>
          <w:b/>
          <w:sz w:val="20"/>
          <w:lang w:val="fr-FR"/>
        </w:rPr>
        <w:t>Martin Knapp</w:t>
      </w:r>
      <w:r w:rsidRPr="00D74449">
        <w:rPr>
          <w:rFonts w:ascii="Arial" w:eastAsia="Calibri" w:hAnsi="Arial" w:cs="Arial"/>
          <w:b/>
          <w:sz w:val="20"/>
          <w:vertAlign w:val="superscript"/>
          <w:lang w:val="fr-FR"/>
        </w:rPr>
        <w:t>b,f</w:t>
      </w:r>
      <w:r>
        <w:rPr>
          <w:rFonts w:ascii="Arial" w:eastAsia="Calibri" w:hAnsi="Arial" w:cs="Arial"/>
          <w:b/>
          <w:sz w:val="20"/>
          <w:lang w:val="fr-FR"/>
        </w:rPr>
        <w:t xml:space="preserve">, </w:t>
      </w:r>
      <w:r w:rsidRPr="0088353A">
        <w:rPr>
          <w:rFonts w:ascii="Arial" w:eastAsia="Calibri" w:hAnsi="Arial" w:cs="Arial"/>
          <w:b/>
          <w:sz w:val="20"/>
          <w:lang w:val="it-IT"/>
        </w:rPr>
        <w:t>Paul McCrone</w:t>
      </w:r>
      <w:r>
        <w:rPr>
          <w:rFonts w:ascii="Arial" w:eastAsia="Calibri" w:hAnsi="Arial" w:cs="Arial"/>
          <w:b/>
          <w:sz w:val="20"/>
          <w:vertAlign w:val="superscript"/>
          <w:lang w:val="it-IT"/>
        </w:rPr>
        <w:t>g</w:t>
      </w:r>
      <w:r>
        <w:rPr>
          <w:rFonts w:ascii="Arial" w:eastAsia="Calibri" w:hAnsi="Arial" w:cs="Arial"/>
          <w:b/>
          <w:sz w:val="20"/>
          <w:lang w:val="it-IT"/>
        </w:rPr>
        <w:t>,</w:t>
      </w:r>
      <w:r w:rsidRPr="00D74449">
        <w:rPr>
          <w:rFonts w:ascii="Arial" w:eastAsia="Calibri" w:hAnsi="Arial" w:cs="Arial"/>
          <w:b/>
          <w:sz w:val="20"/>
          <w:lang w:val="fr-FR"/>
        </w:rPr>
        <w:t xml:space="preserve"> </w:t>
      </w:r>
      <w:r w:rsidRPr="0088353A">
        <w:rPr>
          <w:rFonts w:ascii="Arial" w:eastAsia="Calibri" w:hAnsi="Arial" w:cs="Arial"/>
          <w:b/>
          <w:sz w:val="20"/>
          <w:lang w:val="fr-FR"/>
        </w:rPr>
        <w:t>Marta Roig</w:t>
      </w:r>
      <w:r>
        <w:rPr>
          <w:rFonts w:ascii="Arial" w:eastAsia="Calibri" w:hAnsi="Arial" w:cs="Arial"/>
          <w:b/>
          <w:sz w:val="20"/>
          <w:vertAlign w:val="superscript"/>
          <w:lang w:val="fr-FR"/>
        </w:rPr>
        <w:t>a,c</w:t>
      </w:r>
      <w:r>
        <w:rPr>
          <w:rFonts w:ascii="Arial" w:eastAsia="Calibri" w:hAnsi="Arial" w:cs="Arial"/>
          <w:b/>
          <w:sz w:val="20"/>
          <w:lang w:val="fr-FR"/>
        </w:rPr>
        <w:t xml:space="preserve">, </w:t>
      </w:r>
      <w:r w:rsidRPr="0088353A">
        <w:rPr>
          <w:rFonts w:ascii="Arial" w:eastAsia="Calibri" w:hAnsi="Arial" w:cs="Arial"/>
          <w:b/>
          <w:sz w:val="20"/>
          <w:lang w:val="fr-FR"/>
        </w:rPr>
        <w:t>Ramón Sabes-Figuera</w:t>
      </w:r>
      <w:r>
        <w:rPr>
          <w:rFonts w:ascii="Arial" w:eastAsia="Calibri" w:hAnsi="Arial" w:cs="Arial"/>
          <w:b/>
          <w:sz w:val="20"/>
          <w:vertAlign w:val="superscript"/>
          <w:lang w:val="fr-FR"/>
        </w:rPr>
        <w:t>b,h</w:t>
      </w:r>
      <w:r>
        <w:rPr>
          <w:rFonts w:ascii="Arial" w:eastAsia="Calibri" w:hAnsi="Arial" w:cs="Arial"/>
          <w:b/>
          <w:sz w:val="20"/>
          <w:lang w:val="fr-FR"/>
        </w:rPr>
        <w:t xml:space="preserve">, </w:t>
      </w:r>
      <w:r w:rsidRPr="0088353A">
        <w:rPr>
          <w:rFonts w:ascii="Arial" w:eastAsia="Calibri" w:hAnsi="Arial" w:cs="Arial"/>
          <w:b/>
          <w:sz w:val="20"/>
          <w:lang w:val="it-IT"/>
        </w:rPr>
        <w:t>Juan V. Luciano</w:t>
      </w:r>
      <w:r>
        <w:rPr>
          <w:rFonts w:ascii="Arial" w:eastAsia="Calibri" w:hAnsi="Arial" w:cs="Arial"/>
          <w:b/>
          <w:sz w:val="20"/>
          <w:vertAlign w:val="superscript"/>
          <w:lang w:val="it-IT"/>
        </w:rPr>
        <w:t>a,i,j</w:t>
      </w:r>
      <w:r>
        <w:rPr>
          <w:rFonts w:ascii="Arial" w:eastAsia="Calibri" w:hAnsi="Arial" w:cs="Arial"/>
          <w:b/>
          <w:sz w:val="20"/>
          <w:lang w:val="it-IT"/>
        </w:rPr>
        <w:t xml:space="preserve">, </w:t>
      </w:r>
      <w:r w:rsidRPr="0088353A">
        <w:rPr>
          <w:rFonts w:ascii="Arial" w:eastAsia="Calibri" w:hAnsi="Arial" w:cs="Arial"/>
          <w:b/>
          <w:sz w:val="20"/>
          <w:lang w:val="it-IT"/>
        </w:rPr>
        <w:t>Juan M. Mendive</w:t>
      </w:r>
      <w:r w:rsidRPr="00D74449">
        <w:rPr>
          <w:rFonts w:ascii="Arial" w:eastAsia="Calibri" w:hAnsi="Arial" w:cs="Arial"/>
          <w:b/>
          <w:sz w:val="20"/>
          <w:vertAlign w:val="superscript"/>
          <w:lang w:val="it-IT"/>
        </w:rPr>
        <w:t>i,</w:t>
      </w:r>
      <w:r>
        <w:rPr>
          <w:rFonts w:ascii="Arial" w:eastAsia="Calibri" w:hAnsi="Arial" w:cs="Arial"/>
          <w:b/>
          <w:sz w:val="20"/>
          <w:vertAlign w:val="superscript"/>
          <w:lang w:val="it-IT"/>
        </w:rPr>
        <w:t>k</w:t>
      </w:r>
      <w:r>
        <w:rPr>
          <w:rFonts w:ascii="Arial" w:eastAsia="Calibri" w:hAnsi="Arial" w:cs="Arial"/>
          <w:b/>
          <w:sz w:val="20"/>
          <w:lang w:val="it-IT"/>
        </w:rPr>
        <w:t xml:space="preserve">, </w:t>
      </w:r>
      <w:r w:rsidRPr="0088353A">
        <w:rPr>
          <w:rFonts w:ascii="Arial" w:eastAsia="Calibri" w:hAnsi="Arial" w:cs="Arial"/>
          <w:b/>
          <w:sz w:val="20"/>
          <w:lang w:val="it-IT"/>
        </w:rPr>
        <w:t>Ana Gabriela Murrugara</w:t>
      </w:r>
      <w:r>
        <w:rPr>
          <w:rFonts w:ascii="Arial" w:eastAsia="Calibri" w:hAnsi="Arial" w:cs="Arial"/>
          <w:b/>
          <w:sz w:val="20"/>
          <w:lang w:val="it-IT"/>
        </w:rPr>
        <w:t>-</w:t>
      </w:r>
      <w:r w:rsidRPr="0088353A">
        <w:rPr>
          <w:rFonts w:ascii="Arial" w:eastAsia="Calibri" w:hAnsi="Arial" w:cs="Arial"/>
          <w:b/>
          <w:sz w:val="20"/>
          <w:lang w:val="it-IT"/>
        </w:rPr>
        <w:t>Centurión</w:t>
      </w:r>
      <w:r>
        <w:rPr>
          <w:rFonts w:ascii="Arial" w:eastAsia="Calibri" w:hAnsi="Arial" w:cs="Arial"/>
          <w:b/>
          <w:sz w:val="20"/>
          <w:vertAlign w:val="superscript"/>
          <w:lang w:val="it-IT"/>
        </w:rPr>
        <w:t>a,i</w:t>
      </w:r>
      <w:r>
        <w:rPr>
          <w:rFonts w:ascii="Arial" w:eastAsia="Calibri" w:hAnsi="Arial" w:cs="Arial"/>
          <w:b/>
          <w:sz w:val="20"/>
          <w:lang w:val="it-IT"/>
        </w:rPr>
        <w:t>, Jordi Alonso</w:t>
      </w:r>
      <w:r>
        <w:rPr>
          <w:rFonts w:ascii="Arial" w:eastAsia="Calibri" w:hAnsi="Arial" w:cs="Arial"/>
          <w:b/>
          <w:sz w:val="20"/>
          <w:vertAlign w:val="superscript"/>
          <w:lang w:val="it-IT"/>
        </w:rPr>
        <w:t>b,l,m</w:t>
      </w:r>
      <w:r>
        <w:rPr>
          <w:rFonts w:ascii="Arial" w:eastAsia="Calibri" w:hAnsi="Arial" w:cs="Arial"/>
          <w:b/>
          <w:sz w:val="20"/>
          <w:lang w:val="it-IT"/>
        </w:rPr>
        <w:t xml:space="preserve">, </w:t>
      </w:r>
      <w:r w:rsidRPr="0088353A">
        <w:rPr>
          <w:rFonts w:ascii="Arial" w:eastAsia="Calibri" w:hAnsi="Arial" w:cs="Arial"/>
          <w:b/>
          <w:sz w:val="20"/>
          <w:lang w:val="it-IT"/>
        </w:rPr>
        <w:t>Antoni Serrano-Blanco</w:t>
      </w:r>
      <w:r>
        <w:rPr>
          <w:rFonts w:ascii="Arial" w:eastAsia="Calibri" w:hAnsi="Arial" w:cs="Arial"/>
          <w:b/>
          <w:sz w:val="20"/>
          <w:vertAlign w:val="superscript"/>
          <w:lang w:val="it-IT"/>
        </w:rPr>
        <w:t>b,e</w:t>
      </w:r>
    </w:p>
    <w:p w14:paraId="45BA14BD" w14:textId="77777777" w:rsidR="005F104B" w:rsidRDefault="005F104B" w:rsidP="005F104B">
      <w:pPr>
        <w:spacing w:after="200" w:line="480" w:lineRule="auto"/>
        <w:jc w:val="both"/>
        <w:rPr>
          <w:rFonts w:ascii="Arial" w:eastAsia="Calibri" w:hAnsi="Arial" w:cs="Arial"/>
          <w:sz w:val="20"/>
        </w:rPr>
      </w:pPr>
      <w:r>
        <w:rPr>
          <w:rFonts w:ascii="Arial" w:eastAsia="Calibri" w:hAnsi="Arial" w:cs="Arial"/>
          <w:sz w:val="20"/>
          <w:vertAlign w:val="superscript"/>
        </w:rPr>
        <w:t xml:space="preserve">a </w:t>
      </w:r>
      <w:r>
        <w:rPr>
          <w:rFonts w:ascii="Arial" w:eastAsia="Calibri" w:hAnsi="Arial" w:cs="Arial"/>
          <w:sz w:val="20"/>
        </w:rPr>
        <w:t>Research Unit, I</w:t>
      </w:r>
      <w:r w:rsidRPr="0088353A">
        <w:rPr>
          <w:rFonts w:ascii="Arial" w:eastAsia="Calibri" w:hAnsi="Arial" w:cs="Arial"/>
          <w:sz w:val="20"/>
        </w:rPr>
        <w:t xml:space="preserve">nstitut de Recerca Sant Joan de Déu, </w:t>
      </w:r>
      <w:r>
        <w:rPr>
          <w:rFonts w:ascii="Arial" w:eastAsia="Calibri" w:hAnsi="Arial" w:cs="Arial"/>
          <w:sz w:val="20"/>
        </w:rPr>
        <w:t>C/ Pablo Picasso 12, 08830, Sant Boi de Llobregat, Spain.</w:t>
      </w:r>
    </w:p>
    <w:p w14:paraId="0EBA67D0" w14:textId="77777777" w:rsidR="005F104B" w:rsidRPr="00265BAC" w:rsidRDefault="005F104B" w:rsidP="005F104B">
      <w:pPr>
        <w:spacing w:after="200" w:line="480" w:lineRule="auto"/>
        <w:jc w:val="both"/>
        <w:rPr>
          <w:rFonts w:ascii="Arial" w:eastAsia="Calibri" w:hAnsi="Arial" w:cs="Arial"/>
          <w:sz w:val="20"/>
          <w:lang w:val="en-US"/>
        </w:rPr>
      </w:pPr>
      <w:r w:rsidRPr="00D74449">
        <w:rPr>
          <w:rFonts w:ascii="Arial" w:eastAsia="Calibri" w:hAnsi="Arial" w:cs="Arial"/>
          <w:sz w:val="20"/>
          <w:vertAlign w:val="superscript"/>
          <w:lang w:val="en-US"/>
        </w:rPr>
        <w:t>b</w:t>
      </w:r>
      <w:r>
        <w:rPr>
          <w:rFonts w:ascii="Arial" w:eastAsia="Calibri" w:hAnsi="Arial" w:cs="Arial"/>
          <w:sz w:val="20"/>
          <w:vertAlign w:val="superscript"/>
          <w:lang w:val="en-US"/>
        </w:rPr>
        <w:t xml:space="preserve"> </w:t>
      </w:r>
      <w:r w:rsidRPr="0088353A">
        <w:rPr>
          <w:rFonts w:ascii="Arial" w:eastAsia="Calibri" w:hAnsi="Arial" w:cs="Arial"/>
          <w:sz w:val="20"/>
          <w:lang w:val="en-US"/>
        </w:rPr>
        <w:t>Centre for Biomedical Research in Epidemiology and Public Health, CIBERESP, Madrid, Spain.</w:t>
      </w:r>
    </w:p>
    <w:p w14:paraId="202D3F2D" w14:textId="77777777" w:rsidR="005F104B" w:rsidRPr="00BF2DC2" w:rsidRDefault="005F104B" w:rsidP="005F104B">
      <w:pPr>
        <w:spacing w:after="200" w:line="480" w:lineRule="auto"/>
        <w:jc w:val="both"/>
        <w:rPr>
          <w:rFonts w:ascii="Arial" w:eastAsia="Calibri" w:hAnsi="Arial" w:cs="Arial"/>
          <w:sz w:val="20"/>
          <w:lang w:val="en-US"/>
        </w:rPr>
      </w:pPr>
      <w:r w:rsidRPr="00BF2DC2">
        <w:rPr>
          <w:rFonts w:ascii="Arial" w:eastAsia="Calibri" w:hAnsi="Arial" w:cs="Arial"/>
          <w:sz w:val="20"/>
          <w:vertAlign w:val="superscript"/>
          <w:lang w:val="en-US"/>
        </w:rPr>
        <w:t xml:space="preserve">c </w:t>
      </w:r>
      <w:r>
        <w:rPr>
          <w:rFonts w:ascii="Arial" w:eastAsia="Calibri" w:hAnsi="Arial" w:cs="Arial"/>
          <w:sz w:val="20"/>
          <w:lang w:val="en-US"/>
        </w:rPr>
        <w:t>D</w:t>
      </w:r>
      <w:r>
        <w:rPr>
          <w:rFonts w:ascii="Calibri" w:hAnsi="Calibri" w:cs="Calibri"/>
          <w:color w:val="000000"/>
          <w:shd w:val="clear" w:color="auto" w:fill="FFFFFF"/>
        </w:rPr>
        <w:t xml:space="preserve">ept. Pharmacology, Toxicology and Therapeutic Chemistry, </w:t>
      </w:r>
      <w:r>
        <w:rPr>
          <w:rFonts w:ascii="Arial" w:eastAsia="Calibri" w:hAnsi="Arial" w:cs="Arial"/>
          <w:sz w:val="20"/>
          <w:lang w:val="en-US"/>
        </w:rPr>
        <w:t>S</w:t>
      </w:r>
      <w:r w:rsidRPr="00BF2DC2">
        <w:rPr>
          <w:rFonts w:ascii="Arial" w:eastAsia="Calibri" w:hAnsi="Arial" w:cs="Arial"/>
          <w:sz w:val="20"/>
          <w:lang w:val="en-US"/>
        </w:rPr>
        <w:t>chool of Pharmacy, Universitat de Barcelona, Barcelona, Spain.</w:t>
      </w:r>
    </w:p>
    <w:p w14:paraId="02DD6610" w14:textId="77777777" w:rsidR="005F104B" w:rsidRPr="00BF2DC2" w:rsidRDefault="005F104B" w:rsidP="005F104B">
      <w:pPr>
        <w:spacing w:after="200" w:line="480" w:lineRule="auto"/>
        <w:jc w:val="both"/>
        <w:rPr>
          <w:rFonts w:ascii="Arial" w:eastAsia="Calibri" w:hAnsi="Arial" w:cs="Arial"/>
          <w:sz w:val="20"/>
          <w:lang w:val="en-US"/>
        </w:rPr>
      </w:pPr>
      <w:r w:rsidRPr="00BF2DC2">
        <w:rPr>
          <w:rFonts w:ascii="Arial" w:eastAsia="Calibri" w:hAnsi="Arial" w:cs="Arial"/>
          <w:sz w:val="20"/>
          <w:vertAlign w:val="superscript"/>
          <w:lang w:val="en-US"/>
        </w:rPr>
        <w:t xml:space="preserve">d </w:t>
      </w:r>
      <w:r w:rsidRPr="00BF2DC2">
        <w:rPr>
          <w:rFonts w:ascii="Arial" w:eastAsia="Calibri" w:hAnsi="Arial" w:cs="Arial"/>
          <w:sz w:val="20"/>
          <w:lang w:val="en-US"/>
        </w:rPr>
        <w:t>Primary Care Health Centre Bartomeu Fabrés Anglada, Servei d’Atenció Primària Delta Llobregat, Àmbit Costa de Ponent, Institut Català de la Salut, Gavà, Spain.</w:t>
      </w:r>
    </w:p>
    <w:p w14:paraId="02A11695" w14:textId="77777777" w:rsidR="005F104B" w:rsidRPr="0088353A" w:rsidRDefault="005F104B" w:rsidP="005F104B">
      <w:pPr>
        <w:spacing w:after="200" w:line="480" w:lineRule="auto"/>
        <w:jc w:val="both"/>
        <w:rPr>
          <w:rFonts w:ascii="Arial" w:eastAsia="Calibri" w:hAnsi="Arial" w:cs="Arial"/>
          <w:sz w:val="20"/>
        </w:rPr>
      </w:pPr>
      <w:r w:rsidRPr="00D74449">
        <w:rPr>
          <w:rFonts w:ascii="Arial" w:eastAsia="Calibri" w:hAnsi="Arial" w:cs="Arial"/>
          <w:sz w:val="20"/>
          <w:vertAlign w:val="superscript"/>
        </w:rPr>
        <w:t>e</w:t>
      </w:r>
      <w:r>
        <w:rPr>
          <w:rFonts w:ascii="Arial" w:eastAsia="Calibri" w:hAnsi="Arial" w:cs="Arial"/>
          <w:sz w:val="20"/>
          <w:vertAlign w:val="superscript"/>
        </w:rPr>
        <w:t xml:space="preserve"> </w:t>
      </w:r>
      <w:r>
        <w:rPr>
          <w:rFonts w:ascii="Arial" w:eastAsia="Calibri" w:hAnsi="Arial" w:cs="Arial"/>
          <w:sz w:val="20"/>
        </w:rPr>
        <w:t>Research Unit, P</w:t>
      </w:r>
      <w:r w:rsidRPr="0088353A">
        <w:rPr>
          <w:rFonts w:ascii="Arial" w:eastAsia="Calibri" w:hAnsi="Arial" w:cs="Arial"/>
          <w:sz w:val="20"/>
        </w:rPr>
        <w:t>arc Sanitari Sant Joan de Déu, Sant Boi de Llobregat, Spain.</w:t>
      </w:r>
    </w:p>
    <w:p w14:paraId="78EC1065" w14:textId="77777777" w:rsidR="005F104B" w:rsidRPr="0088353A" w:rsidRDefault="005F104B" w:rsidP="005F104B">
      <w:pPr>
        <w:spacing w:after="200" w:line="480" w:lineRule="auto"/>
        <w:jc w:val="both"/>
        <w:rPr>
          <w:rFonts w:ascii="Arial" w:eastAsia="Calibri" w:hAnsi="Arial" w:cs="Arial"/>
          <w:sz w:val="20"/>
          <w:shd w:val="clear" w:color="auto" w:fill="FFFFFF"/>
          <w:lang w:val="en-US"/>
        </w:rPr>
      </w:pPr>
      <w:r w:rsidRPr="00D74449">
        <w:rPr>
          <w:rFonts w:ascii="Arial" w:eastAsia="Calibri" w:hAnsi="Arial" w:cs="Arial"/>
          <w:sz w:val="20"/>
          <w:vertAlign w:val="superscript"/>
          <w:lang w:val="en-US"/>
        </w:rPr>
        <w:t>f</w:t>
      </w:r>
      <w:r>
        <w:rPr>
          <w:rFonts w:ascii="Arial" w:eastAsia="Calibri" w:hAnsi="Arial" w:cs="Arial"/>
          <w:sz w:val="20"/>
          <w:vertAlign w:val="superscript"/>
          <w:lang w:val="en-US"/>
        </w:rPr>
        <w:t xml:space="preserve"> </w:t>
      </w:r>
      <w:r w:rsidRPr="0088353A">
        <w:rPr>
          <w:rFonts w:ascii="Arial" w:eastAsia="Calibri" w:hAnsi="Arial" w:cs="Arial"/>
          <w:sz w:val="20"/>
          <w:shd w:val="clear" w:color="auto" w:fill="FFFFFF"/>
          <w:lang w:val="en-US"/>
        </w:rPr>
        <w:t>Personal Social Services Research Unit, London School of Economics and Political Science, Houghton Street, London, UK.</w:t>
      </w:r>
    </w:p>
    <w:p w14:paraId="133DE15C" w14:textId="77777777" w:rsidR="005F104B" w:rsidRPr="0088353A" w:rsidRDefault="005F104B" w:rsidP="005F104B">
      <w:pPr>
        <w:spacing w:after="200" w:line="480" w:lineRule="auto"/>
        <w:jc w:val="both"/>
        <w:rPr>
          <w:rFonts w:ascii="Arial" w:eastAsia="Calibri" w:hAnsi="Arial" w:cs="Arial"/>
          <w:b/>
          <w:sz w:val="20"/>
          <w:lang w:val="en-US"/>
        </w:rPr>
      </w:pPr>
      <w:r w:rsidRPr="00D74449">
        <w:rPr>
          <w:rFonts w:ascii="Arial" w:eastAsia="Calibri" w:hAnsi="Arial" w:cs="Arial"/>
          <w:sz w:val="20"/>
          <w:shd w:val="clear" w:color="auto" w:fill="FFFFFF"/>
          <w:vertAlign w:val="superscript"/>
          <w:lang w:val="en-US"/>
        </w:rPr>
        <w:t>g</w:t>
      </w:r>
      <w:r>
        <w:rPr>
          <w:rFonts w:ascii="Arial" w:eastAsia="Calibri" w:hAnsi="Arial" w:cs="Arial"/>
          <w:sz w:val="20"/>
          <w:shd w:val="clear" w:color="auto" w:fill="FFFFFF"/>
          <w:vertAlign w:val="superscript"/>
          <w:lang w:val="en-US"/>
        </w:rPr>
        <w:t xml:space="preserve"> </w:t>
      </w:r>
      <w:r w:rsidRPr="0088353A">
        <w:rPr>
          <w:rFonts w:ascii="Arial" w:eastAsia="Calibri" w:hAnsi="Arial" w:cs="Arial"/>
          <w:sz w:val="20"/>
          <w:shd w:val="clear" w:color="auto" w:fill="FFFFFF"/>
          <w:lang w:val="en-US"/>
        </w:rPr>
        <w:t>Institute of Psychiatry, King’s College London, De Crespigny Park, London, UK</w:t>
      </w:r>
    </w:p>
    <w:p w14:paraId="47FB3D32" w14:textId="77777777" w:rsidR="005F104B" w:rsidRPr="0088353A" w:rsidRDefault="005F104B" w:rsidP="005F104B">
      <w:pPr>
        <w:spacing w:after="200" w:line="480" w:lineRule="auto"/>
        <w:jc w:val="both"/>
        <w:rPr>
          <w:rFonts w:ascii="Arial" w:eastAsia="Calibri" w:hAnsi="Arial" w:cs="Arial"/>
          <w:sz w:val="20"/>
          <w:shd w:val="clear" w:color="auto" w:fill="FFFFFF"/>
          <w:lang w:val="en-US"/>
        </w:rPr>
      </w:pPr>
      <w:r w:rsidRPr="00D74449">
        <w:rPr>
          <w:rFonts w:ascii="Arial" w:eastAsia="Calibri" w:hAnsi="Arial" w:cs="Arial"/>
          <w:sz w:val="20"/>
          <w:shd w:val="clear" w:color="auto" w:fill="FFFFFF"/>
          <w:vertAlign w:val="superscript"/>
          <w:lang w:val="en-US"/>
        </w:rPr>
        <w:t>h</w:t>
      </w:r>
      <w:r>
        <w:rPr>
          <w:rFonts w:ascii="Arial" w:eastAsia="Calibri" w:hAnsi="Arial" w:cs="Arial"/>
          <w:sz w:val="20"/>
          <w:shd w:val="clear" w:color="auto" w:fill="FFFFFF"/>
          <w:vertAlign w:val="superscript"/>
          <w:lang w:val="en-US"/>
        </w:rPr>
        <w:t xml:space="preserve"> </w:t>
      </w:r>
      <w:r w:rsidRPr="0088353A">
        <w:rPr>
          <w:rFonts w:ascii="Arial" w:eastAsia="Calibri" w:hAnsi="Arial" w:cs="Arial"/>
          <w:sz w:val="20"/>
          <w:shd w:val="clear" w:color="auto" w:fill="FFFFFF"/>
          <w:lang w:val="en-US"/>
        </w:rPr>
        <w:t>Faculty of Economic and Business Sciences, Universitat Pompeu Fabra, Barcelona, Spain</w:t>
      </w:r>
    </w:p>
    <w:p w14:paraId="0C67788A" w14:textId="77777777" w:rsidR="005F104B" w:rsidRPr="0088353A" w:rsidRDefault="005F104B" w:rsidP="005F104B">
      <w:pPr>
        <w:spacing w:after="200" w:line="480" w:lineRule="auto"/>
        <w:jc w:val="both"/>
        <w:rPr>
          <w:rFonts w:ascii="Arial" w:eastAsia="Calibri" w:hAnsi="Arial" w:cs="Arial"/>
          <w:sz w:val="20"/>
          <w:lang w:val="en-US"/>
        </w:rPr>
      </w:pPr>
      <w:r>
        <w:rPr>
          <w:rFonts w:ascii="Arial" w:eastAsia="Calibri" w:hAnsi="Arial" w:cs="Arial"/>
          <w:sz w:val="20"/>
          <w:shd w:val="clear" w:color="auto" w:fill="FFFFFF"/>
          <w:vertAlign w:val="superscript"/>
          <w:lang w:val="en-US"/>
        </w:rPr>
        <w:t xml:space="preserve">i </w:t>
      </w:r>
      <w:r w:rsidRPr="0088353A">
        <w:rPr>
          <w:rFonts w:ascii="Arial" w:eastAsia="Calibri" w:hAnsi="Arial" w:cs="Arial"/>
          <w:sz w:val="20"/>
          <w:lang w:val="en-US"/>
        </w:rPr>
        <w:t>Primary Care Prevention and Health Promotion Research Network (RedIAPP), Barcelona, Spain.</w:t>
      </w:r>
    </w:p>
    <w:p w14:paraId="788803A5" w14:textId="77777777" w:rsidR="005F104B" w:rsidRPr="0088353A" w:rsidRDefault="005F104B" w:rsidP="005F104B">
      <w:pPr>
        <w:spacing w:after="200" w:line="480" w:lineRule="auto"/>
        <w:jc w:val="both"/>
        <w:rPr>
          <w:rFonts w:ascii="Arial" w:eastAsia="Calibri" w:hAnsi="Arial" w:cs="Arial"/>
          <w:sz w:val="20"/>
          <w:lang w:val="en-US"/>
        </w:rPr>
      </w:pPr>
      <w:r w:rsidRPr="00D74449">
        <w:rPr>
          <w:rFonts w:ascii="Arial" w:eastAsia="Calibri" w:hAnsi="Arial" w:cs="Arial"/>
          <w:sz w:val="20"/>
          <w:vertAlign w:val="superscript"/>
          <w:lang w:val="en-US"/>
        </w:rPr>
        <w:t>j</w:t>
      </w:r>
      <w:r>
        <w:rPr>
          <w:rFonts w:ascii="Arial" w:eastAsia="Calibri" w:hAnsi="Arial" w:cs="Arial"/>
          <w:sz w:val="20"/>
          <w:vertAlign w:val="superscript"/>
          <w:lang w:val="en-US"/>
        </w:rPr>
        <w:t xml:space="preserve"> </w:t>
      </w:r>
      <w:r w:rsidRPr="0088353A">
        <w:rPr>
          <w:rFonts w:ascii="Arial" w:eastAsia="Calibri" w:hAnsi="Arial" w:cs="Arial"/>
          <w:sz w:val="20"/>
          <w:lang w:val="en-US"/>
        </w:rPr>
        <w:t>Open University of Catalonia (UOC), Barcelona, Spain.</w:t>
      </w:r>
    </w:p>
    <w:p w14:paraId="1500D604" w14:textId="77777777" w:rsidR="005F104B" w:rsidRDefault="005F104B" w:rsidP="005F104B">
      <w:pPr>
        <w:spacing w:after="200" w:line="480" w:lineRule="auto"/>
        <w:jc w:val="both"/>
        <w:rPr>
          <w:rFonts w:ascii="Arial" w:eastAsia="Calibri" w:hAnsi="Arial" w:cs="Arial"/>
          <w:sz w:val="20"/>
          <w:lang w:val="it-IT"/>
        </w:rPr>
      </w:pPr>
      <w:r w:rsidRPr="00D74449">
        <w:rPr>
          <w:rFonts w:ascii="Arial" w:eastAsia="Calibri" w:hAnsi="Arial" w:cs="Arial"/>
          <w:sz w:val="20"/>
          <w:vertAlign w:val="superscript"/>
          <w:lang w:val="it-IT"/>
        </w:rPr>
        <w:t>k</w:t>
      </w:r>
      <w:r>
        <w:rPr>
          <w:rFonts w:ascii="Arial" w:eastAsia="Calibri" w:hAnsi="Arial" w:cs="Arial"/>
          <w:sz w:val="20"/>
          <w:vertAlign w:val="superscript"/>
          <w:lang w:val="it-IT"/>
        </w:rPr>
        <w:t xml:space="preserve"> </w:t>
      </w:r>
      <w:r w:rsidRPr="0088353A">
        <w:rPr>
          <w:rFonts w:ascii="Arial" w:eastAsia="Calibri" w:hAnsi="Arial" w:cs="Arial"/>
          <w:sz w:val="20"/>
          <w:lang w:val="it-IT"/>
        </w:rPr>
        <w:t>La Mina Primary Care Centre, Institut Català de la Salut. Sant Adrià de Besós (Barcelona), Spain.</w:t>
      </w:r>
    </w:p>
    <w:p w14:paraId="5C1F21B5" w14:textId="77777777" w:rsidR="005F104B" w:rsidRPr="00BF2DC2" w:rsidRDefault="005F104B" w:rsidP="005F104B">
      <w:pPr>
        <w:spacing w:after="200" w:line="480" w:lineRule="auto"/>
        <w:jc w:val="both"/>
        <w:rPr>
          <w:rFonts w:ascii="Arial" w:eastAsia="Calibri" w:hAnsi="Arial" w:cs="Arial"/>
          <w:sz w:val="20"/>
          <w:vertAlign w:val="superscript"/>
          <w:lang w:val="it-IT"/>
        </w:rPr>
      </w:pPr>
      <w:r w:rsidRPr="00BF2DC2">
        <w:rPr>
          <w:rFonts w:ascii="Arial" w:eastAsia="Calibri" w:hAnsi="Arial" w:cs="Arial"/>
          <w:sz w:val="20"/>
          <w:vertAlign w:val="superscript"/>
          <w:lang w:val="it-IT"/>
        </w:rPr>
        <w:lastRenderedPageBreak/>
        <w:t>l</w:t>
      </w:r>
      <w:r>
        <w:rPr>
          <w:rFonts w:ascii="Arial" w:eastAsia="Calibri" w:hAnsi="Arial" w:cs="Arial"/>
          <w:sz w:val="20"/>
          <w:vertAlign w:val="superscript"/>
          <w:lang w:val="it-IT"/>
        </w:rPr>
        <w:t xml:space="preserve"> </w:t>
      </w:r>
      <w:r w:rsidRPr="00BF2DC2">
        <w:rPr>
          <w:rFonts w:ascii="Arial" w:eastAsia="Calibri" w:hAnsi="Arial" w:cs="Arial"/>
          <w:sz w:val="20"/>
          <w:lang w:val="it-IT"/>
        </w:rPr>
        <w:t>Health Services Research Unit, IMIM-Hospital del Mar Medical Research Institute, Barcelona, Spain.</w:t>
      </w:r>
    </w:p>
    <w:p w14:paraId="315CF6D2" w14:textId="77777777" w:rsidR="005F104B" w:rsidRPr="0088353A" w:rsidRDefault="005F104B" w:rsidP="005F104B">
      <w:pPr>
        <w:spacing w:after="200" w:line="480" w:lineRule="auto"/>
        <w:jc w:val="both"/>
        <w:rPr>
          <w:rFonts w:ascii="Arial" w:eastAsia="Calibri" w:hAnsi="Arial" w:cs="Arial"/>
          <w:sz w:val="20"/>
          <w:lang w:val="it-IT"/>
        </w:rPr>
      </w:pPr>
      <w:r w:rsidRPr="00BF2DC2">
        <w:rPr>
          <w:rFonts w:ascii="Arial" w:eastAsia="Calibri" w:hAnsi="Arial" w:cs="Arial"/>
          <w:sz w:val="20"/>
          <w:vertAlign w:val="superscript"/>
          <w:lang w:val="it-IT"/>
        </w:rPr>
        <w:t>m</w:t>
      </w:r>
      <w:r>
        <w:rPr>
          <w:rFonts w:ascii="Arial" w:eastAsia="Calibri" w:hAnsi="Arial" w:cs="Arial"/>
          <w:sz w:val="20"/>
          <w:vertAlign w:val="superscript"/>
          <w:lang w:val="it-IT"/>
        </w:rPr>
        <w:t xml:space="preserve"> </w:t>
      </w:r>
      <w:r>
        <w:rPr>
          <w:rFonts w:ascii="Arial" w:eastAsia="Calibri" w:hAnsi="Arial" w:cs="Arial"/>
          <w:sz w:val="20"/>
          <w:lang w:val="it-IT"/>
        </w:rPr>
        <w:t xml:space="preserve">Dept. Experimental and Health Sciences, </w:t>
      </w:r>
      <w:r w:rsidRPr="00BF2DC2">
        <w:rPr>
          <w:rFonts w:ascii="Arial" w:eastAsia="Calibri" w:hAnsi="Arial" w:cs="Arial"/>
          <w:sz w:val="20"/>
          <w:lang w:val="it-IT"/>
        </w:rPr>
        <w:t>Pompeu Fabra University (UPF), Barcelona, Spain.</w:t>
      </w:r>
    </w:p>
    <w:p w14:paraId="56759680" w14:textId="77777777" w:rsidR="005F104B" w:rsidRPr="00BF322E" w:rsidRDefault="005F104B" w:rsidP="005F104B">
      <w:pPr>
        <w:spacing w:after="200" w:line="480" w:lineRule="auto"/>
        <w:jc w:val="both"/>
        <w:rPr>
          <w:rFonts w:ascii="Arial" w:eastAsia="Calibri" w:hAnsi="Arial" w:cs="Arial"/>
          <w:b/>
          <w:sz w:val="20"/>
          <w:lang w:val="en-US"/>
        </w:rPr>
      </w:pPr>
    </w:p>
    <w:p w14:paraId="781B9FE3" w14:textId="77777777" w:rsidR="005F104B" w:rsidRPr="0088353A" w:rsidRDefault="005F104B" w:rsidP="005F104B">
      <w:pPr>
        <w:spacing w:after="200" w:line="480" w:lineRule="auto"/>
        <w:jc w:val="both"/>
        <w:rPr>
          <w:rFonts w:ascii="Arial" w:eastAsia="Calibri" w:hAnsi="Arial" w:cs="Arial"/>
          <w:b/>
          <w:sz w:val="20"/>
          <w:lang w:val="en-US"/>
        </w:rPr>
      </w:pPr>
      <w:r>
        <w:rPr>
          <w:rFonts w:ascii="Arial" w:eastAsia="Calibri" w:hAnsi="Arial" w:cs="Arial"/>
          <w:b/>
          <w:sz w:val="20"/>
          <w:lang w:val="en-US"/>
        </w:rPr>
        <w:t>Corresponding author</w:t>
      </w:r>
    </w:p>
    <w:p w14:paraId="56D1BD2D" w14:textId="77777777" w:rsidR="005F104B" w:rsidRPr="0088353A" w:rsidRDefault="005F104B" w:rsidP="005F104B">
      <w:pPr>
        <w:spacing w:after="200" w:line="480" w:lineRule="auto"/>
        <w:jc w:val="both"/>
        <w:rPr>
          <w:rFonts w:ascii="Arial" w:eastAsia="Calibri" w:hAnsi="Arial" w:cs="Arial"/>
          <w:sz w:val="20"/>
          <w:lang w:val="en-US"/>
        </w:rPr>
      </w:pPr>
      <w:r>
        <w:rPr>
          <w:rFonts w:ascii="Arial" w:eastAsia="Calibri" w:hAnsi="Arial" w:cs="Arial"/>
          <w:sz w:val="20"/>
          <w:lang w:val="en-US"/>
        </w:rPr>
        <w:t>Dr. M</w:t>
      </w:r>
      <w:r w:rsidRPr="0088353A">
        <w:rPr>
          <w:rFonts w:ascii="Arial" w:eastAsia="Calibri" w:hAnsi="Arial" w:cs="Arial"/>
          <w:sz w:val="20"/>
          <w:lang w:val="en-US"/>
        </w:rPr>
        <w:t xml:space="preserve"> Rubio-Valera</w:t>
      </w:r>
    </w:p>
    <w:p w14:paraId="47534EF9" w14:textId="77777777" w:rsidR="005F104B" w:rsidRPr="0088353A" w:rsidRDefault="005F104B" w:rsidP="005F104B">
      <w:pPr>
        <w:spacing w:after="200" w:line="480" w:lineRule="auto"/>
        <w:jc w:val="both"/>
        <w:rPr>
          <w:rFonts w:ascii="Arial" w:eastAsia="Calibri" w:hAnsi="Arial" w:cs="Arial"/>
          <w:sz w:val="20"/>
          <w:lang w:val="en-US"/>
        </w:rPr>
      </w:pPr>
      <w:r w:rsidRPr="0088353A">
        <w:rPr>
          <w:rFonts w:ascii="Arial" w:eastAsia="Calibri" w:hAnsi="Arial" w:cs="Arial"/>
          <w:sz w:val="20"/>
          <w:lang w:val="en-US"/>
        </w:rPr>
        <w:t xml:space="preserve">Research &amp; Development Unit, </w:t>
      </w:r>
    </w:p>
    <w:p w14:paraId="62098850" w14:textId="77777777" w:rsidR="005F104B" w:rsidRPr="00E36BE0" w:rsidRDefault="005F104B" w:rsidP="005F104B">
      <w:pPr>
        <w:spacing w:after="200" w:line="480" w:lineRule="auto"/>
        <w:jc w:val="both"/>
        <w:rPr>
          <w:rFonts w:ascii="Arial" w:eastAsia="Calibri" w:hAnsi="Arial" w:cs="Arial"/>
          <w:sz w:val="20"/>
          <w:lang w:val="en-GB"/>
        </w:rPr>
      </w:pPr>
      <w:r w:rsidRPr="00E36BE0">
        <w:rPr>
          <w:rFonts w:ascii="Arial" w:eastAsia="Calibri" w:hAnsi="Arial" w:cs="Arial"/>
          <w:sz w:val="20"/>
          <w:lang w:val="en-GB"/>
        </w:rPr>
        <w:t>Parc Sanitari Sant Joan de Déu</w:t>
      </w:r>
    </w:p>
    <w:p w14:paraId="22BF4772" w14:textId="77777777" w:rsidR="005F104B" w:rsidRPr="0088353A" w:rsidRDefault="005F104B" w:rsidP="005F104B">
      <w:pPr>
        <w:spacing w:after="200" w:line="480" w:lineRule="auto"/>
        <w:jc w:val="both"/>
        <w:rPr>
          <w:rFonts w:ascii="Arial" w:eastAsia="Calibri" w:hAnsi="Arial" w:cs="Arial"/>
          <w:sz w:val="20"/>
        </w:rPr>
      </w:pPr>
      <w:r w:rsidRPr="0088353A">
        <w:rPr>
          <w:rFonts w:ascii="Arial" w:eastAsia="Calibri" w:hAnsi="Arial" w:cs="Arial"/>
          <w:sz w:val="20"/>
        </w:rPr>
        <w:t>C/ Dr. Antoni Pujadas 42, 08830</w:t>
      </w:r>
    </w:p>
    <w:p w14:paraId="1F24A6D9" w14:textId="77777777" w:rsidR="005F104B" w:rsidRPr="0088353A" w:rsidRDefault="005F104B" w:rsidP="005F104B">
      <w:pPr>
        <w:spacing w:after="200" w:line="480" w:lineRule="auto"/>
        <w:jc w:val="both"/>
        <w:rPr>
          <w:rFonts w:ascii="Arial" w:eastAsia="Calibri" w:hAnsi="Arial" w:cs="Arial"/>
          <w:sz w:val="20"/>
        </w:rPr>
      </w:pPr>
      <w:r w:rsidRPr="0088353A">
        <w:rPr>
          <w:rFonts w:ascii="Arial" w:eastAsia="Calibri" w:hAnsi="Arial" w:cs="Arial"/>
          <w:sz w:val="20"/>
        </w:rPr>
        <w:t>Sant Boi de Llobregat, Barcelona, Spain</w:t>
      </w:r>
    </w:p>
    <w:p w14:paraId="5C21A2C7" w14:textId="77777777" w:rsidR="005F104B" w:rsidRPr="0088353A" w:rsidRDefault="005F104B" w:rsidP="005F104B">
      <w:pPr>
        <w:spacing w:after="200" w:line="480" w:lineRule="auto"/>
        <w:jc w:val="both"/>
        <w:rPr>
          <w:rFonts w:ascii="Arial" w:eastAsia="Calibri" w:hAnsi="Arial" w:cs="Arial"/>
          <w:sz w:val="20"/>
          <w:lang w:val="en-US"/>
        </w:rPr>
      </w:pPr>
      <w:r w:rsidRPr="0088353A">
        <w:rPr>
          <w:rFonts w:ascii="Arial" w:eastAsia="Calibri" w:hAnsi="Arial" w:cs="Arial"/>
          <w:sz w:val="20"/>
          <w:lang w:val="en-US"/>
        </w:rPr>
        <w:t>Tel: +34 936406350 (Ext. 1-2540)</w:t>
      </w:r>
    </w:p>
    <w:p w14:paraId="116EA53B" w14:textId="77777777" w:rsidR="005F104B" w:rsidRPr="0088353A" w:rsidRDefault="005F104B" w:rsidP="005F104B">
      <w:pPr>
        <w:spacing w:after="200" w:line="480" w:lineRule="auto"/>
        <w:jc w:val="both"/>
        <w:rPr>
          <w:rFonts w:ascii="Arial" w:eastAsia="Calibri" w:hAnsi="Arial" w:cs="Arial"/>
          <w:sz w:val="20"/>
          <w:lang w:val="en-US"/>
        </w:rPr>
      </w:pPr>
      <w:r w:rsidRPr="0088353A">
        <w:rPr>
          <w:rFonts w:ascii="Arial" w:eastAsia="Calibri" w:hAnsi="Arial" w:cs="Arial"/>
          <w:sz w:val="20"/>
          <w:lang w:val="en-US"/>
        </w:rPr>
        <w:t>Email address: mrubio@pssjd.org</w:t>
      </w:r>
    </w:p>
    <w:p w14:paraId="407E464F" w14:textId="77777777" w:rsidR="00BE3BFE" w:rsidRDefault="005413E9" w:rsidP="00BE3BFE">
      <w:pPr>
        <w:spacing w:line="480" w:lineRule="auto"/>
        <w:jc w:val="both"/>
        <w:rPr>
          <w:rFonts w:ascii="Times New Roman" w:hAnsi="Times New Roman" w:cs="Times New Roman"/>
          <w:lang w:val="en-US"/>
        </w:rPr>
      </w:pPr>
      <w:r w:rsidRPr="004C1910">
        <w:rPr>
          <w:rFonts w:ascii="Times New Roman" w:hAnsi="Times New Roman" w:cs="Times New Roman"/>
          <w:b/>
          <w:lang w:val="en-US"/>
        </w:rPr>
        <w:t>Abstract</w:t>
      </w:r>
      <w:r w:rsidRPr="004C1910">
        <w:rPr>
          <w:rFonts w:ascii="Times New Roman" w:hAnsi="Times New Roman" w:cs="Times New Roman"/>
          <w:lang w:val="en-US"/>
        </w:rPr>
        <w:t xml:space="preserve"> </w:t>
      </w:r>
    </w:p>
    <w:p w14:paraId="475C2967" w14:textId="5B70580E" w:rsidR="002438AF" w:rsidRPr="00D85275" w:rsidRDefault="00734E7A" w:rsidP="002438AF">
      <w:pPr>
        <w:spacing w:line="480" w:lineRule="auto"/>
        <w:jc w:val="both"/>
        <w:rPr>
          <w:rFonts w:ascii="Times New Roman" w:hAnsi="Times New Roman" w:cs="Times New Roman"/>
          <w:b/>
          <w:lang w:val="en-GB"/>
        </w:rPr>
      </w:pPr>
      <w:r>
        <w:rPr>
          <w:rFonts w:ascii="Times New Roman" w:hAnsi="Times New Roman" w:cs="Times New Roman"/>
          <w:b/>
          <w:lang w:val="en-GB"/>
        </w:rPr>
        <w:t>Background</w:t>
      </w:r>
    </w:p>
    <w:p w14:paraId="35AD330E" w14:textId="0C437642" w:rsidR="002438AF" w:rsidRPr="00D85275" w:rsidRDefault="00BF322E" w:rsidP="002438AF">
      <w:pPr>
        <w:spacing w:line="480" w:lineRule="auto"/>
        <w:jc w:val="both"/>
        <w:rPr>
          <w:rFonts w:ascii="Times New Roman" w:hAnsi="Times New Roman" w:cs="Times New Roman"/>
          <w:lang w:val="en-GB"/>
        </w:rPr>
      </w:pPr>
      <w:r w:rsidRPr="00BF322E">
        <w:rPr>
          <w:rFonts w:ascii="Times New Roman" w:hAnsi="Times New Roman" w:cs="Times New Roman"/>
          <w:lang w:val="en-GB"/>
        </w:rPr>
        <w:t xml:space="preserve">The purpose of this study was </w:t>
      </w:r>
      <w:r>
        <w:rPr>
          <w:rFonts w:ascii="Times New Roman" w:hAnsi="Times New Roman" w:cs="Times New Roman"/>
          <w:lang w:val="en-GB"/>
        </w:rPr>
        <w:t xml:space="preserve">to </w:t>
      </w:r>
      <w:r w:rsidR="002438AF" w:rsidRPr="00D85275">
        <w:rPr>
          <w:rFonts w:ascii="Times New Roman" w:hAnsi="Times New Roman" w:cs="Times New Roman"/>
          <w:lang w:val="en-GB"/>
        </w:rPr>
        <w:t xml:space="preserve">evaluate the cost-effectiveness of antidepressants vs </w:t>
      </w:r>
      <w:r w:rsidR="00F5081B">
        <w:rPr>
          <w:rFonts w:ascii="Times New Roman" w:hAnsi="Times New Roman" w:cs="Times New Roman"/>
          <w:lang w:val="en-GB"/>
        </w:rPr>
        <w:t>active monitoring (</w:t>
      </w:r>
      <w:r w:rsidR="002438AF" w:rsidRPr="00D85275">
        <w:rPr>
          <w:rFonts w:ascii="Times New Roman" w:hAnsi="Times New Roman" w:cs="Times New Roman"/>
          <w:lang w:val="en-GB"/>
        </w:rPr>
        <w:t>AM</w:t>
      </w:r>
      <w:r w:rsidR="00F5081B">
        <w:rPr>
          <w:rFonts w:ascii="Times New Roman" w:hAnsi="Times New Roman" w:cs="Times New Roman"/>
          <w:lang w:val="en-GB"/>
        </w:rPr>
        <w:t>)</w:t>
      </w:r>
      <w:r w:rsidR="002438AF" w:rsidRPr="00D85275">
        <w:rPr>
          <w:rFonts w:ascii="Times New Roman" w:hAnsi="Times New Roman" w:cs="Times New Roman"/>
          <w:lang w:val="en-GB"/>
        </w:rPr>
        <w:t xml:space="preserve"> for patients with mild-moderate </w:t>
      </w:r>
      <w:r w:rsidR="006B7A9E">
        <w:rPr>
          <w:rFonts w:ascii="Times New Roman" w:hAnsi="Times New Roman" w:cs="Times New Roman"/>
          <w:lang w:val="en-GB"/>
        </w:rPr>
        <w:t>major depressive disorder</w:t>
      </w:r>
      <w:r w:rsidR="002438AF" w:rsidRPr="00D85275">
        <w:rPr>
          <w:rFonts w:ascii="Times New Roman" w:hAnsi="Times New Roman" w:cs="Times New Roman"/>
          <w:lang w:val="en-GB"/>
        </w:rPr>
        <w:t>.</w:t>
      </w:r>
    </w:p>
    <w:p w14:paraId="508C635F" w14:textId="77777777" w:rsidR="002438AF" w:rsidRPr="00D85275" w:rsidRDefault="002438AF" w:rsidP="002438AF">
      <w:pPr>
        <w:spacing w:line="480" w:lineRule="auto"/>
        <w:jc w:val="both"/>
        <w:rPr>
          <w:rFonts w:ascii="Times New Roman" w:hAnsi="Times New Roman" w:cs="Times New Roman"/>
          <w:b/>
          <w:lang w:val="en-GB"/>
        </w:rPr>
      </w:pPr>
      <w:r w:rsidRPr="00D85275">
        <w:rPr>
          <w:rFonts w:ascii="Times New Roman" w:hAnsi="Times New Roman" w:cs="Times New Roman"/>
          <w:b/>
          <w:lang w:val="en-GB"/>
        </w:rPr>
        <w:t>Methods</w:t>
      </w:r>
    </w:p>
    <w:p w14:paraId="642F1FE2" w14:textId="77777777" w:rsidR="00D1140F" w:rsidRDefault="00F5081B" w:rsidP="002438AF">
      <w:pPr>
        <w:spacing w:line="480" w:lineRule="auto"/>
        <w:jc w:val="both"/>
      </w:pPr>
      <w:r>
        <w:rPr>
          <w:rFonts w:ascii="Times New Roman" w:hAnsi="Times New Roman" w:cs="Times New Roman"/>
          <w:lang w:val="en-GB"/>
        </w:rPr>
        <w:t>A</w:t>
      </w:r>
      <w:r w:rsidR="002438AF" w:rsidRPr="00D85275">
        <w:rPr>
          <w:rFonts w:ascii="Times New Roman" w:hAnsi="Times New Roman" w:cs="Times New Roman"/>
          <w:lang w:val="en-GB"/>
        </w:rPr>
        <w:t xml:space="preserve"> 12-month observational prospective controlled trial. </w:t>
      </w:r>
      <w:r w:rsidR="00AD5FAC" w:rsidRPr="00AD5FAC">
        <w:rPr>
          <w:rFonts w:ascii="Times New Roman" w:hAnsi="Times New Roman" w:cs="Times New Roman"/>
          <w:lang w:val="en-GB"/>
        </w:rPr>
        <w:t xml:space="preserve">Adult patients with a new episode of major depression were invited to participate </w:t>
      </w:r>
      <w:r w:rsidR="00AD5FAC">
        <w:rPr>
          <w:rFonts w:ascii="Times New Roman" w:hAnsi="Times New Roman" w:cs="Times New Roman"/>
          <w:lang w:val="en-GB"/>
        </w:rPr>
        <w:t xml:space="preserve">and </w:t>
      </w:r>
      <w:r w:rsidR="00AD5FAC" w:rsidRPr="00AD5FAC">
        <w:rPr>
          <w:rFonts w:ascii="Times New Roman" w:hAnsi="Times New Roman" w:cs="Times New Roman"/>
          <w:lang w:val="en-GB"/>
        </w:rPr>
        <w:t xml:space="preserve">assigned to AM or antidepressants according to </w:t>
      </w:r>
      <w:r w:rsidR="00E63695">
        <w:rPr>
          <w:rFonts w:ascii="Times New Roman" w:hAnsi="Times New Roman" w:cs="Times New Roman"/>
          <w:lang w:val="en-GB"/>
        </w:rPr>
        <w:t>General Practitioners’ (GP)</w:t>
      </w:r>
      <w:r w:rsidR="00AD5FAC" w:rsidRPr="00AD5FAC">
        <w:rPr>
          <w:rFonts w:ascii="Times New Roman" w:hAnsi="Times New Roman" w:cs="Times New Roman"/>
          <w:lang w:val="en-GB"/>
        </w:rPr>
        <w:t xml:space="preserve"> clinical judgment and experience. Patients were evaluated at baseline, 6 and 12-month follow-up. </w:t>
      </w:r>
      <w:r w:rsidR="00AD5FAC">
        <w:rPr>
          <w:rFonts w:ascii="Times New Roman" w:hAnsi="Times New Roman" w:cs="Times New Roman"/>
          <w:lang w:val="en-GB"/>
        </w:rPr>
        <w:t>Q</w:t>
      </w:r>
      <w:r w:rsidR="00AD5FAC" w:rsidRPr="00AD5FAC">
        <w:rPr>
          <w:rFonts w:ascii="Times New Roman" w:hAnsi="Times New Roman" w:cs="Times New Roman"/>
          <w:lang w:val="en-GB"/>
        </w:rPr>
        <w:t>uality adjusted life years (QALYs) gained</w:t>
      </w:r>
      <w:r w:rsidR="00AD5FAC">
        <w:rPr>
          <w:rFonts w:ascii="Times New Roman" w:hAnsi="Times New Roman" w:cs="Times New Roman"/>
          <w:lang w:val="en-GB"/>
        </w:rPr>
        <w:t xml:space="preserve"> were estimated and used to</w:t>
      </w:r>
      <w:r w:rsidR="002438AF" w:rsidRPr="00D85275">
        <w:rPr>
          <w:rFonts w:ascii="Times New Roman" w:hAnsi="Times New Roman" w:cs="Times New Roman"/>
          <w:lang w:val="en-GB"/>
        </w:rPr>
        <w:t xml:space="preserve"> calculate incremental cost-utility ratios (ICUR)</w:t>
      </w:r>
      <w:r w:rsidR="00AD5FAC">
        <w:rPr>
          <w:rFonts w:ascii="Times New Roman" w:hAnsi="Times New Roman" w:cs="Times New Roman"/>
          <w:lang w:val="en-GB"/>
        </w:rPr>
        <w:t xml:space="preserve"> from the healthcare and government perspective</w:t>
      </w:r>
      <w:r w:rsidR="002438AF" w:rsidRPr="00D85275">
        <w:rPr>
          <w:rFonts w:ascii="Times New Roman" w:hAnsi="Times New Roman" w:cs="Times New Roman"/>
          <w:lang w:val="en-GB"/>
        </w:rPr>
        <w:t>.</w:t>
      </w:r>
      <w:r w:rsidR="00B5121C" w:rsidRPr="00B5121C">
        <w:rPr>
          <w:rFonts w:ascii="Times New Roman" w:hAnsi="Times New Roman" w:cs="Times New Roman"/>
          <w:lang w:val="en-US"/>
        </w:rPr>
        <w:t xml:space="preserve"> </w:t>
      </w:r>
      <w:r w:rsidR="00B5121C">
        <w:rPr>
          <w:rFonts w:ascii="Times New Roman" w:hAnsi="Times New Roman" w:cs="Times New Roman"/>
          <w:lang w:val="en-US"/>
        </w:rPr>
        <w:lastRenderedPageBreak/>
        <w:t>To minimize the bias resulting from non-randomization, a p</w:t>
      </w:r>
      <w:r w:rsidR="00B5121C" w:rsidRPr="00BE3BFE">
        <w:rPr>
          <w:rFonts w:ascii="Times New Roman" w:hAnsi="Times New Roman" w:cs="Times New Roman"/>
          <w:lang w:val="en-US"/>
        </w:rPr>
        <w:t>ropensity score-based method was used</w:t>
      </w:r>
      <w:r w:rsidR="00B5121C">
        <w:t>.</w:t>
      </w:r>
    </w:p>
    <w:p w14:paraId="3A2CBFDE" w14:textId="7EE71A7C" w:rsidR="002438AF" w:rsidRPr="00D85275" w:rsidRDefault="002438AF" w:rsidP="002438AF">
      <w:pPr>
        <w:spacing w:line="480" w:lineRule="auto"/>
        <w:jc w:val="both"/>
        <w:rPr>
          <w:rFonts w:ascii="Times New Roman" w:hAnsi="Times New Roman" w:cs="Times New Roman"/>
          <w:b/>
          <w:lang w:val="en-GB"/>
        </w:rPr>
      </w:pPr>
      <w:r w:rsidRPr="00D85275">
        <w:rPr>
          <w:rFonts w:ascii="Times New Roman" w:hAnsi="Times New Roman" w:cs="Times New Roman"/>
          <w:b/>
          <w:lang w:val="en-GB"/>
        </w:rPr>
        <w:t>Results</w:t>
      </w:r>
    </w:p>
    <w:p w14:paraId="61C97832" w14:textId="77777777" w:rsidR="002438AF" w:rsidRPr="00D85275" w:rsidRDefault="002438AF" w:rsidP="002438AF">
      <w:pPr>
        <w:spacing w:line="480" w:lineRule="auto"/>
        <w:jc w:val="both"/>
        <w:rPr>
          <w:rFonts w:ascii="Times New Roman" w:hAnsi="Times New Roman" w:cs="Times New Roman"/>
          <w:lang w:val="en-GB"/>
        </w:rPr>
      </w:pPr>
      <w:r w:rsidRPr="00D85275">
        <w:rPr>
          <w:rFonts w:ascii="Times New Roman" w:hAnsi="Times New Roman" w:cs="Times New Roman"/>
          <w:lang w:val="en-GB"/>
        </w:rPr>
        <w:t>At 6 and 12-month follow-up, ICUR was 2,549</w:t>
      </w:r>
      <w:r w:rsidR="00F5081B">
        <w:rPr>
          <w:rFonts w:ascii="Times New Roman" w:hAnsi="Times New Roman" w:cs="Times New Roman"/>
          <w:lang w:val="en-GB"/>
        </w:rPr>
        <w:t xml:space="preserve"> </w:t>
      </w:r>
      <w:r w:rsidRPr="00D85275">
        <w:rPr>
          <w:rFonts w:ascii="Times New Roman" w:hAnsi="Times New Roman" w:cs="Times New Roman"/>
          <w:lang w:val="en-GB"/>
        </w:rPr>
        <w:t>€/QALY and 6,142</w:t>
      </w:r>
      <w:r w:rsidR="00F5081B">
        <w:rPr>
          <w:rFonts w:ascii="Times New Roman" w:hAnsi="Times New Roman" w:cs="Times New Roman"/>
          <w:lang w:val="en-GB"/>
        </w:rPr>
        <w:t xml:space="preserve"> </w:t>
      </w:r>
      <w:r w:rsidRPr="00D85275">
        <w:rPr>
          <w:rFonts w:ascii="Times New Roman" w:hAnsi="Times New Roman" w:cs="Times New Roman"/>
          <w:lang w:val="en-GB"/>
        </w:rPr>
        <w:t>€/QALY, respectively, in favor of antidepressants. At 6 months, for a willingness to pay (WTP) of 25,000</w:t>
      </w:r>
      <w:r w:rsidR="00F5081B">
        <w:rPr>
          <w:rFonts w:ascii="Times New Roman" w:hAnsi="Times New Roman" w:cs="Times New Roman"/>
          <w:lang w:val="en-GB"/>
        </w:rPr>
        <w:t xml:space="preserve"> </w:t>
      </w:r>
      <w:r w:rsidRPr="00D85275">
        <w:rPr>
          <w:rFonts w:ascii="Times New Roman" w:hAnsi="Times New Roman" w:cs="Times New Roman"/>
          <w:lang w:val="en-GB"/>
        </w:rPr>
        <w:t>€/QALY, antidepressants had a probability of 0.89 (healthcare perspective) and 0.81 (government perspective) of being more cost-effective than AM. At 12 months, this probability was 0.86 (healthcare perspective) and 0.73 (government perspective).</w:t>
      </w:r>
    </w:p>
    <w:p w14:paraId="0914FA1F" w14:textId="77777777" w:rsidR="002438AF" w:rsidRPr="00D85275" w:rsidRDefault="002438AF" w:rsidP="002438AF">
      <w:pPr>
        <w:spacing w:line="480" w:lineRule="auto"/>
        <w:jc w:val="both"/>
        <w:rPr>
          <w:rFonts w:ascii="Times New Roman" w:hAnsi="Times New Roman" w:cs="Times New Roman"/>
          <w:b/>
          <w:lang w:val="en-GB"/>
        </w:rPr>
      </w:pPr>
      <w:r w:rsidRPr="00D85275">
        <w:rPr>
          <w:rFonts w:ascii="Times New Roman" w:hAnsi="Times New Roman" w:cs="Times New Roman"/>
          <w:b/>
          <w:lang w:val="en-GB"/>
        </w:rPr>
        <w:t>Conclusions</w:t>
      </w:r>
    </w:p>
    <w:p w14:paraId="04CC3694" w14:textId="4368A83D" w:rsidR="002438AF" w:rsidRPr="00F604A8" w:rsidRDefault="000324E0" w:rsidP="002438AF">
      <w:pPr>
        <w:spacing w:line="480" w:lineRule="auto"/>
        <w:jc w:val="both"/>
        <w:rPr>
          <w:rFonts w:ascii="Times New Roman" w:hAnsi="Times New Roman" w:cs="Times New Roman"/>
          <w:lang w:val="en-GB"/>
        </w:rPr>
      </w:pPr>
      <w:r w:rsidRPr="000324E0">
        <w:rPr>
          <w:rFonts w:ascii="Times New Roman" w:hAnsi="Times New Roman" w:cs="Times New Roman"/>
          <w:lang w:val="en-GB"/>
        </w:rPr>
        <w:t>Incremental cost-utility ratios favor pharmacological treatment as a first-line approach for patients with mild-moderate major depressive disorder.</w:t>
      </w:r>
      <w:r>
        <w:rPr>
          <w:rFonts w:ascii="Times New Roman" w:hAnsi="Times New Roman" w:cs="Times New Roman"/>
          <w:lang w:val="en-GB"/>
        </w:rPr>
        <w:t xml:space="preserve"> </w:t>
      </w:r>
      <w:r w:rsidR="00F604A8">
        <w:rPr>
          <w:rFonts w:ascii="Times New Roman" w:hAnsi="Times New Roman" w:cs="Times New Roman"/>
          <w:lang w:val="en-GB"/>
        </w:rPr>
        <w:t>While our</w:t>
      </w:r>
      <w:r w:rsidR="002438AF" w:rsidRPr="00D85275">
        <w:rPr>
          <w:rFonts w:ascii="Times New Roman" w:hAnsi="Times New Roman" w:cs="Times New Roman"/>
          <w:lang w:val="en-GB"/>
        </w:rPr>
        <w:t xml:space="preserve"> results should be interpreted with caution and further </w:t>
      </w:r>
      <w:r w:rsidR="00E63695">
        <w:rPr>
          <w:rFonts w:ascii="Times New Roman" w:hAnsi="Times New Roman" w:cs="Times New Roman"/>
          <w:lang w:val="en-GB"/>
        </w:rPr>
        <w:t xml:space="preserve">real world </w:t>
      </w:r>
      <w:r w:rsidR="002438AF" w:rsidRPr="00D85275">
        <w:rPr>
          <w:rFonts w:ascii="Times New Roman" w:hAnsi="Times New Roman" w:cs="Times New Roman"/>
          <w:lang w:val="en-GB"/>
        </w:rPr>
        <w:t>research is needed</w:t>
      </w:r>
      <w:r w:rsidR="00F604A8">
        <w:rPr>
          <w:rFonts w:ascii="Times New Roman" w:hAnsi="Times New Roman" w:cs="Times New Roman"/>
          <w:lang w:val="en-GB"/>
        </w:rPr>
        <w:t>,</w:t>
      </w:r>
      <w:r w:rsidR="002438AF" w:rsidRPr="00D85275">
        <w:rPr>
          <w:rFonts w:ascii="Times New Roman" w:hAnsi="Times New Roman" w:cs="Times New Roman"/>
          <w:lang w:val="en-GB"/>
        </w:rPr>
        <w:t xml:space="preserve"> </w:t>
      </w:r>
      <w:r w:rsidR="003D171B">
        <w:rPr>
          <w:rFonts w:ascii="Times New Roman" w:hAnsi="Times New Roman" w:cs="Times New Roman"/>
          <w:lang w:val="en-GB"/>
        </w:rPr>
        <w:t xml:space="preserve">clinical practice guidelines (CPG) </w:t>
      </w:r>
      <w:r w:rsidR="00F604A8">
        <w:rPr>
          <w:rFonts w:ascii="Times New Roman" w:hAnsi="Times New Roman" w:cs="Times New Roman"/>
          <w:lang w:val="en-GB"/>
        </w:rPr>
        <w:t xml:space="preserve">should consider antidepressant therapy for </w:t>
      </w:r>
      <w:r w:rsidR="002438AF" w:rsidRPr="00D85275">
        <w:rPr>
          <w:rFonts w:ascii="Times New Roman" w:hAnsi="Times New Roman" w:cs="Times New Roman"/>
          <w:lang w:val="en-GB"/>
        </w:rPr>
        <w:t>mild-moderate major depressi</w:t>
      </w:r>
      <w:r w:rsidR="00F604A8">
        <w:rPr>
          <w:rFonts w:ascii="Times New Roman" w:hAnsi="Times New Roman" w:cs="Times New Roman"/>
          <w:lang w:val="en-GB"/>
        </w:rPr>
        <w:t>ve patients</w:t>
      </w:r>
      <w:r w:rsidR="002438AF" w:rsidRPr="00D85275">
        <w:rPr>
          <w:rFonts w:ascii="Times New Roman" w:hAnsi="Times New Roman" w:cs="Times New Roman"/>
          <w:lang w:val="en-GB"/>
        </w:rPr>
        <w:t xml:space="preserve"> </w:t>
      </w:r>
      <w:r w:rsidR="00F604A8">
        <w:rPr>
          <w:rFonts w:ascii="Times New Roman" w:hAnsi="Times New Roman" w:cs="Times New Roman"/>
          <w:lang w:val="en-GB"/>
        </w:rPr>
        <w:t xml:space="preserve">as an alternative to active monitoring </w:t>
      </w:r>
      <w:r w:rsidR="002438AF" w:rsidRPr="00D85275">
        <w:rPr>
          <w:rFonts w:ascii="Times New Roman" w:hAnsi="Times New Roman" w:cs="Times New Roman"/>
          <w:lang w:val="en-GB"/>
        </w:rPr>
        <w:t>in PC.</w:t>
      </w:r>
      <w:r w:rsidR="00E63695">
        <w:rPr>
          <w:rFonts w:ascii="Times New Roman" w:hAnsi="Times New Roman" w:cs="Times New Roman"/>
          <w:lang w:val="en-GB"/>
        </w:rPr>
        <w:t xml:space="preserve"> </w:t>
      </w:r>
    </w:p>
    <w:p w14:paraId="295691E6" w14:textId="026B2147" w:rsidR="00BE3BFE" w:rsidRPr="001D2EDC" w:rsidRDefault="001D2EDC" w:rsidP="004C1910">
      <w:pPr>
        <w:spacing w:line="480" w:lineRule="auto"/>
        <w:jc w:val="both"/>
        <w:rPr>
          <w:rFonts w:ascii="Times New Roman" w:hAnsi="Times New Roman" w:cs="Times New Roman"/>
          <w:b/>
        </w:rPr>
      </w:pPr>
      <w:r w:rsidRPr="001D2EDC">
        <w:rPr>
          <w:rFonts w:ascii="Times New Roman" w:hAnsi="Times New Roman" w:cs="Times New Roman"/>
          <w:b/>
        </w:rPr>
        <w:t>Keywords</w:t>
      </w:r>
    </w:p>
    <w:p w14:paraId="0634E9E6" w14:textId="77777777" w:rsidR="001D2EDC" w:rsidRPr="001328BA" w:rsidRDefault="001D2EDC" w:rsidP="001D2EDC">
      <w:pPr>
        <w:spacing w:line="480" w:lineRule="auto"/>
        <w:jc w:val="both"/>
        <w:rPr>
          <w:rStyle w:val="Ninguno"/>
          <w:rFonts w:ascii="Times New Roman" w:hAnsi="Times New Roman" w:cs="Times New Roman"/>
          <w:lang w:val="en-GB"/>
        </w:rPr>
      </w:pPr>
      <w:r w:rsidRPr="001328BA">
        <w:rPr>
          <w:rStyle w:val="Ninguno"/>
          <w:rFonts w:ascii="Times New Roman" w:hAnsi="Times New Roman" w:cs="Times New Roman"/>
          <w:lang w:val="en-GB"/>
        </w:rPr>
        <w:t>Depression</w:t>
      </w:r>
      <w:r>
        <w:rPr>
          <w:rStyle w:val="Ninguno"/>
          <w:rFonts w:ascii="Times New Roman" w:hAnsi="Times New Roman" w:cs="Times New Roman"/>
          <w:lang w:val="en-GB"/>
        </w:rPr>
        <w:t>/Mood Disorder</w:t>
      </w:r>
      <w:r w:rsidRPr="001328BA">
        <w:rPr>
          <w:rStyle w:val="Ninguno"/>
          <w:rFonts w:ascii="Times New Roman" w:hAnsi="Times New Roman" w:cs="Times New Roman"/>
          <w:lang w:val="en-GB"/>
        </w:rPr>
        <w:t>; Antidepressant</w:t>
      </w:r>
      <w:r>
        <w:rPr>
          <w:rStyle w:val="Ninguno"/>
          <w:rFonts w:ascii="Times New Roman" w:hAnsi="Times New Roman" w:cs="Times New Roman"/>
          <w:lang w:val="en-GB"/>
        </w:rPr>
        <w:t xml:space="preserve"> Medication</w:t>
      </w:r>
      <w:r w:rsidRPr="001328BA">
        <w:rPr>
          <w:rStyle w:val="Ninguno"/>
          <w:rFonts w:ascii="Times New Roman" w:hAnsi="Times New Roman" w:cs="Times New Roman"/>
          <w:lang w:val="en-GB"/>
        </w:rPr>
        <w:t xml:space="preserve">; Primary Care; </w:t>
      </w:r>
      <w:r>
        <w:rPr>
          <w:rStyle w:val="Ninguno"/>
          <w:rFonts w:ascii="Times New Roman" w:hAnsi="Times New Roman" w:cs="Times New Roman"/>
          <w:lang w:val="en-GB"/>
        </w:rPr>
        <w:t>Health economics</w:t>
      </w:r>
      <w:r w:rsidRPr="001328BA">
        <w:rPr>
          <w:rStyle w:val="Ninguno"/>
          <w:rFonts w:ascii="Times New Roman" w:hAnsi="Times New Roman" w:cs="Times New Roman"/>
          <w:lang w:val="en-GB"/>
        </w:rPr>
        <w:t>.</w:t>
      </w:r>
    </w:p>
    <w:p w14:paraId="14EA7A86" w14:textId="77777777" w:rsidR="001D2EDC" w:rsidRDefault="001D2EDC" w:rsidP="004C1910">
      <w:pPr>
        <w:spacing w:line="480" w:lineRule="auto"/>
        <w:jc w:val="both"/>
        <w:rPr>
          <w:rStyle w:val="Ninguno"/>
          <w:rFonts w:ascii="Times New Roman" w:hAnsi="Times New Roman" w:cs="Times New Roman"/>
          <w:b/>
          <w:color w:val="FF0000"/>
          <w:lang w:val="en-GB"/>
        </w:rPr>
      </w:pPr>
    </w:p>
    <w:p w14:paraId="7927FEFD" w14:textId="77777777" w:rsidR="00BE3BFE" w:rsidRDefault="00BE3BFE" w:rsidP="004C1910">
      <w:pPr>
        <w:spacing w:line="480" w:lineRule="auto"/>
        <w:jc w:val="both"/>
        <w:rPr>
          <w:rStyle w:val="Ninguno"/>
          <w:rFonts w:ascii="Times New Roman" w:hAnsi="Times New Roman" w:cs="Times New Roman"/>
          <w:b/>
          <w:color w:val="FF0000"/>
          <w:lang w:val="en-GB"/>
        </w:rPr>
      </w:pPr>
    </w:p>
    <w:p w14:paraId="0E6E3955" w14:textId="77777777" w:rsidR="00BE3BFE" w:rsidRDefault="00BE3BFE" w:rsidP="004C1910">
      <w:pPr>
        <w:spacing w:line="480" w:lineRule="auto"/>
        <w:jc w:val="both"/>
        <w:rPr>
          <w:rStyle w:val="Ninguno"/>
          <w:rFonts w:ascii="Times New Roman" w:hAnsi="Times New Roman" w:cs="Times New Roman"/>
          <w:b/>
          <w:color w:val="FF0000"/>
          <w:lang w:val="en-GB"/>
        </w:rPr>
      </w:pPr>
    </w:p>
    <w:p w14:paraId="359A2A73" w14:textId="77777777" w:rsidR="00BE3BFE" w:rsidRDefault="00BE3BFE" w:rsidP="004C1910">
      <w:pPr>
        <w:spacing w:line="480" w:lineRule="auto"/>
        <w:jc w:val="both"/>
        <w:rPr>
          <w:rStyle w:val="Ninguno"/>
          <w:rFonts w:ascii="Times New Roman" w:hAnsi="Times New Roman" w:cs="Times New Roman"/>
          <w:b/>
          <w:color w:val="FF0000"/>
          <w:lang w:val="en-GB"/>
        </w:rPr>
      </w:pPr>
    </w:p>
    <w:p w14:paraId="765B5CEF" w14:textId="77777777" w:rsidR="00BE3BFE" w:rsidRDefault="00BE3BFE" w:rsidP="004C1910">
      <w:pPr>
        <w:spacing w:line="480" w:lineRule="auto"/>
        <w:jc w:val="both"/>
        <w:rPr>
          <w:rStyle w:val="Ninguno"/>
          <w:rFonts w:ascii="Times New Roman" w:hAnsi="Times New Roman" w:cs="Times New Roman"/>
          <w:b/>
          <w:color w:val="FF0000"/>
          <w:lang w:val="en-GB"/>
        </w:rPr>
      </w:pPr>
    </w:p>
    <w:p w14:paraId="2A0930E4" w14:textId="77777777" w:rsidR="00BE3BFE" w:rsidRDefault="00BE3BFE" w:rsidP="004C1910">
      <w:pPr>
        <w:spacing w:line="480" w:lineRule="auto"/>
        <w:jc w:val="both"/>
        <w:rPr>
          <w:rStyle w:val="Ninguno"/>
          <w:rFonts w:ascii="Times New Roman" w:hAnsi="Times New Roman" w:cs="Times New Roman"/>
          <w:b/>
          <w:color w:val="FF0000"/>
          <w:lang w:val="en-GB"/>
        </w:rPr>
      </w:pPr>
    </w:p>
    <w:p w14:paraId="3DA55C3E" w14:textId="77777777" w:rsidR="00BE3BFE" w:rsidRDefault="00BE3BFE" w:rsidP="004C1910">
      <w:pPr>
        <w:spacing w:line="480" w:lineRule="auto"/>
        <w:jc w:val="both"/>
        <w:rPr>
          <w:rStyle w:val="Ninguno"/>
          <w:rFonts w:ascii="Times New Roman" w:hAnsi="Times New Roman" w:cs="Times New Roman"/>
          <w:b/>
          <w:color w:val="FF0000"/>
          <w:lang w:val="en-GB"/>
        </w:rPr>
      </w:pPr>
    </w:p>
    <w:p w14:paraId="0BD07FF5" w14:textId="77777777" w:rsidR="00BE3BFE" w:rsidRDefault="00BE3BFE" w:rsidP="004C1910">
      <w:pPr>
        <w:spacing w:line="480" w:lineRule="auto"/>
        <w:jc w:val="both"/>
        <w:rPr>
          <w:rStyle w:val="Ninguno"/>
          <w:rFonts w:ascii="Times New Roman" w:hAnsi="Times New Roman" w:cs="Times New Roman"/>
          <w:b/>
          <w:color w:val="FF0000"/>
          <w:lang w:val="en-GB"/>
        </w:rPr>
      </w:pPr>
    </w:p>
    <w:p w14:paraId="58C98DC7" w14:textId="77777777" w:rsidR="00BE3BFE" w:rsidRDefault="00BE3BFE" w:rsidP="004C1910">
      <w:pPr>
        <w:spacing w:line="480" w:lineRule="auto"/>
        <w:jc w:val="both"/>
        <w:rPr>
          <w:rStyle w:val="Ninguno"/>
          <w:rFonts w:ascii="Times New Roman" w:hAnsi="Times New Roman" w:cs="Times New Roman"/>
          <w:b/>
          <w:color w:val="FF0000"/>
          <w:lang w:val="en-GB"/>
        </w:rPr>
      </w:pPr>
    </w:p>
    <w:p w14:paraId="4750F8D7" w14:textId="77777777" w:rsidR="00BE3BFE" w:rsidRDefault="00BE3BFE" w:rsidP="004C1910">
      <w:pPr>
        <w:spacing w:line="480" w:lineRule="auto"/>
        <w:jc w:val="both"/>
        <w:rPr>
          <w:rStyle w:val="Ninguno"/>
          <w:rFonts w:ascii="Times New Roman" w:hAnsi="Times New Roman" w:cs="Times New Roman"/>
          <w:b/>
          <w:color w:val="FF0000"/>
          <w:lang w:val="en-GB"/>
        </w:rPr>
      </w:pPr>
    </w:p>
    <w:p w14:paraId="08671904" w14:textId="77777777" w:rsidR="00BE3BFE" w:rsidRDefault="00BE3BFE" w:rsidP="004C1910">
      <w:pPr>
        <w:spacing w:line="480" w:lineRule="auto"/>
        <w:jc w:val="both"/>
        <w:rPr>
          <w:rStyle w:val="Ninguno"/>
          <w:rFonts w:ascii="Times New Roman" w:hAnsi="Times New Roman" w:cs="Times New Roman"/>
          <w:b/>
          <w:color w:val="FF0000"/>
          <w:lang w:val="en-GB"/>
        </w:rPr>
      </w:pPr>
    </w:p>
    <w:p w14:paraId="763757D0" w14:textId="77777777" w:rsidR="00BE3BFE" w:rsidRPr="004C1910" w:rsidRDefault="00BE3BFE" w:rsidP="004C1910">
      <w:pPr>
        <w:spacing w:line="480" w:lineRule="auto"/>
        <w:jc w:val="both"/>
        <w:rPr>
          <w:rStyle w:val="Ninguno"/>
          <w:rFonts w:ascii="Times New Roman" w:hAnsi="Times New Roman" w:cs="Times New Roman"/>
          <w:b/>
          <w:color w:val="FF0000"/>
          <w:lang w:val="en-GB"/>
        </w:rPr>
      </w:pPr>
    </w:p>
    <w:p w14:paraId="4430AA98" w14:textId="77777777" w:rsidR="00BE3BFE" w:rsidRDefault="00BE3BFE" w:rsidP="00BE3BFE">
      <w:pPr>
        <w:pStyle w:val="Heading1"/>
        <w:rPr>
          <w:lang w:val="en-GB"/>
        </w:rPr>
      </w:pPr>
    </w:p>
    <w:p w14:paraId="1A0D4F94" w14:textId="77777777" w:rsidR="00D16C4E" w:rsidRDefault="00D16C4E">
      <w:pPr>
        <w:rPr>
          <w:rFonts w:ascii="Times New Roman" w:eastAsia="Times New Roman" w:hAnsi="Times New Roman" w:cs="Times New Roman"/>
          <w:b/>
          <w:bCs/>
          <w:sz w:val="28"/>
          <w:szCs w:val="28"/>
          <w:lang w:val="en-US"/>
        </w:rPr>
      </w:pPr>
      <w:r>
        <w:rPr>
          <w:rFonts w:ascii="Times New Roman" w:hAnsi="Times New Roman"/>
          <w:lang w:val="en-US"/>
        </w:rPr>
        <w:br w:type="page"/>
      </w:r>
    </w:p>
    <w:p w14:paraId="0BB2A9C0" w14:textId="1D1CC716" w:rsidR="00BE3BFE" w:rsidRPr="00BE3BFE" w:rsidRDefault="001D2EDC" w:rsidP="00F76044">
      <w:pPr>
        <w:pStyle w:val="Heading1"/>
        <w:rPr>
          <w:rFonts w:ascii="Times New Roman" w:hAnsi="Times New Roman"/>
          <w:lang w:val="en-US"/>
        </w:rPr>
      </w:pPr>
      <w:r>
        <w:rPr>
          <w:rFonts w:ascii="Times New Roman" w:hAnsi="Times New Roman"/>
          <w:lang w:val="en-US"/>
        </w:rPr>
        <w:lastRenderedPageBreak/>
        <w:t>Background</w:t>
      </w:r>
      <w:r w:rsidR="00BE3BFE" w:rsidRPr="00BE3BFE">
        <w:rPr>
          <w:rFonts w:ascii="Times New Roman" w:hAnsi="Times New Roman"/>
          <w:lang w:val="en-US"/>
        </w:rPr>
        <w:t xml:space="preserve"> </w:t>
      </w:r>
    </w:p>
    <w:p w14:paraId="6026DB14" w14:textId="28106F65" w:rsidR="00BE3BFE" w:rsidRPr="00245F4E" w:rsidRDefault="00BE3BFE" w:rsidP="00BE3BFE">
      <w:pPr>
        <w:spacing w:line="480" w:lineRule="auto"/>
        <w:jc w:val="both"/>
        <w:rPr>
          <w:rFonts w:ascii="Times New Roman" w:hAnsi="Times New Roman" w:cs="Times New Roman"/>
          <w:noProof/>
          <w:lang w:val="en-GB"/>
        </w:rPr>
      </w:pPr>
      <w:r w:rsidRPr="00BE3BFE">
        <w:rPr>
          <w:rFonts w:ascii="Times New Roman" w:hAnsi="Times New Roman" w:cs="Times New Roman"/>
          <w:lang w:val="en-GB"/>
        </w:rPr>
        <w:t>Active monitoring</w:t>
      </w:r>
      <w:r w:rsidR="006122FB">
        <w:rPr>
          <w:rFonts w:ascii="Times New Roman" w:hAnsi="Times New Roman" w:cs="Times New Roman"/>
          <w:lang w:val="en-GB"/>
        </w:rPr>
        <w:t xml:space="preserve"> (AM)</w:t>
      </w:r>
      <w:r w:rsidR="00B20112">
        <w:rPr>
          <w:rFonts w:ascii="Times New Roman" w:hAnsi="Times New Roman" w:cs="Times New Roman"/>
          <w:lang w:val="en-GB"/>
        </w:rPr>
        <w:t xml:space="preserve"> </w:t>
      </w:r>
      <w:r w:rsidRPr="00BE3BFE">
        <w:rPr>
          <w:rFonts w:ascii="Times New Roman" w:hAnsi="Times New Roman" w:cs="Times New Roman"/>
          <w:lang w:val="en-GB"/>
        </w:rPr>
        <w:t>has been proposed as an adequate approach for the management of mild-to-moderate major depression</w:t>
      </w:r>
      <w:r w:rsidR="006B7A9E">
        <w:rPr>
          <w:rFonts w:ascii="Times New Roman" w:hAnsi="Times New Roman" w:cs="Times New Roman"/>
          <w:lang w:val="en-GB"/>
        </w:rPr>
        <w:t xml:space="preserve"> </w:t>
      </w:r>
      <w:r w:rsidR="00FF2EB7">
        <w:rPr>
          <w:rFonts w:ascii="Times New Roman" w:hAnsi="Times New Roman" w:cs="Times New Roman"/>
          <w:lang w:val="en-GB"/>
        </w:rPr>
        <w:fldChar w:fldCharType="begin" w:fldLock="1"/>
      </w:r>
      <w:r w:rsidR="006B7A9E">
        <w:rPr>
          <w:rFonts w:ascii="Times New Roman" w:hAnsi="Times New Roman" w:cs="Times New Roman"/>
          <w:lang w:val="en-GB"/>
        </w:rPr>
        <w:instrText>ADDIN CSL_CITATION { "citationItems" : [ { "id" : "ITEM-1", "itemData" : { "author" : [ { "dropping-particle" : "", "family" : "Anderson, I., Pilling, S., Barnes, A., Bayliss, L., Bird, V., Burbeck, R., Chew-Graham, C., Clarke, J., Dyer, M., Flanagan, E., Harris, C., Hopkins, S., Kenwright, M., Kuyken, W., Lewis, A., Lewis, G., Li, R., Masterson, B., Meader, N., Meudell, A., Mitch", "given" : "J.", "non-dropping-particle" : "", "parse-names" : false, "suffix" : "" } ], "container-title" : "Clinical guideline of depression in adult", "id" : "ITEM-1", "issue" : "October", "issued" : { "date-parts" : [ [ "2009" ] ] }, "page" : "63", "title" : "Depression in adults : recognition and management", "type" : "article-journal" }, "uris" : [ "http://www.mendeley.com/documents/?uuid=658323b4-09a8-4812-b4b8-f99c01b1d3ae", "http://www.mendeley.com/documents/?uuid=778b24c8-67e8-4133-8c33-f1893cbc5954", "http://www.mendeley.com/documents/?uuid=1ea371fe-6205-40d6-9267-20c2dd7b3d3d" ] }, { "id" : "ITEM-2", "itemData" : { "author" : [ { "dropping-particle" : "", "family" : "Departament de Salut", "given" : "", "non-dropping-particle" : "", "parse-names" : false, "suffix" : "" } ], "id" : "ITEM-2", "issued" : { "date-parts" : [ [ "2010" ] ] }, "publisher-place" : "Barcelona: Ag\u00e8ncia d'Informaci\u00f3, Avaluaci\u00f3 i Qualitat en Salut. Pla director de salut mental i addictions", "title" : "[Adaptaci\u00f3 al model sanitari catal\u00e0 de la guia de pr\u00e0ctica cl\u00ednica sobre el maneig de la depressi\u00f3 major en l'adult]", "type" : "report" }, "uris" : [ "http://www.mendeley.com/documents/?uuid=799b5feb-879d-4113-b5d1-357beb96cecb" ] } ], "mendeley" : { "formattedCitation" : "[1, 2]", "plainTextFormattedCitation" : "[1, 2]", "previouslyFormattedCitation" : "&lt;sup&gt;1,2&lt;/sup&gt;" }, "properties" : { "noteIndex" : 0 }, "schema" : "https://github.com/citation-style-language/schema/raw/master/csl-citation.json" }</w:instrText>
      </w:r>
      <w:r w:rsidR="00FF2EB7">
        <w:rPr>
          <w:rFonts w:ascii="Times New Roman" w:hAnsi="Times New Roman" w:cs="Times New Roman"/>
          <w:lang w:val="en-GB"/>
        </w:rPr>
        <w:fldChar w:fldCharType="separate"/>
      </w:r>
      <w:r w:rsidR="006B7A9E" w:rsidRPr="006B7A9E">
        <w:rPr>
          <w:rFonts w:ascii="Times New Roman" w:hAnsi="Times New Roman" w:cs="Times New Roman"/>
          <w:noProof/>
          <w:lang w:val="en-GB"/>
        </w:rPr>
        <w:t>[1, 2]</w:t>
      </w:r>
      <w:r w:rsidR="00FF2EB7">
        <w:rPr>
          <w:rFonts w:ascii="Times New Roman" w:hAnsi="Times New Roman" w:cs="Times New Roman"/>
          <w:lang w:val="en-GB"/>
        </w:rPr>
        <w:fldChar w:fldCharType="end"/>
      </w:r>
      <w:r w:rsidR="006B7A9E">
        <w:rPr>
          <w:rFonts w:ascii="Times New Roman" w:hAnsi="Times New Roman" w:cs="Times New Roman"/>
          <w:lang w:val="en-GB"/>
        </w:rPr>
        <w:t>,</w:t>
      </w:r>
      <w:r w:rsidRPr="00BE3BFE">
        <w:rPr>
          <w:rFonts w:ascii="Times New Roman" w:hAnsi="Times New Roman" w:cs="Times New Roman"/>
          <w:lang w:val="en-GB"/>
        </w:rPr>
        <w:t xml:space="preserve"> which is usually treated in primary care (PC)</w:t>
      </w:r>
      <w:r w:rsidR="006B7A9E">
        <w:rPr>
          <w:rFonts w:ascii="Times New Roman" w:hAnsi="Times New Roman" w:cs="Times New Roman"/>
          <w:lang w:val="en-GB"/>
        </w:rPr>
        <w:t xml:space="preserve"> </w:t>
      </w:r>
      <w:r w:rsidR="00153C13">
        <w:rPr>
          <w:rFonts w:ascii="Times New Roman" w:hAnsi="Times New Roman" w:cs="Times New Roman"/>
          <w:lang w:val="en-GB"/>
        </w:rPr>
        <w:fldChar w:fldCharType="begin" w:fldLock="1"/>
      </w:r>
      <w:r w:rsidR="006B7A9E">
        <w:rPr>
          <w:rFonts w:ascii="Times New Roman" w:hAnsi="Times New Roman" w:cs="Times New Roman"/>
          <w:lang w:val="en-GB"/>
        </w:rPr>
        <w:instrText>ADDIN CSL_CITATION { "citationItems" : [ { "id" : "ITEM-1", "itemData" : { "DOI" : "10.1192/bjp.bp.107.039966", "ISBN" : "0007-1250 (Print)", "ISSN" : "0007-1250", "PMID" : "18450661", "abstract" : "BACKGROUND: There is evidence that the prevalence of common mental disorders varies across Europe. AIMS: To compare prevalence of common mental disorders in general practice attendees in six European countries. METHOD: Unselected attendees to general practices in the UK, Spain, Portugal, Slovenia, Estonia and The Netherlands were assessed for major depression, panic syndrome and other anxiety syndrome. Prevalence of DSM-IV major depression, other anxiety syndrome and panic syndrome was compared between the UK and other countries after taking account of differences in demographic factors and practice consultation rates. RESULTS: Prevalence was estimated in 2,344 men and 4,865 women. The highest prevalence for all disorders occurred in the UK and Spain, and lowest in Slovenia and The Netherlands. Men aged 30-50 and women aged 18-30 had the highest prevalence of major depression; men aged 40-60 had the highest prevalence of anxiety, and men and women aged 40-50 had the highest prevalence of panic syndrome. Demographic factors accounted for the variance between the UK and Spain but otherwise had little impact on the significance of observed country differences. CONCLUSIONS: These results add to the evidence for real differences between European countries in prevalence of psychological disorders and show that the burden of care on general practitioners varies markedly between countries.", "author" : [ { "dropping-particle" : "", "family" : "King", "given" : "Michael", "non-dropping-particle" : "", "parse-names" : false, "suffix" : "" }, { "dropping-particle" : "", "family" : "Nazareth", "given" : "Irwin", "non-dropping-particle" : "", "parse-names" : false, "suffix" : "" }, { "dropping-particle" : "", "family" : "Levy", "given" : "Gus", "non-dropping-particle" : "", "parse-names" : false, "suffix" : "" }, { "dropping-particle" : "", "family" : "Walker", "given" : "Carl", "non-dropping-particle" : "", "parse-names" : false, "suffix" : "" }, { "dropping-particle" : "", "family" : "Morris", "given" : "Richard", "non-dropping-particle" : "", "parse-names" : false, "suffix" : "" }, { "dropping-particle" : "", "family" : "Weich", "given" : "Scott", "non-dropping-particle" : "", "parse-names" : false, "suffix" : "" }, { "dropping-particle" : "", "family" : "Bell\u00f3n-Saame\u00f1o", "given" : "Juan Angel", "non-dropping-particle" : "", "parse-names" : false, "suffix" : "" }, { "dropping-particle" : "", "family" : "Moreno", "given" : "Berta", "non-dropping-particle" : "", "parse-names" : false, "suffix" : "" }, { "dropping-particle" : "", "family" : "Svab", "given" : "Igor", "non-dropping-particle" : "", "parse-names" : false, "suffix" : "" }, { "dropping-particle" : "", "family" : "Rotar", "given" : "Danica", "non-dropping-particle" : "", "parse-names" : false, "suffix" : "" }, { "dropping-particle" : "", "family" : "Rifel", "given" : "J", "non-dropping-particle" : "", "parse-names" : false, "suffix" : "" }, { "dropping-particle" : "", "family" : "Maaroos", "given" : "Heidi-Ingrid", "non-dropping-particle" : "", "parse-names" : false, "suffix" : "" }, { "dropping-particle" : "", "family" : "Aluoja", "given" : "Anu", "non-dropping-particle" : "", "parse-names" : false, "suffix" : "" }, { "dropping-particle" : "", "family" : "Kalda", "given" : "Ruth", "non-dropping-particle" : "", "parse-names" : false, "suffix" : "" }, { "dropping-particle" : "", "family" : "Neeleman", "given" : "Jan", "non-dropping-particle" : "", "parse-names" : false, "suffix" : "" }, { "dropping-particle" : "", "family" : "Geerlings", "given" : "Mirjam I", "non-dropping-particle" : "", "parse-names" : false, "suffix" : "" }, { "dropping-particle" : "", "family" : "Xavier", "given" : "Miguel", "non-dropping-particle" : "", "parse-names" : false, "suffix" : "" }, { "dropping-particle" : "", "family" : "Almeida", "given" : "Manuel Caldas", "non-dropping-particle" : "de", "parse-names" : false, "suffix" : "" }, { "dropping-particle" : "", "family" : "Correa", "given" : "Bernardo", "non-dropping-particle" : "", "parse-names" : false, "suffix" : "" }, { "dropping-particle" : "", "family" : "Torres-Gonzalez", "given" : "Francisco", "non-dropping-particle" : "", "parse-names" : false, "suffix" : "" } ], "container-title" : "The British journal of psychiatry : the journal of mental science", "id" : "ITEM-1", "issue" : "5", "issued" : { "date-parts" : [ [ "2008" ] ] }, "page" : "362-367", "title" : "Prevalence of common mental disorders in general practice attendees across Europe.", "type" : "article-journal", "volume" : "192" }, "uris" : [ "http://www.mendeley.com/documents/?uuid=79ed90dc-548f-4294-a62b-4a3cc9a0e321" ] }, { "id" : "ITEM-2", "itemData" : { "PMID" : "19452110", "abstract" : "OBJECTIVE: Previous epidemiological studies have revealed a high prevalence of mental disorders among primary care (PC) patients. However, most studies have methodological limitations (e.g. absence of structured clinical interviews, two-phase designs) that affect the generalizability of their results. The main objective of the present study was to estimate the lifetime and 12-month prevalence of mental disorders in the PC of Catalonia (Spain), using structured clinical interviews and a one-phase design. METHODS: One-phase cross-sectional survey. A representative probability sample without replacement of individuals aged 18 years or older attending PC for a medical visit were interviewed between October 2005 and March 2006. The interviews included SCID-I for depressive and anxiety disorders and the MINI interview for other mental disorders. A total of 3,815 patients from 77 PC centres were included in the statistical analyses. RESULTS: 45.1% of respondents reported at least one lifetime mental disorder and 30.2% reported at least one mental disorder in the previous 12 months. The most common mental disorders were major depression (9.6%), panic disorder (7.0%), specific phobia (6.6%), and generalized anxiety disorder (3.8%). There was a high comorbidity between mood and anxiety disorders, as well as between mental disorders and some chronic physical conditions. CONCLUSIONS: There is a high prevalence and comorbidity of mental disorders in the PC of Catalonia. Public health policies should reinforce the role of family physicians in the detection and treatment of persons with mental disorders.", "author" : [ { "dropping-particle" : "", "family" : "Serrano-Blanco", "given" : "Antoni", "non-dropping-particle" : "", "parse-names" : false, "suffix" : "" }, { "dropping-particle" : "", "family" : "Palao", "given" : "Diego J.", "non-dropping-particle" : "", "parse-names" : false, "suffix" : "" }, { "dropping-particle" : "V.", "family" : "Luciano", "given" : "Juan", "non-dropping-particle" : "", "parse-names" : false, "suffix" : "" }, { "dropping-particle" : "", "family" : "Pinto-Meza", "given" : "Alejandra", "non-dropping-particle" : "", "parse-names" : false, "suffix" : "" }, { "dropping-particle" : "", "family" : "Luj\u00e1n", "given" : "Leila", "non-dropping-particle" : "", "parse-names" : false, "suffix" : "" }, { "dropping-particle" : "", "family" : "Fern\u00e1ndez", "given" : "Ana", "non-dropping-particle" : "", "parse-names" : false, "suffix" : "" }, { "dropping-particle" : "", "family" : "Roura", "given" : "Pere", "non-dropping-particle" : "", "parse-names" : false, "suffix" : "" }, { "dropping-particle" : "", "family" : "Bertsch", "given" : "Jordan", "non-dropping-particle" : "", "parse-names" : false, "suffix" : "" }, { "dropping-particle" : "", "family" : "Mercader", "given" : "Merc\u00e8", "non-dropping-particle" : "", "parse-names" : false, "suffix" : "" }, { "dropping-particle" : "", "family" : "Haro", "given" : "Josep M.", "non-dropping-particle" : "", "parse-names" : false, "suffix" : "" } ], "container-title" : "Social Psychiatry and Psychiatric Epidemiology", "id" : "ITEM-2", "issue" : "2", "issued" : { "date-parts" : [ [ "2010" ] ] }, "page" : "201-210", "title" : "Prevalence of mental disorders in primary care: Results from the diagnosis and treatment of mental disorders in primary care study (DASMAP)", "type" : "article-journal", "volume" : "45" }, "uris" : [ "http://www.mendeley.com/documents/?uuid=cd6f79d3-a586-4910-bb2c-49565c70ba22" ] } ], "mendeley" : { "formattedCitation" : "[3, 4]", "plainTextFormattedCitation" : "[3, 4]", "previouslyFormattedCitation" : "&lt;sup&gt;3,4&lt;/sup&gt;" }, "properties" : { "noteIndex" : 0 }, "schema" : "https://github.com/citation-style-language/schema/raw/master/csl-citation.json" }</w:instrText>
      </w:r>
      <w:r w:rsidR="00153C13">
        <w:rPr>
          <w:rFonts w:ascii="Times New Roman" w:hAnsi="Times New Roman" w:cs="Times New Roman"/>
          <w:lang w:val="en-GB"/>
        </w:rPr>
        <w:fldChar w:fldCharType="separate"/>
      </w:r>
      <w:r w:rsidR="006B7A9E" w:rsidRPr="006B7A9E">
        <w:rPr>
          <w:rFonts w:ascii="Times New Roman" w:hAnsi="Times New Roman" w:cs="Times New Roman"/>
          <w:noProof/>
          <w:lang w:val="en-GB"/>
        </w:rPr>
        <w:t>[3, 4]</w:t>
      </w:r>
      <w:r w:rsidR="00153C13">
        <w:rPr>
          <w:rFonts w:ascii="Times New Roman" w:hAnsi="Times New Roman" w:cs="Times New Roman"/>
          <w:lang w:val="en-GB"/>
        </w:rPr>
        <w:fldChar w:fldCharType="end"/>
      </w:r>
      <w:r w:rsidR="006B7A9E">
        <w:rPr>
          <w:rFonts w:ascii="Times New Roman" w:hAnsi="Times New Roman" w:cs="Times New Roman"/>
          <w:lang w:val="en-GB"/>
        </w:rPr>
        <w:t>.</w:t>
      </w:r>
      <w:r w:rsidR="00881073">
        <w:rPr>
          <w:rFonts w:ascii="Times New Roman" w:hAnsi="Times New Roman" w:cs="Times New Roman"/>
          <w:lang w:val="en-GB"/>
        </w:rPr>
        <w:t xml:space="preserve"> Mild-to-moderate forms of major depression fulfil all DSM-IV criteria for major depression</w:t>
      </w:r>
      <w:r w:rsidR="000E6884">
        <w:rPr>
          <w:rFonts w:ascii="Times New Roman" w:hAnsi="Times New Roman" w:cs="Times New Roman"/>
          <w:lang w:val="en-GB"/>
        </w:rPr>
        <w:t>, including the presence of five out of the nine</w:t>
      </w:r>
      <w:r w:rsidR="00881073">
        <w:rPr>
          <w:rFonts w:ascii="Times New Roman" w:hAnsi="Times New Roman" w:cs="Times New Roman"/>
          <w:lang w:val="en-GB"/>
        </w:rPr>
        <w:t xml:space="preserve"> </w:t>
      </w:r>
      <w:r w:rsidR="000E6884">
        <w:rPr>
          <w:rFonts w:ascii="Times New Roman" w:hAnsi="Times New Roman" w:cs="Times New Roman"/>
          <w:lang w:val="en-GB"/>
        </w:rPr>
        <w:t xml:space="preserve">of possible symptoms for at least 2 weeks, </w:t>
      </w:r>
      <w:r w:rsidR="00881073">
        <w:rPr>
          <w:rFonts w:ascii="Times New Roman" w:hAnsi="Times New Roman" w:cs="Times New Roman"/>
          <w:lang w:val="en-GB"/>
        </w:rPr>
        <w:t>but present with mild-moderate functional impairment.</w:t>
      </w:r>
      <w:r w:rsidRPr="00BE3BFE">
        <w:rPr>
          <w:rFonts w:ascii="Times New Roman" w:hAnsi="Times New Roman" w:cs="Times New Roman"/>
          <w:lang w:val="en-GB"/>
        </w:rPr>
        <w:t xml:space="preserve"> In </w:t>
      </w:r>
      <w:r w:rsidR="00B20112">
        <w:rPr>
          <w:rFonts w:ascii="Times New Roman" w:hAnsi="Times New Roman" w:cs="Times New Roman"/>
          <w:lang w:val="en-GB"/>
        </w:rPr>
        <w:t>AM</w:t>
      </w:r>
      <w:r w:rsidRPr="00BE3BFE">
        <w:rPr>
          <w:rFonts w:ascii="Times New Roman" w:hAnsi="Times New Roman" w:cs="Times New Roman"/>
          <w:lang w:val="en-GB"/>
        </w:rPr>
        <w:t xml:space="preserve">, the patient and </w:t>
      </w:r>
      <w:r w:rsidR="00E63695">
        <w:rPr>
          <w:rFonts w:ascii="Times New Roman" w:hAnsi="Times New Roman" w:cs="Times New Roman"/>
          <w:lang w:val="en-GB"/>
        </w:rPr>
        <w:t>general practitioners</w:t>
      </w:r>
      <w:r w:rsidRPr="00BE3BFE">
        <w:rPr>
          <w:rFonts w:ascii="Times New Roman" w:hAnsi="Times New Roman" w:cs="Times New Roman"/>
          <w:lang w:val="en-GB"/>
        </w:rPr>
        <w:t xml:space="preserve"> (</w:t>
      </w:r>
      <w:r w:rsidR="00E63695">
        <w:rPr>
          <w:rFonts w:ascii="Times New Roman" w:hAnsi="Times New Roman" w:cs="Times New Roman"/>
          <w:lang w:val="en-GB"/>
        </w:rPr>
        <w:t>G</w:t>
      </w:r>
      <w:r w:rsidRPr="00BE3BFE">
        <w:rPr>
          <w:rFonts w:ascii="Times New Roman" w:hAnsi="Times New Roman" w:cs="Times New Roman"/>
          <w:lang w:val="en-GB"/>
        </w:rPr>
        <w:t>P) agree to observe the development of symptoms before starting treatment with antidepressants</w:t>
      </w:r>
      <w:r w:rsidR="006B7A9E">
        <w:rPr>
          <w:rFonts w:ascii="Times New Roman" w:hAnsi="Times New Roman" w:cs="Times New Roman"/>
          <w:lang w:val="en-GB"/>
        </w:rPr>
        <w:t xml:space="preserve"> </w:t>
      </w:r>
      <w:r w:rsidR="00153C13">
        <w:rPr>
          <w:rFonts w:ascii="Times New Roman" w:hAnsi="Times New Roman" w:cs="Times New Roman"/>
          <w:lang w:val="en-GB"/>
        </w:rPr>
        <w:fldChar w:fldCharType="begin" w:fldLock="1"/>
      </w:r>
      <w:r w:rsidR="006B7A9E">
        <w:rPr>
          <w:rFonts w:ascii="Times New Roman" w:hAnsi="Times New Roman" w:cs="Times New Roman"/>
          <w:lang w:val="en-GB"/>
        </w:rPr>
        <w:instrText>ADDIN CSL_CITATION { "citationItems" : [ { "id" : "ITEM-1", "itemData" : { "PMID" : "16675363", "abstract" : "Objectives: The objectives of this study were to determine remission rates and predictors of improvement for minor depression following a 1-month watchful waiting period in primary care and to describe the watchful waiting processes. Methods: Prior to randomization into a clinical trial for minor depression, 111 participants were entered into a 1-month watchful waiting period. Depression severity and predictors of improvement were measured at the start of watchful waiting. At the end of watchful waiting, remission rates were calculated and predictor variables were analyzed for their contribution toward predicting improvement. Results: Remission rates were low, ranging from 9% to 13%, depending on the measure. Avoidant coping style and frequency of engaging in active pleasant events at baseline accounted for the majority of change in depression. During watchful waiting, about one fifth of the sample (21%) had at least one contact with their physician and 27% reported using self-initiated treatments. Conclusions: There is a low likelihood of spontaneous remission for treatment-seeking samples with minor depression in primary care. An avoidant coping style seriously interferes with remission, and engaging in regular active pleasant events confers an advantage. Feasible interventions for primary care that promote activity and decrease avoidant coping styles may improve outcomes. These findings may not generalize to community and non-treatment-seeking samples. ?? 2006 Elsevier Inc. All rights reserved.", "author" : [ { "dropping-particle" : "", "family" : "Hegel", "given" : "Mark T.", "non-dropping-particle" : "", "parse-names" : false, "suffix" : "" }, { "dropping-particle" : "", "family" : "Oxman", "given" : "Thomas E.", "non-dropping-particle" : "", "parse-names" : false, "suffix" : "" }, { "dropping-particle" : "", "family" : "Hull", "given" : "Jay G.", "non-dropping-particle" : "", "parse-names" : false, "suffix" : "" }, { "dropping-particle" : "", "family" : "Swain", "given" : "Karin", "non-dropping-particle" : "", "parse-names" : false, "suffix" : "" }, { "dropping-particle" : "", "family" : "Swick", "given" : "Holly", "non-dropping-particle" : "", "parse-names" : false, "suffix" : "" } ], "container-title" : "General Hospital Psychiatry", "id" : "ITEM-1", "issue" : "3", "issued" : { "date-parts" : [ [ "2006" ] ] }, "page" : "205-212", "title" : "Watchful waiting for minor depression in primary care: remission rates and predictors of improvement", "type" : "article-journal", "volume" : "28" }, "uris" : [ "http://www.mendeley.com/documents/?uuid=1144c6da-80f0-4239-b4f8-64da9f991b62" ] } ], "mendeley" : { "formattedCitation" : "[5]", "plainTextFormattedCitation" : "[5]", "previouslyFormattedCitation" : "&lt;sup&gt;5&lt;/sup&gt;" }, "properties" : { "noteIndex" : 0 }, "schema" : "https://github.com/citation-style-language/schema/raw/master/csl-citation.json" }</w:instrText>
      </w:r>
      <w:r w:rsidR="00153C13">
        <w:rPr>
          <w:rFonts w:ascii="Times New Roman" w:hAnsi="Times New Roman" w:cs="Times New Roman"/>
          <w:lang w:val="en-GB"/>
        </w:rPr>
        <w:fldChar w:fldCharType="separate"/>
      </w:r>
      <w:r w:rsidR="006B7A9E" w:rsidRPr="006B7A9E">
        <w:rPr>
          <w:rFonts w:ascii="Times New Roman" w:hAnsi="Times New Roman" w:cs="Times New Roman"/>
          <w:noProof/>
          <w:lang w:val="en-GB"/>
        </w:rPr>
        <w:t>[5]</w:t>
      </w:r>
      <w:r w:rsidR="00153C13">
        <w:rPr>
          <w:rFonts w:ascii="Times New Roman" w:hAnsi="Times New Roman" w:cs="Times New Roman"/>
          <w:lang w:val="en-GB"/>
        </w:rPr>
        <w:fldChar w:fldCharType="end"/>
      </w:r>
      <w:r w:rsidR="006B7A9E">
        <w:rPr>
          <w:rFonts w:ascii="Times New Roman" w:hAnsi="Times New Roman" w:cs="Times New Roman"/>
          <w:lang w:val="en-GB"/>
        </w:rPr>
        <w:t>.</w:t>
      </w:r>
      <w:r w:rsidRPr="00BE3BFE">
        <w:rPr>
          <w:rFonts w:ascii="Times New Roman" w:hAnsi="Times New Roman" w:cs="Times New Roman"/>
          <w:lang w:val="en-GB"/>
        </w:rPr>
        <w:t xml:space="preserve"> Although variations exist across regions, </w:t>
      </w:r>
      <w:r w:rsidR="00B20112">
        <w:rPr>
          <w:rFonts w:ascii="Times New Roman" w:hAnsi="Times New Roman" w:cs="Times New Roman"/>
          <w:lang w:val="en-GB"/>
        </w:rPr>
        <w:t>AM</w:t>
      </w:r>
      <w:r w:rsidRPr="00BE3BFE">
        <w:rPr>
          <w:rFonts w:ascii="Times New Roman" w:hAnsi="Times New Roman" w:cs="Times New Roman"/>
          <w:lang w:val="en-GB"/>
        </w:rPr>
        <w:t xml:space="preserve"> implies close monitoring of the course of the illness by the </w:t>
      </w:r>
      <w:r w:rsidR="00E63695">
        <w:rPr>
          <w:rFonts w:ascii="Times New Roman" w:hAnsi="Times New Roman" w:cs="Times New Roman"/>
          <w:lang w:val="en-GB"/>
        </w:rPr>
        <w:t>GP</w:t>
      </w:r>
      <w:r w:rsidRPr="00BE3BFE">
        <w:rPr>
          <w:rFonts w:ascii="Times New Roman" w:hAnsi="Times New Roman" w:cs="Times New Roman"/>
          <w:lang w:val="en-GB"/>
        </w:rPr>
        <w:t>, who may accompany monitoring with low-intensity psychosocial interventions such as brief cognitive behavioral therapy</w:t>
      </w:r>
      <w:r w:rsidR="006122FB">
        <w:rPr>
          <w:rFonts w:ascii="Times New Roman" w:hAnsi="Times New Roman" w:cs="Times New Roman"/>
          <w:lang w:val="en-GB"/>
        </w:rPr>
        <w:t xml:space="preserve"> (CBT)</w:t>
      </w:r>
      <w:r w:rsidRPr="00BE3BFE">
        <w:rPr>
          <w:rFonts w:ascii="Times New Roman" w:hAnsi="Times New Roman" w:cs="Times New Roman"/>
          <w:lang w:val="en-GB"/>
        </w:rPr>
        <w:t>, counseling or problem-solving t</w:t>
      </w:r>
      <w:r w:rsidR="00F9097B">
        <w:rPr>
          <w:rFonts w:ascii="Times New Roman" w:hAnsi="Times New Roman" w:cs="Times New Roman"/>
          <w:lang w:val="en-GB"/>
        </w:rPr>
        <w:t>herapy (PST)</w:t>
      </w:r>
      <w:r w:rsidR="006B7A9E">
        <w:rPr>
          <w:rFonts w:ascii="Times New Roman" w:hAnsi="Times New Roman" w:cs="Times New Roman"/>
          <w:lang w:val="en-GB"/>
        </w:rPr>
        <w:t xml:space="preserve"> </w:t>
      </w:r>
      <w:r w:rsidR="00153C13">
        <w:rPr>
          <w:rFonts w:ascii="Times New Roman" w:hAnsi="Times New Roman" w:cs="Times New Roman"/>
          <w:lang w:val="en-GB"/>
        </w:rPr>
        <w:fldChar w:fldCharType="begin" w:fldLock="1"/>
      </w:r>
      <w:r w:rsidR="006B7A9E">
        <w:rPr>
          <w:rFonts w:ascii="Times New Roman" w:hAnsi="Times New Roman" w:cs="Times New Roman"/>
          <w:lang w:val="en-GB"/>
        </w:rPr>
        <w:instrText>ADDIN CSL_CITATION { "citationItems" : [ { "id" : "ITEM-1", "itemData" : { "author" : [ { "dropping-particle" : "", "family" : "Anderson, I., Pilling, S., Barnes, A., Bayliss, L., Bird, V., Burbeck, R., Chew-Graham, C., Clarke, J., Dyer, M., Flanagan, E., Harris, C., Hopkins, S., Kenwright, M., Kuyken, W., Lewis, A., Lewis, G., Li, R., Masterson, B., Meader, N., Meudell, A., Mitch", "given" : "J.", "non-dropping-particle" : "", "parse-names" : false, "suffix" : "" } ], "container-title" : "Clinical guideline of depression in adult", "id" : "ITEM-1", "issue" : "October", "issued" : { "date-parts" : [ [ "2009" ] ] }, "page" : "63", "title" : "Depression in adults : recognition and management", "type" : "article-journal" }, "uris" : [ "http://www.mendeley.com/documents/?uuid=1ea371fe-6205-40d6-9267-20c2dd7b3d3d", "http://www.mendeley.com/documents/?uuid=778b24c8-67e8-4133-8c33-f1893cbc5954", "http://www.mendeley.com/documents/?uuid=658323b4-09a8-4812-b4b8-f99c01b1d3ae" ] }, { "id" : "ITEM-2", "itemData" : { "author" : [ { "dropping-particle" : "", "family" : "Departament de Salut", "given" : "", "non-dropping-particle" : "", "parse-names" : false, "suffix" : "" } ], "id" : "ITEM-2", "issued" : { "date-parts" : [ [ "2010" ] ] }, "publisher-place" : "Barcelona: Ag\u00e8ncia d'Informaci\u00f3, Avaluaci\u00f3 i Qualitat en Salut. Pla director de salut mental i addictions", "title" : "[Adaptaci\u00f3 al model sanitari catal\u00e0 de la guia de pr\u00e0ctica cl\u00ednica sobre el maneig de la depressi\u00f3 major en l'adult]", "type" : "report" }, "uris" : [ "http://www.mendeley.com/documents/?uuid=799b5feb-879d-4113-b5d1-357beb96cecb" ] } ], "mendeley" : { "formattedCitation" : "[1, 2]", "plainTextFormattedCitation" : "[1, 2]", "previouslyFormattedCitation" : "&lt;sup&gt;1,2&lt;/sup&gt;" }, "properties" : { "noteIndex" : 0 }, "schema" : "https://github.com/citation-style-language/schema/raw/master/csl-citation.json" }</w:instrText>
      </w:r>
      <w:r w:rsidR="00153C13">
        <w:rPr>
          <w:rFonts w:ascii="Times New Roman" w:hAnsi="Times New Roman" w:cs="Times New Roman"/>
          <w:lang w:val="en-GB"/>
        </w:rPr>
        <w:fldChar w:fldCharType="separate"/>
      </w:r>
      <w:r w:rsidR="006B7A9E" w:rsidRPr="006B7A9E">
        <w:rPr>
          <w:rFonts w:ascii="Times New Roman" w:hAnsi="Times New Roman" w:cs="Times New Roman"/>
          <w:noProof/>
          <w:lang w:val="en-GB"/>
        </w:rPr>
        <w:t>[1, 2]</w:t>
      </w:r>
      <w:r w:rsidR="00153C13">
        <w:rPr>
          <w:rFonts w:ascii="Times New Roman" w:hAnsi="Times New Roman" w:cs="Times New Roman"/>
          <w:lang w:val="en-GB"/>
        </w:rPr>
        <w:fldChar w:fldCharType="end"/>
      </w:r>
      <w:r w:rsidR="006B7A9E">
        <w:rPr>
          <w:rFonts w:ascii="Times New Roman" w:hAnsi="Times New Roman" w:cs="Times New Roman"/>
          <w:lang w:val="en-GB"/>
        </w:rPr>
        <w:t>.</w:t>
      </w:r>
      <w:r w:rsidRPr="00BE3BFE">
        <w:rPr>
          <w:rFonts w:ascii="Times New Roman" w:hAnsi="Times New Roman" w:cs="Times New Roman"/>
          <w:lang w:val="en-GB"/>
        </w:rPr>
        <w:t xml:space="preserve"> The </w:t>
      </w:r>
      <w:r w:rsidR="00E63695">
        <w:rPr>
          <w:rFonts w:ascii="Times New Roman" w:hAnsi="Times New Roman" w:cs="Times New Roman"/>
          <w:lang w:val="en-GB"/>
        </w:rPr>
        <w:t>GP</w:t>
      </w:r>
      <w:r w:rsidRPr="00BE3BFE">
        <w:rPr>
          <w:rFonts w:ascii="Times New Roman" w:hAnsi="Times New Roman" w:cs="Times New Roman"/>
          <w:lang w:val="en-GB"/>
        </w:rPr>
        <w:t xml:space="preserve"> can also recommend self-help programs or moderate-intensity exercise programs. If symptoms worsen, the </w:t>
      </w:r>
      <w:r w:rsidR="00E63695">
        <w:rPr>
          <w:rFonts w:ascii="Times New Roman" w:hAnsi="Times New Roman" w:cs="Times New Roman"/>
          <w:lang w:val="en-GB"/>
        </w:rPr>
        <w:t>GP</w:t>
      </w:r>
      <w:r w:rsidRPr="00BE3BFE">
        <w:rPr>
          <w:rFonts w:ascii="Times New Roman" w:hAnsi="Times New Roman" w:cs="Times New Roman"/>
          <w:lang w:val="en-GB"/>
        </w:rPr>
        <w:t xml:space="preserve"> could suggest initiating treatment with antidepressants or refer the patient to specialized care as part of the </w:t>
      </w:r>
      <w:r w:rsidR="00B20112">
        <w:rPr>
          <w:rFonts w:ascii="Times New Roman" w:hAnsi="Times New Roman" w:cs="Times New Roman"/>
          <w:lang w:val="en-GB"/>
        </w:rPr>
        <w:t>AM</w:t>
      </w:r>
      <w:r w:rsidRPr="00BE3BFE">
        <w:rPr>
          <w:rFonts w:ascii="Times New Roman" w:hAnsi="Times New Roman" w:cs="Times New Roman"/>
          <w:lang w:val="en-GB"/>
        </w:rPr>
        <w:t xml:space="preserve"> intervention. </w:t>
      </w:r>
    </w:p>
    <w:p w14:paraId="4DAF6E2C" w14:textId="2A57C68D" w:rsidR="00BE3BFE" w:rsidRPr="00BE3BFE" w:rsidRDefault="00BE3BFE" w:rsidP="00BE3BFE">
      <w:pPr>
        <w:spacing w:line="480" w:lineRule="auto"/>
        <w:jc w:val="both"/>
        <w:rPr>
          <w:rFonts w:ascii="Times New Roman" w:hAnsi="Times New Roman" w:cs="Times New Roman"/>
          <w:lang w:val="en-GB"/>
        </w:rPr>
      </w:pPr>
      <w:r w:rsidRPr="00BE3BFE">
        <w:rPr>
          <w:rFonts w:ascii="Times New Roman" w:hAnsi="Times New Roman" w:cs="Times New Roman"/>
          <w:lang w:val="en-GB"/>
        </w:rPr>
        <w:t>Antidepressants are the first-line treatment options for high-risk patients with mild-to-moderate major depression</w:t>
      </w:r>
      <w:r w:rsidR="006B7A9E">
        <w:rPr>
          <w:rFonts w:ascii="Times New Roman" w:hAnsi="Times New Roman" w:cs="Times New Roman"/>
          <w:lang w:val="en-GB"/>
        </w:rPr>
        <w:t xml:space="preserve"> </w:t>
      </w:r>
      <w:r w:rsidR="00153C13">
        <w:rPr>
          <w:rFonts w:ascii="Times New Roman" w:hAnsi="Times New Roman" w:cs="Times New Roman"/>
          <w:lang w:val="en-GB"/>
        </w:rPr>
        <w:fldChar w:fldCharType="begin" w:fldLock="1"/>
      </w:r>
      <w:r w:rsidR="006B7A9E">
        <w:rPr>
          <w:rFonts w:ascii="Times New Roman" w:hAnsi="Times New Roman" w:cs="Times New Roman"/>
          <w:lang w:val="en-GB"/>
        </w:rPr>
        <w:instrText>ADDIN CSL_CITATION { "citationItems" : [ { "id" : "ITEM-1", "itemData" : { "author" : [ { "dropping-particle" : "", "family" : "Anderson, I., Pilling, S., Barnes, A., Bayliss, L., Bird, V., Burbeck, R., Chew-Graham, C., Clarke, J., Dyer, M., Flanagan, E., Harris, C., Hopkins, S., Kenwright, M., Kuyken, W., Lewis, A., Lewis, G., Li, R., Masterson, B., Meader, N., Meudell, A., Mitch", "given" : "J.", "non-dropping-particle" : "", "parse-names" : false, "suffix" : "" } ], "container-title" : "Clinical guideline of depression in adult", "id" : "ITEM-1", "issue" : "October", "issued" : { "date-parts" : [ [ "2009" ] ] }, "page" : "63", "title" : "Depression in adults : recognition and management", "type" : "article-journal" }, "uris" : [ "http://www.mendeley.com/documents/?uuid=1ea371fe-6205-40d6-9267-20c2dd7b3d3d", "http://www.mendeley.com/documents/?uuid=778b24c8-67e8-4133-8c33-f1893cbc5954", "http://www.mendeley.com/documents/?uuid=658323b4-09a8-4812-b4b8-f99c01b1d3ae" ] }, { "id" : "ITEM-2", "itemData" : { "author" : [ { "dropping-particle" : "", "family" : "Departament de Salut", "given" : "", "non-dropping-particle" : "", "parse-names" : false, "suffix" : "" } ], "id" : "ITEM-2", "issued" : { "date-parts" : [ [ "2010" ] ] }, "publisher-place" : "Barcelona: Ag\u00e8ncia d'Informaci\u00f3, Avaluaci\u00f3 i Qualitat en Salut. Pla director de salut mental i addictions", "title" : "[Adaptaci\u00f3 al model sanitari catal\u00e0 de la guia de pr\u00e0ctica cl\u00ednica sobre el maneig de la depressi\u00f3 major en l'adult]", "type" : "report" }, "uris" : [ "http://www.mendeley.com/documents/?uuid=799b5feb-879d-4113-b5d1-357beb96cecb" ] } ], "mendeley" : { "formattedCitation" : "[1, 2]", "plainTextFormattedCitation" : "[1, 2]", "previouslyFormattedCitation" : "&lt;sup&gt;1,2&lt;/sup&gt;" }, "properties" : { "noteIndex" : 0 }, "schema" : "https://github.com/citation-style-language/schema/raw/master/csl-citation.json" }</w:instrText>
      </w:r>
      <w:r w:rsidR="00153C13">
        <w:rPr>
          <w:rFonts w:ascii="Times New Roman" w:hAnsi="Times New Roman" w:cs="Times New Roman"/>
          <w:lang w:val="en-GB"/>
        </w:rPr>
        <w:fldChar w:fldCharType="separate"/>
      </w:r>
      <w:r w:rsidR="006B7A9E" w:rsidRPr="006B7A9E">
        <w:rPr>
          <w:rFonts w:ascii="Times New Roman" w:hAnsi="Times New Roman" w:cs="Times New Roman"/>
          <w:noProof/>
          <w:lang w:val="en-GB"/>
        </w:rPr>
        <w:t>[1, 2]</w:t>
      </w:r>
      <w:r w:rsidR="00153C13">
        <w:rPr>
          <w:rFonts w:ascii="Times New Roman" w:hAnsi="Times New Roman" w:cs="Times New Roman"/>
          <w:lang w:val="en-GB"/>
        </w:rPr>
        <w:fldChar w:fldCharType="end"/>
      </w:r>
      <w:r w:rsidR="00153C13">
        <w:rPr>
          <w:rFonts w:ascii="Times New Roman" w:hAnsi="Times New Roman" w:cs="Times New Roman"/>
          <w:lang w:val="en-GB"/>
        </w:rPr>
        <w:t xml:space="preserve"> </w:t>
      </w:r>
      <w:r w:rsidR="003D171B">
        <w:rPr>
          <w:rFonts w:ascii="Times New Roman" w:hAnsi="Times New Roman" w:cs="Times New Roman"/>
          <w:lang w:val="en-GB"/>
        </w:rPr>
        <w:t>but</w:t>
      </w:r>
      <w:r w:rsidRPr="00BE3BFE">
        <w:rPr>
          <w:rFonts w:ascii="Times New Roman" w:hAnsi="Times New Roman" w:cs="Times New Roman"/>
          <w:lang w:val="en-GB"/>
        </w:rPr>
        <w:t xml:space="preserve"> have been shown to have limited benefits in patients with mild-to-moderate depressive symptoms</w:t>
      </w:r>
      <w:r w:rsidR="006B7A9E">
        <w:rPr>
          <w:rFonts w:ascii="Times New Roman" w:hAnsi="Times New Roman" w:cs="Times New Roman"/>
          <w:lang w:val="en-GB"/>
        </w:rPr>
        <w:t xml:space="preserve"> </w:t>
      </w:r>
      <w:r w:rsidR="00153C13">
        <w:rPr>
          <w:rFonts w:ascii="Times New Roman" w:hAnsi="Times New Roman" w:cs="Times New Roman"/>
          <w:lang w:val="en-GB"/>
        </w:rPr>
        <w:fldChar w:fldCharType="begin" w:fldLock="1"/>
      </w:r>
      <w:r w:rsidR="006B7A9E">
        <w:rPr>
          <w:rFonts w:ascii="Times New Roman" w:hAnsi="Times New Roman" w:cs="Times New Roman"/>
          <w:lang w:val="en-GB"/>
        </w:rPr>
        <w:instrText>ADDIN CSL_CITATION { "citationItems" : [ { "id" : "ITEM-1", "itemData" : { "ISSN" : "0098-7484", "PMID" : "20051569", "abstract" : "Antidepressant medications represent the best established treatment for major depressive disorder, but there is little evidence that they have a specific pharmacological effect relative to pill placebo for patients with less severe depression.", "author" : [ { "dropping-particle" : "", "family" : "Fournier", "given" : "Jay C", "non-dropping-particle" : "", "parse-names" : false, "suffix" : "" }, { "dropping-particle" : "", "family" : "DeRubeis", "given" : "Robert J", "non-dropping-particle" : "", "parse-names" : false, "suffix" : "" }, { "dropping-particle" : "", "family" : "Hollon", "given" : "Steven D", "non-dropping-particle" : "", "parse-names" : false, "suffix" : "" }, { "dropping-particle" : "", "family" : "Dimidjian", "given" : "Sona", "non-dropping-particle" : "", "parse-names" : false, "suffix" : "" }, { "dropping-particle" : "", "family" : "Amsterdam", "given" : "Jay D", "non-dropping-particle" : "", "parse-names" : false, "suffix" : "" }, { "dropping-particle" : "", "family" : "Shelton", "given" : "Richard C", "non-dropping-particle" : "", "parse-names" : false, "suffix" : "" }, { "dropping-particle" : "", "family" : "Fawcett", "given" : "Jan", "non-dropping-particle" : "", "parse-names" : false, "suffix" : "" } ], "container-title" : "JAMA : the journal of the American Medical Association", "id" : "ITEM-1", "issue" : "1", "issued" : { "date-parts" : [ [ "2010" ] ] }, "page" : "47-53", "title" : "Antidepressant drug effects and depression severity: a patient-level meta-analysis.", "type" : "article-journal", "volume" : "303" }, "uris" : [ "http://www.mendeley.com/documents/?uuid=928cca9d-7c68-4630-aa67-c0dfed2661d9" ] } ], "mendeley" : { "formattedCitation" : "[6]", "plainTextFormattedCitation" : "[6]", "previouslyFormattedCitation" : "&lt;sup&gt;6&lt;/sup&gt;" }, "properties" : { "noteIndex" : 0 }, "schema" : "https://github.com/citation-style-language/schema/raw/master/csl-citation.json" }</w:instrText>
      </w:r>
      <w:r w:rsidR="00153C13">
        <w:rPr>
          <w:rFonts w:ascii="Times New Roman" w:hAnsi="Times New Roman" w:cs="Times New Roman"/>
          <w:lang w:val="en-GB"/>
        </w:rPr>
        <w:fldChar w:fldCharType="separate"/>
      </w:r>
      <w:r w:rsidR="006B7A9E" w:rsidRPr="006B7A9E">
        <w:rPr>
          <w:rFonts w:ascii="Times New Roman" w:hAnsi="Times New Roman" w:cs="Times New Roman"/>
          <w:noProof/>
          <w:lang w:val="en-GB"/>
        </w:rPr>
        <w:t>[6]</w:t>
      </w:r>
      <w:r w:rsidR="00153C13">
        <w:rPr>
          <w:rFonts w:ascii="Times New Roman" w:hAnsi="Times New Roman" w:cs="Times New Roman"/>
          <w:lang w:val="en-GB"/>
        </w:rPr>
        <w:fldChar w:fldCharType="end"/>
      </w:r>
      <w:r w:rsidR="006B7A9E">
        <w:rPr>
          <w:rFonts w:ascii="Times New Roman" w:hAnsi="Times New Roman" w:cs="Times New Roman"/>
          <w:lang w:val="en-GB"/>
        </w:rPr>
        <w:t>.</w:t>
      </w:r>
      <w:r w:rsidRPr="00BE3BFE">
        <w:rPr>
          <w:rFonts w:ascii="Times New Roman" w:hAnsi="Times New Roman" w:cs="Times New Roman"/>
          <w:lang w:val="en-GB"/>
        </w:rPr>
        <w:t xml:space="preserve"> </w:t>
      </w:r>
      <w:r w:rsidR="003D171B">
        <w:rPr>
          <w:rFonts w:ascii="Times New Roman" w:hAnsi="Times New Roman" w:cs="Times New Roman"/>
          <w:lang w:val="en-US" w:eastAsia="es-ES"/>
        </w:rPr>
        <w:t>M</w:t>
      </w:r>
      <w:r w:rsidRPr="00BE3BFE">
        <w:rPr>
          <w:rFonts w:ascii="Times New Roman" w:hAnsi="Times New Roman" w:cs="Times New Roman"/>
          <w:lang w:val="en-US" w:eastAsia="es-ES"/>
        </w:rPr>
        <w:t xml:space="preserve">ost clinical practice guidelines </w:t>
      </w:r>
      <w:r w:rsidR="003D171B">
        <w:rPr>
          <w:rFonts w:ascii="Times New Roman" w:hAnsi="Times New Roman" w:cs="Times New Roman"/>
          <w:lang w:val="en-US" w:eastAsia="es-ES"/>
        </w:rPr>
        <w:t xml:space="preserve">(CPG) </w:t>
      </w:r>
      <w:r w:rsidRPr="00BE3BFE">
        <w:rPr>
          <w:rFonts w:ascii="Times New Roman" w:hAnsi="Times New Roman" w:cs="Times New Roman"/>
          <w:lang w:val="en-US" w:eastAsia="es-ES"/>
        </w:rPr>
        <w:t xml:space="preserve">for the treatment of major depression in PC recommend </w:t>
      </w:r>
      <w:r w:rsidR="00B20112">
        <w:rPr>
          <w:rFonts w:ascii="Times New Roman" w:hAnsi="Times New Roman" w:cs="Times New Roman"/>
          <w:lang w:val="en-US" w:eastAsia="es-ES"/>
        </w:rPr>
        <w:t>AM</w:t>
      </w:r>
      <w:r w:rsidRPr="00BE3BFE">
        <w:rPr>
          <w:rFonts w:ascii="Times New Roman" w:hAnsi="Times New Roman" w:cs="Times New Roman"/>
          <w:lang w:val="en-US" w:eastAsia="es-ES"/>
        </w:rPr>
        <w:t xml:space="preserve"> as the first-line treatment. </w:t>
      </w:r>
      <w:r w:rsidRPr="00BE3BFE">
        <w:rPr>
          <w:rFonts w:ascii="Times New Roman" w:hAnsi="Times New Roman" w:cs="Times New Roman"/>
          <w:lang w:val="en-GB"/>
        </w:rPr>
        <w:t xml:space="preserve">Diagnostic concordance between </w:t>
      </w:r>
      <w:r w:rsidR="003D171B">
        <w:rPr>
          <w:rFonts w:ascii="Times New Roman" w:hAnsi="Times New Roman" w:cs="Times New Roman"/>
          <w:lang w:val="en-GB"/>
        </w:rPr>
        <w:t>GP</w:t>
      </w:r>
      <w:r w:rsidRPr="00BE3BFE">
        <w:rPr>
          <w:rFonts w:ascii="Times New Roman" w:hAnsi="Times New Roman" w:cs="Times New Roman"/>
          <w:lang w:val="en-GB"/>
        </w:rPr>
        <w:t xml:space="preserve"> and structured validated interviews is low</w:t>
      </w:r>
      <w:r w:rsidR="006B7A9E">
        <w:rPr>
          <w:rFonts w:ascii="Times New Roman" w:hAnsi="Times New Roman" w:cs="Times New Roman"/>
          <w:lang w:val="en-GB"/>
        </w:rPr>
        <w:t xml:space="preserve"> </w:t>
      </w:r>
      <w:r w:rsidR="00153C13">
        <w:rPr>
          <w:rFonts w:ascii="Times New Roman" w:hAnsi="Times New Roman" w:cs="Times New Roman"/>
          <w:lang w:val="en-US" w:eastAsia="es-ES"/>
        </w:rPr>
        <w:fldChar w:fldCharType="begin" w:fldLock="1"/>
      </w:r>
      <w:r w:rsidR="006B7A9E">
        <w:rPr>
          <w:rFonts w:ascii="Times New Roman" w:hAnsi="Times New Roman" w:cs="Times New Roman"/>
          <w:lang w:val="en-US" w:eastAsia="es-ES"/>
        </w:rPr>
        <w:instrText>ADDIN CSL_CITATION { "citationItems" : [ { "id" : "ITEM-1", "itemData" : { "DOI" : "10.1016/j.genhosppsych.2012.01.012", "ISSN" : "1873-7714", "PMID" : "22341732", "abstract" : "OBJECTIVES: The objectives were to determine the levels of general practitioner (GP) recognition of anxiety disorders and examine associated factors.\n\nMETHODS: An epidemiological survey was carried out in 77 primary care centers representative of Catalonia. A total of 3815 patients were assessed.\n\nRESULTS: GPs identified 185 of the 666 individuals diagnosed as meeting the Structured Clinical Interview for DSM-IV Axis I Disorders (SCID-I) criteria for any anxiety disorder (sensitivity 0.28). Regarding specific anxiety disorders, panic disorder was registered in just three of the patients who, according to the SCID-I, did not meet the criteria for this condition .Generalized anxiety disorder was recorded by the GP in 46 cases, 4 of them being concordant with the SCID-I (sensitivity 0.03). The presence of comorbid hypertension was associated with an increased probability of recognition. Emotional problems as the patients' main complaint and additional appointments with a mental health specialist were associated with both adequate and erroneous recognition. Being female, having more frequent appointments with the GP and having higher levels of self-perceived stress were related to false positives. As disability increased, the probability of being erroneously detected decreased.\n\nCONCLUSION: GPs recognized anxiety disorders in some sufferers but still failed with respect to differentiating between anxiety disorder subtypes and disability assessment.", "author" : [ { "dropping-particle" : "", "family" : "Fern\u00e1ndez", "given" : "Anna", "non-dropping-particle" : "", "parse-names" : false, "suffix" : "" }, { "dropping-particle" : "", "family" : "Rubio-Valera", "given" : "Mar\u00eda", "non-dropping-particle" : "", "parse-names" : false, "suffix" : "" }, { "dropping-particle" : "", "family" : "Bell\u00f3n", "given" : "Juan a", "non-dropping-particle" : "", "parse-names" : false, "suffix" : "" }, { "dropping-particle" : "", "family" : "Pinto-Meza", "given" : "Alejandra", "non-dropping-particle" : "", "parse-names" : false, "suffix" : "" }, { "dropping-particle" : "", "family" : "Luciano", "given" : "Juan Vicente", "non-dropping-particle" : "", "parse-names" : false, "suffix" : "" }, { "dropping-particle" : "", "family" : "Mendive", "given" : "Juan M", "non-dropping-particle" : "", "parse-names" : false, "suffix" : "" }, { "dropping-particle" : "", "family" : "Haro", "given" : "Josep Maria", "non-dropping-particle" : "", "parse-names" : false, "suffix" : "" }, { "dropping-particle" : "", "family" : "Palao", "given" : "Diego J", "non-dropping-particle" : "", "parse-names" : false, "suffix" : "" }, { "dropping-particle" : "", "family" : "Serrano-Blanco", "given" : "Antoni", "non-dropping-particle" : "", "parse-names" : false, "suffix" : "" } ], "container-title" : "General hospital psychiatry", "id" : "ITEM-1", "issue" : "3", "issued" : { "date-parts" : [ [ "2012" ] ] }, "page" : "227-33", "publisher" : "Elsevier Inc.", "title" : "Recognition of anxiety disorders by the general practitioner: results from the DASMAP study.", "type" : "article-journal", "volume" : "34" }, "uris" : [ "http://www.mendeley.com/documents/?uuid=319b1b98-5422-4600-85d7-adb27d0c2a9b" ] }, { "id" : "ITEM-2", "itemData" : { "PMID" : "20302995", "abstract" : "Objectives: The aim of this study was to (1) to explore the validity of the depression diagnosis made by the general practitioner (GP) and factors associated with it, (2) to estimate rates of treatment adequacy for depression and factors associated with it and (3) to study how rates of treatment adequacy vary when using different assessment methods and criteria. Methods: Epidemiological survey carried out in 77 primary care centres representative of Catalonia. A total of 3815 patients were assessed. Results: GPs identified 69 out of the 339 individuals who were diagnosed with a major depressive episode according to the Structured Clinical Interview for DSM-IV Axis I Disorders (SCID-I) (sensitivity 0.22; kappa value: 0.16). The presence of emotional problems as the patients' primary complaint was associated with an increased probability of recognition. Rates of adequacy differed according to criteria: in the cases detected with the SCID-I interview, adequacy was 39.35% when using only patient self-reported data and 54.91% when taking into account data from the clinical chart. Rates of adequacy were higher when assessing adequacy among those considered depressed by the GP. Conclusion: GPs adequately treat most of those whom they consider to be depressed. However, they fail to recognise depressed patients when compared to a psychiatric gold standard. Rates of treatment adequacy varied widely depending on the method used to assess them. \u00a9 2010 Elsevier Inc.", "author" : [ { "dropping-particle" : "", "family" : "Fern\u00e1ndez", "given" : "Anna", "non-dropping-particle" : "", "parse-names" : false, "suffix" : "" }, { "dropping-particle" : "", "family" : "Pinto-Meza", "given" : "Alejandra", "non-dropping-particle" : "", "parse-names" : false, "suffix" : "" }, { "dropping-particle" : "", "family" : "Bell\u00f3n", "given" : "Juan Angel", "non-dropping-particle" : "", "parse-names" : false, "suffix" : "" }, { "dropping-particle" : "", "family" : "Roura-Poch", "given" : "Pere", "non-dropping-particle" : "", "parse-names" : false, "suffix" : "" }, { "dropping-particle" : "", "family" : "Haro", "given" : "Josep M.", "non-dropping-particle" : "", "parse-names" : false, "suffix" : "" }, { "dropping-particle" : "", "family" : "Autonell", "given" : "Jaume", "non-dropping-particle" : "", "parse-names" : false, "suffix" : "" }, { "dropping-particle" : "", "family" : "Palao", "given" : "Diego Jos\u00e9", "non-dropping-particle" : "", "parse-names" : false, "suffix" : "" }, { "dropping-particle" : "", "family" : "Pe\u00f1arrubia", "given" : "Mar\u00eda Teresa", "non-dropping-particle" : "", "parse-names" : false, "suffix" : "" }, { "dropping-particle" : "", "family" : "Fern\u00e1ndez", "given" : "Rita", "non-dropping-particle" : "", "parse-names" : false, "suffix" : "" }, { "dropping-particle" : "", "family" : "Blanco", "given" : "Elena", "non-dropping-particle" : "", "parse-names" : false, "suffix" : "" }, { "dropping-particle" : "", "family" : "Luciano", "given" : "Juan Vicente", "non-dropping-particle" : "", "parse-names" : false, "suffix" : "" }, { "dropping-particle" : "", "family" : "Serrano-Blanco", "given" : "Antoni", "non-dropping-particle" : "", "parse-names" : false, "suffix" : "" } ], "container-title" : "General Hospital Psychiatry", "id" : "ITEM-2", "issue" : "2", "issued" : { "date-parts" : [ [ "2010" ] ] }, "page" : "201-209", "title" : "Is major depression adequately diagnosed and treated by general practitioners? Results from an epidemiological study", "type" : "article-journal", "volume" : "32" }, "uris" : [ "http://www.mendeley.com/documents/?uuid=215e86ba-7c76-4618-a68b-aea4767e976d" ] } ], "mendeley" : { "formattedCitation" : "[7, 8]", "plainTextFormattedCitation" : "[7, 8]", "previouslyFormattedCitation" : "&lt;sup&gt;7,8&lt;/sup&gt;" }, "properties" : { "noteIndex" : 0 }, "schema" : "https://github.com/citation-style-language/schema/raw/master/csl-citation.json" }</w:instrText>
      </w:r>
      <w:r w:rsidR="00153C13">
        <w:rPr>
          <w:rFonts w:ascii="Times New Roman" w:hAnsi="Times New Roman" w:cs="Times New Roman"/>
          <w:lang w:val="en-US" w:eastAsia="es-ES"/>
        </w:rPr>
        <w:fldChar w:fldCharType="separate"/>
      </w:r>
      <w:r w:rsidR="006B7A9E" w:rsidRPr="006B7A9E">
        <w:rPr>
          <w:rFonts w:ascii="Times New Roman" w:hAnsi="Times New Roman" w:cs="Times New Roman"/>
          <w:noProof/>
          <w:lang w:val="en-US" w:eastAsia="es-ES"/>
        </w:rPr>
        <w:t>[7, 8]</w:t>
      </w:r>
      <w:r w:rsidR="00153C13">
        <w:rPr>
          <w:rFonts w:ascii="Times New Roman" w:hAnsi="Times New Roman" w:cs="Times New Roman"/>
          <w:lang w:val="en-US" w:eastAsia="es-ES"/>
        </w:rPr>
        <w:fldChar w:fldCharType="end"/>
      </w:r>
      <w:r w:rsidRPr="00BE3BFE">
        <w:rPr>
          <w:rFonts w:ascii="Times New Roman" w:hAnsi="Times New Roman" w:cs="Times New Roman"/>
          <w:lang w:val="en-GB"/>
        </w:rPr>
        <w:t xml:space="preserve"> and a high proportion of patients without mood disorders are treated with antidepressants and other psychotropic drugs</w:t>
      </w:r>
      <w:r w:rsidR="006B7A9E">
        <w:rPr>
          <w:rFonts w:ascii="Times New Roman" w:hAnsi="Times New Roman" w:cs="Times New Roman"/>
          <w:lang w:val="en-GB"/>
        </w:rPr>
        <w:t xml:space="preserve"> </w:t>
      </w:r>
      <w:r w:rsidR="00153C13">
        <w:rPr>
          <w:rFonts w:ascii="Times New Roman" w:hAnsi="Times New Roman" w:cs="Times New Roman"/>
          <w:lang w:val="en-GB"/>
        </w:rPr>
        <w:fldChar w:fldCharType="begin" w:fldLock="1"/>
      </w:r>
      <w:r w:rsidR="006B7A9E">
        <w:rPr>
          <w:rFonts w:ascii="Times New Roman" w:hAnsi="Times New Roman" w:cs="Times New Roman"/>
          <w:lang w:val="en-GB"/>
        </w:rPr>
        <w:instrText>ADDIN CSL_CITATION { "citationItems" : [ { "id" : "ITEM-1", "itemData" : { "PMID" : "21926053", "abstract" : "BACKGROUND: Mental disorders (MDs) are mainly treated in primary care (PC), where psychotropic drug (PSD) prescribing is highly prevalent. Prescription of PSD is associated with clinical and non-clinical factors.\\n\\nPURPOSE: To describe the patterns of PSD prescribing over a 12-month period and to determine the factors associated with this in a PC population.\\n\\nMETHODS: Cross-sectional study. Data were collected on 3815 patients, via patient interview, on sociodemographics and MDs [Diagnostic and Statistical Manual of Mental Disorders (DSM-IV criteria)]. Computerized records provided data on PSD prescribing. Multilevel logistic regressions assessed the factors that influence prescribing.\\n\\nRESULTS: Thirty-four per cent of PC patients were prescribed PSDs &gt;12 months, with anxiolytics being the most commonly prescribed (22%). Fifty-three per cent of patients with any MD in this 12-month period were prescribed PSDs; however, 25% of patients without any of these disorders were also prescribed these medications. Higher rates of prescribing were associated with female gender, older age, presence of MD, being a househusband/housewife, consulting about psychological problems, increasing number of consultations and higher self-perceived disability. PSDs were less likely to be prescribed to patients born outside Spain and those consulting about physical conditions. PSD prescribing was higher in patients previously married and antipsychotic prescribing was higher in patients never married. No statistically significant associations were found between PSD prescription and education.\\n\\nCONCLUSIONS: PSD prescribing rates are high in Catalonia and are associated with a number of clinical and non-clinical factors. A significant proportion of patients are receiving these drugs in the absence of MD. These findings need to be considered when prescribing in PC.", "author" : [ { "dropping-particle" : "", "family" : "Rubio-valera", "given" : "Maria", "non-dropping-particle" : "", "parse-names" : false, "suffix" : "" }, { "dropping-particle" : "", "family" : "Fern\u00e1ndez", "given" : "Ana", "non-dropping-particle" : "", "parse-names" : false, "suffix" : "" }, { "dropping-particle" : "V.", "family" : "Luciano", "given" : "Juan", "non-dropping-particle" : "", "parse-names" : false, "suffix" : "" }, { "dropping-particle" : "", "family" : "Hughes", "given" : "Carmel M.", "non-dropping-particle" : "", "parse-names" : false, "suffix" : "" }, { "dropping-particle" : "", "family" : "Pinto-meza", "given" : "Alejandra", "non-dropping-particle" : "", "parse-names" : false, "suffix" : "" }, { "dropping-particle" : "", "family" : "Moreno-k\u00fcstner", "given" : "Berta", "non-dropping-particle" : "", "parse-names" : false, "suffix" : "" }, { "dropping-particle" : "", "family" : "Palao", "given" : "Diego J.", "non-dropping-particle" : "", "parse-names" : false, "suffix" : "" }, { "dropping-particle" : "", "family" : "Haro", "given" : "Josep Maria", "non-dropping-particle" : "", "parse-names" : false, "suffix" : "" }, { "dropping-particle" : "", "family" : "Serrano-blanco", "given" : "Antoni", "non-dropping-particle" : "", "parse-names" : false, "suffix" : "" } ], "container-title" : "Family Practice", "id" : "ITEM-1", "issue" : "2", "issued" : { "date-parts" : [ [ "2012" ] ] }, "page" : "154-162", "title" : "Psychotropic prescribing in catalonia: Results from an epidemiological study", "type" : "article-journal", "volume" : "29" }, "uris" : [ "http://www.mendeley.com/documents/?uuid=f1d784be-243c-42b5-98fd-bc6892e64355" ] } ], "mendeley" : { "formattedCitation" : "[9]", "plainTextFormattedCitation" : "[9]", "previouslyFormattedCitation" : "&lt;sup&gt;9&lt;/sup&gt;" }, "properties" : { "noteIndex" : 0 }, "schema" : "https://github.com/citation-style-language/schema/raw/master/csl-citation.json" }</w:instrText>
      </w:r>
      <w:r w:rsidR="00153C13">
        <w:rPr>
          <w:rFonts w:ascii="Times New Roman" w:hAnsi="Times New Roman" w:cs="Times New Roman"/>
          <w:lang w:val="en-GB"/>
        </w:rPr>
        <w:fldChar w:fldCharType="separate"/>
      </w:r>
      <w:r w:rsidR="006B7A9E" w:rsidRPr="006B7A9E">
        <w:rPr>
          <w:rFonts w:ascii="Times New Roman" w:hAnsi="Times New Roman" w:cs="Times New Roman"/>
          <w:noProof/>
          <w:lang w:val="en-GB"/>
        </w:rPr>
        <w:t>[9]</w:t>
      </w:r>
      <w:r w:rsidR="00153C13">
        <w:rPr>
          <w:rFonts w:ascii="Times New Roman" w:hAnsi="Times New Roman" w:cs="Times New Roman"/>
          <w:lang w:val="en-GB"/>
        </w:rPr>
        <w:fldChar w:fldCharType="end"/>
      </w:r>
      <w:r w:rsidR="006B7A9E">
        <w:rPr>
          <w:rFonts w:ascii="Times New Roman" w:hAnsi="Times New Roman" w:cs="Times New Roman"/>
          <w:lang w:val="en-GB"/>
        </w:rPr>
        <w:t>.</w:t>
      </w:r>
      <w:r w:rsidRPr="00BE3BFE">
        <w:rPr>
          <w:rFonts w:ascii="Times New Roman" w:hAnsi="Times New Roman" w:cs="Times New Roman"/>
          <w:lang w:val="en-GB" w:eastAsia="es-ES"/>
        </w:rPr>
        <w:t xml:space="preserve"> Routine use of </w:t>
      </w:r>
      <w:r w:rsidR="00B20112">
        <w:rPr>
          <w:rFonts w:ascii="Times New Roman" w:hAnsi="Times New Roman" w:cs="Times New Roman"/>
          <w:lang w:val="en-GB" w:eastAsia="es-ES"/>
        </w:rPr>
        <w:t>AM</w:t>
      </w:r>
      <w:r w:rsidRPr="00BE3BFE">
        <w:rPr>
          <w:rFonts w:ascii="Times New Roman" w:hAnsi="Times New Roman" w:cs="Times New Roman"/>
          <w:lang w:val="en-GB" w:eastAsia="es-ES"/>
        </w:rPr>
        <w:t xml:space="preserve"> could limit the exposure of patients with </w:t>
      </w:r>
      <w:r w:rsidRPr="00BE3BFE">
        <w:rPr>
          <w:rFonts w:ascii="Times New Roman" w:hAnsi="Times New Roman" w:cs="Times New Roman"/>
          <w:lang w:val="en-US" w:eastAsia="es-ES"/>
        </w:rPr>
        <w:t xml:space="preserve">minor depression or psychological distress to antidepressants. </w:t>
      </w:r>
      <w:r w:rsidRPr="00BE3BFE">
        <w:rPr>
          <w:rFonts w:ascii="Times New Roman" w:hAnsi="Times New Roman" w:cs="Times New Roman"/>
          <w:lang w:val="en-GB"/>
        </w:rPr>
        <w:t xml:space="preserve">Other advantages of </w:t>
      </w:r>
      <w:r w:rsidR="00B20112">
        <w:rPr>
          <w:rFonts w:ascii="Times New Roman" w:hAnsi="Times New Roman" w:cs="Times New Roman"/>
          <w:lang w:val="en-GB"/>
        </w:rPr>
        <w:t>AM</w:t>
      </w:r>
      <w:r w:rsidRPr="00BE3BFE">
        <w:rPr>
          <w:rFonts w:ascii="Times New Roman" w:hAnsi="Times New Roman" w:cs="Times New Roman"/>
          <w:lang w:val="en-GB"/>
        </w:rPr>
        <w:t xml:space="preserve"> include avoiding the side-effects of drugs and their interactions as well as limiting the burden of the stigma associated with the treatment. </w:t>
      </w:r>
    </w:p>
    <w:p w14:paraId="5E227B01" w14:textId="6EA78524" w:rsidR="00BE3BFE" w:rsidRPr="00BE3BFE" w:rsidRDefault="00BE3BFE" w:rsidP="00BE3BFE">
      <w:pPr>
        <w:spacing w:line="480" w:lineRule="auto"/>
        <w:jc w:val="both"/>
        <w:rPr>
          <w:rFonts w:ascii="Times New Roman" w:hAnsi="Times New Roman" w:cs="Times New Roman"/>
          <w:lang w:val="en-US" w:eastAsia="es-ES"/>
        </w:rPr>
      </w:pPr>
      <w:r w:rsidRPr="00BE3BFE">
        <w:rPr>
          <w:rFonts w:ascii="Times New Roman" w:hAnsi="Times New Roman" w:cs="Times New Roman"/>
          <w:lang w:val="en-US" w:eastAsia="es-ES"/>
        </w:rPr>
        <w:t xml:space="preserve">However, in real-life routine practice conditions, the heavy burden on physicians, their lack of training in psychotherapy and their attitudes towards mental health could limit adherence to clinical-guideline recommendations on </w:t>
      </w:r>
      <w:r w:rsidR="00B20112">
        <w:rPr>
          <w:rFonts w:ascii="Times New Roman" w:hAnsi="Times New Roman" w:cs="Times New Roman"/>
          <w:lang w:val="en-US" w:eastAsia="es-ES"/>
        </w:rPr>
        <w:t>AM</w:t>
      </w:r>
      <w:r w:rsidRPr="00BE3BFE">
        <w:rPr>
          <w:rFonts w:ascii="Times New Roman" w:hAnsi="Times New Roman" w:cs="Times New Roman"/>
          <w:lang w:val="en-US" w:eastAsia="es-ES"/>
        </w:rPr>
        <w:t xml:space="preserve"> interventions</w:t>
      </w:r>
      <w:r w:rsidR="006B7A9E">
        <w:rPr>
          <w:rFonts w:ascii="Times New Roman" w:hAnsi="Times New Roman" w:cs="Times New Roman"/>
          <w:lang w:val="en-US" w:eastAsia="es-ES"/>
        </w:rPr>
        <w:t xml:space="preserve"> </w:t>
      </w:r>
      <w:r w:rsidR="00DC2AC8">
        <w:rPr>
          <w:rFonts w:ascii="Times New Roman" w:hAnsi="Times New Roman" w:cs="Times New Roman"/>
          <w:lang w:val="en-US" w:eastAsia="es-ES"/>
        </w:rPr>
        <w:fldChar w:fldCharType="begin" w:fldLock="1"/>
      </w:r>
      <w:r w:rsidR="006B7A9E">
        <w:rPr>
          <w:rFonts w:ascii="Times New Roman" w:hAnsi="Times New Roman" w:cs="Times New Roman"/>
          <w:lang w:val="en-US" w:eastAsia="es-ES"/>
        </w:rPr>
        <w:instrText>ADDIN CSL_CITATION { "citationItems" : [ { "id" : "ITEM-1", "itemData" : { "ISSN" : "1075-2730", "PMID" : "17215415", "abstract" : "OBJECTIVES: Watchful waiting to manage depression in primary care may be an appropriate management approach for some patients who present with less severe depression. This study examined factors associated with primary care clinicians' choice of a watchful waiting approach to care management for depression. METHODS: Secondary data were analyzed from Partners in Care, which examined dissemination of best practices for depression in primary care. Primary care clinicians' decisions regarding watchful waiting were examined by using the baseline survey data from Partners in Care completed by clinicians and patients from February 1996 to March 1997. Participants were 167 primary care clinicians from 46 practices of seven managed care organizations across the United States and their 1,187 patients with depression. Primary care clinicians' proclivity for watchful waiting was examined by using a brief scenario describing a patient with major depressive disorder. RESULTS: Thirty-four clinicians (20 percent) reported a strong proclivity to use watchful waiting for the patient in the scenario. The proclivity was significantly associated with clinicians' reports of the proportion of their actual patients with whom they used this approach. Clinicians were significantly more likely to choose watchful waiting for their actual patients if they had more psychotherapy knowledge (p=.035) or perceived that the need to treat the patient's medical illness was more important than the need to treat his or her mental illness (p=.046) and were less likely to choose a watchful waiting approach if they perceived the lack of availability of mental health professionals as a barrier (p=.050). CONCLUSIONS: Primary care clinicians' knowledge of treatment and perception of barriers influence their proclivity for watchful waiting. Clinician education to promote appropriate use of watchful waiting on the basis of clinical need is recommended.", "author" : [ { "dropping-particle" : "", "family" : "Meredith", "given" : "Lisa S", "non-dropping-particle" : "", "parse-names" : false, "suffix" : "" }, { "dropping-particle" : "", "family" : "Cheng", "given" : "Wendy J Y", "non-dropping-particle" : "", "parse-names" : false, "suffix" : "" }, { "dropping-particle" : "", "family" : "Hickey", "given" : "Scot C", "non-dropping-particle" : "", "parse-names" : false, "suffix" : "" }, { "dropping-particle" : "", "family" : "Dwight-Johnson", "given" : "Megan", "non-dropping-particle" : "", "parse-names" : false, "suffix" : "" } ], "container-title" : "Psychiatric services (Washington, D.C.)", "id" : "ITEM-1", "issue" : "1", "issued" : { "date-parts" : [ [ "2007" ] ] }, "page" : "72-78", "title" : "Factors associated with primary care clinicians' choice of a watchful waiting approach to managing depression.", "type" : "article-journal", "volume" : "58" }, "uris" : [ "http://www.mendeley.com/documents/?uuid=a6589c28-b6cc-4ae0-af80-c2351fa39069" ] }, { "id" : "ITEM-2", "itemData" : { "DOI" : "10.1093/fampra/cmx054", "ISSN" : "0263-2136", "PMID" : "28985309", "abstract" : "Background The benefits of watchful waiting (WW) over antidepressants (ADs) for the treatment of depression in primary care (PC) are unclear. Objective We aimed to systematically review the evidence supporting either WW or ADs for the treatment of subclinical depressive symptoms and mild-moderate depression in a PC setting. Methods This systematic review was registered at PROSPERO (42016036345). Four electronic sources (EMBASE, PubMed, PsycINFO, Web of Knowledge) were systematically searched from inception to November 2016 for controlled trials comparing WW and ADs in PC following established guidelines. The studies had to include adult population with new symptoms of subclinical depression or mild-moderate depression. Patients in the intervention group should receive a WW approach, while patients in the control group underwent treatment with ADs. The abstraction form included information on the setting, characteristics of the study population, total sample size, size of the control and intervention groups and date of the study. Outcome measures and variability were extracted. Results The scarcity of studies and the considerable clinical and methodological heterogeneity discouraged us from performing a meta-analysis. Three articles were included and qualitatively synthesized. There was no evidence for the superiority of one treatment option over the other, although two of the studies suggested small differences in favour of ADs when less conservative analyses were conducted (per protocol analysis and analysis not adjusted for missingness predictors). Conclusions Superiority was not demonstrated by either treatment option. More robust evidence is needed to inform recommendations for the management of depressive symptoms in PC.", "author" : [ { "dropping-particle" : "", "family" : "Iglesias-Gonz\u00e1lez", "given" : "Maria", "non-dropping-particle" : "", "parse-names" : false, "suffix" : "" }, { "dropping-particle" : "", "family" : "Aznar-Lou", "given" : "Ignacio", "non-dropping-particle" : "", "parse-names" : false, "suffix" : "" }, { "dropping-particle" : "", "family" : "Gil-Girbau", "given" : "Montse", "non-dropping-particle" : "", "parse-names" : false, "suffix" : "" }, { "dropping-particle" : "", "family" : "Moreno-Peral", "given" : "Patricia", "non-dropping-particle" : "", "parse-names" : false, "suffix" : "" }, { "dropping-particle" : "", "family" : "Pe\u00f1arrubia-Mar\u00eda", "given" : "M Teresa", "non-dropping-particle" : "", "parse-names" : false, "suffix" : "" }, { "dropping-particle" : "", "family" : "Rubio-Valera", "given" : "Maria", "non-dropping-particle" : "", "parse-names" : false, "suffix" : "" }, { "dropping-particle" : "", "family" : "Serrano-Blanco", "given" : "Antoni", "non-dropping-particle" : "", "parse-names" : false, "suffix" : "" } ], "container-title" : "Family Practice", "id" : "ITEM-2", "issue" : "6", "issued" : { "date-parts" : [ [ "2017", "11", "16" ] ] }, "page" : "639-648", "title" : "Comparing watchful waiting with antidepressants for the management of subclinical depression symptoms to mild\u2013moderate depression in primary care: a systematic review", "type" : "article-journal", "volume" : "34" }, "uris" : [ "http://www.mendeley.com/documents/?uuid=2b63a970-5f62-3e42-998e-32b1cb2224d5" ] } ], "mendeley" : { "formattedCitation" : "[10, 11]", "plainTextFormattedCitation" : "[10, 11]", "previouslyFormattedCitation" : "&lt;sup&gt;10,11&lt;/sup&gt;" }, "properties" : { "noteIndex" : 0 }, "schema" : "https://github.com/citation-style-language/schema/raw/master/csl-citation.json" }</w:instrText>
      </w:r>
      <w:r w:rsidR="00DC2AC8">
        <w:rPr>
          <w:rFonts w:ascii="Times New Roman" w:hAnsi="Times New Roman" w:cs="Times New Roman"/>
          <w:lang w:val="en-US" w:eastAsia="es-ES"/>
        </w:rPr>
        <w:fldChar w:fldCharType="separate"/>
      </w:r>
      <w:r w:rsidR="006B7A9E" w:rsidRPr="006B7A9E">
        <w:rPr>
          <w:rFonts w:ascii="Times New Roman" w:hAnsi="Times New Roman" w:cs="Times New Roman"/>
          <w:noProof/>
          <w:lang w:val="en-US" w:eastAsia="es-ES"/>
        </w:rPr>
        <w:t>[10, 11]</w:t>
      </w:r>
      <w:r w:rsidR="00DC2AC8">
        <w:rPr>
          <w:rFonts w:ascii="Times New Roman" w:hAnsi="Times New Roman" w:cs="Times New Roman"/>
          <w:lang w:val="en-US" w:eastAsia="es-ES"/>
        </w:rPr>
        <w:fldChar w:fldCharType="end"/>
      </w:r>
      <w:r w:rsidR="006B7A9E">
        <w:rPr>
          <w:rFonts w:ascii="Times New Roman" w:hAnsi="Times New Roman" w:cs="Times New Roman"/>
          <w:lang w:val="en-US" w:eastAsia="es-ES"/>
        </w:rPr>
        <w:t>,</w:t>
      </w:r>
      <w:r w:rsidR="00F76044">
        <w:rPr>
          <w:rFonts w:ascii="Times New Roman" w:hAnsi="Times New Roman" w:cs="Times New Roman"/>
          <w:lang w:val="en-US" w:eastAsia="es-ES"/>
        </w:rPr>
        <w:t xml:space="preserve"> </w:t>
      </w:r>
      <w:r w:rsidRPr="00BE3BFE">
        <w:rPr>
          <w:rFonts w:ascii="Times New Roman" w:hAnsi="Times New Roman" w:cs="Times New Roman"/>
          <w:lang w:val="en-US" w:eastAsia="es-ES"/>
        </w:rPr>
        <w:t xml:space="preserve">leading to patients receiving </w:t>
      </w:r>
      <w:r w:rsidRPr="00BE3BFE">
        <w:rPr>
          <w:rFonts w:ascii="Times New Roman" w:hAnsi="Times New Roman" w:cs="Times New Roman"/>
          <w:lang w:val="en-US" w:eastAsia="es-ES"/>
        </w:rPr>
        <w:lastRenderedPageBreak/>
        <w:t>no treatment at all</w:t>
      </w:r>
      <w:r w:rsidR="006B7A9E">
        <w:rPr>
          <w:rFonts w:ascii="Times New Roman" w:hAnsi="Times New Roman" w:cs="Times New Roman"/>
          <w:lang w:val="en-US" w:eastAsia="es-ES"/>
        </w:rPr>
        <w:t xml:space="preserve"> </w:t>
      </w:r>
      <w:r w:rsidR="009D1A87">
        <w:rPr>
          <w:rFonts w:ascii="Times New Roman" w:hAnsi="Times New Roman" w:cs="Times New Roman"/>
          <w:lang w:val="en-US" w:eastAsia="es-ES"/>
        </w:rPr>
        <w:fldChar w:fldCharType="begin" w:fldLock="1"/>
      </w:r>
      <w:r w:rsidR="006B7A9E">
        <w:rPr>
          <w:rFonts w:ascii="Times New Roman" w:hAnsi="Times New Roman" w:cs="Times New Roman"/>
          <w:lang w:val="en-US" w:eastAsia="es-ES"/>
        </w:rPr>
        <w:instrText>ADDIN CSL_CITATION { "citationItems" : [ { "id" : "ITEM-1", "itemData" : { "PMID" : "16675363", "abstract" : "Objectives: The objectives of this study were to determine remission rates and predictors of improvement for minor depression following a 1-month watchful waiting period in primary care and to describe the watchful waiting processes. Methods: Prior to randomization into a clinical trial for minor depression, 111 participants were entered into a 1-month watchful waiting period. Depression severity and predictors of improvement were measured at the start of watchful waiting. At the end of watchful waiting, remission rates were calculated and predictor variables were analyzed for their contribution toward predicting improvement. Results: Remission rates were low, ranging from 9% to 13%, depending on the measure. Avoidant coping style and frequency of engaging in active pleasant events at baseline accounted for the majority of change in depression. During watchful waiting, about one fifth of the sample (21%) had at least one contact with their physician and 27% reported using self-initiated treatments. Conclusions: There is a low likelihood of spontaneous remission for treatment-seeking samples with minor depression in primary care. An avoidant coping style seriously interferes with remission, and engaging in regular active pleasant events confers an advantage. Feasible interventions for primary care that promote activity and decrease avoidant coping styles may improve outcomes. These findings may not generalize to community and non-treatment-seeking samples. ?? 2006 Elsevier Inc. All rights reserved.", "author" : [ { "dropping-particle" : "", "family" : "Hegel", "given" : "Mark T.", "non-dropping-particle" : "", "parse-names" : false, "suffix" : "" }, { "dropping-particle" : "", "family" : "Oxman", "given" : "Thomas E.", "non-dropping-particle" : "", "parse-names" : false, "suffix" : "" }, { "dropping-particle" : "", "family" : "Hull", "given" : "Jay G.", "non-dropping-particle" : "", "parse-names" : false, "suffix" : "" }, { "dropping-particle" : "", "family" : "Swain", "given" : "Karin", "non-dropping-particle" : "", "parse-names" : false, "suffix" : "" }, { "dropping-particle" : "", "family" : "Swick", "given" : "Holly", "non-dropping-particle" : "", "parse-names" : false, "suffix" : "" } ], "container-title" : "General Hospital Psychiatry", "id" : "ITEM-1", "issue" : "3", "issued" : { "date-parts" : [ [ "2006" ] ] }, "page" : "205-212", "title" : "Watchful waiting for minor depression in primary care: remission rates and predictors of improvement", "type" : "article-journal", "volume" : "28" }, "uris" : [ "http://www.mendeley.com/documents/?uuid=1144c6da-80f0-4239-b4f8-64da9f991b62" ] } ], "mendeley" : { "formattedCitation" : "[5]", "plainTextFormattedCitation" : "[5]", "previouslyFormattedCitation" : "&lt;sup&gt;5&lt;/sup&gt;" }, "properties" : { "noteIndex" : 0 }, "schema" : "https://github.com/citation-style-language/schema/raw/master/csl-citation.json" }</w:instrText>
      </w:r>
      <w:r w:rsidR="009D1A87">
        <w:rPr>
          <w:rFonts w:ascii="Times New Roman" w:hAnsi="Times New Roman" w:cs="Times New Roman"/>
          <w:lang w:val="en-US" w:eastAsia="es-ES"/>
        </w:rPr>
        <w:fldChar w:fldCharType="separate"/>
      </w:r>
      <w:r w:rsidR="006B7A9E" w:rsidRPr="006B7A9E">
        <w:rPr>
          <w:rFonts w:ascii="Times New Roman" w:hAnsi="Times New Roman" w:cs="Times New Roman"/>
          <w:noProof/>
          <w:lang w:val="en-US" w:eastAsia="es-ES"/>
        </w:rPr>
        <w:t>[5]</w:t>
      </w:r>
      <w:r w:rsidR="009D1A87">
        <w:rPr>
          <w:rFonts w:ascii="Times New Roman" w:hAnsi="Times New Roman" w:cs="Times New Roman"/>
          <w:lang w:val="en-US" w:eastAsia="es-ES"/>
        </w:rPr>
        <w:fldChar w:fldCharType="end"/>
      </w:r>
      <w:r w:rsidR="006B7A9E">
        <w:rPr>
          <w:rFonts w:ascii="Times New Roman" w:hAnsi="Times New Roman" w:cs="Times New Roman"/>
          <w:lang w:val="en-US" w:eastAsia="es-ES"/>
        </w:rPr>
        <w:t>.</w:t>
      </w:r>
      <w:r w:rsidRPr="00BE3BFE">
        <w:rPr>
          <w:rFonts w:ascii="Times New Roman" w:hAnsi="Times New Roman" w:cs="Times New Roman"/>
          <w:lang w:val="en-US"/>
        </w:rPr>
        <w:t xml:space="preserve"> Lack of treatment could result in </w:t>
      </w:r>
      <w:r w:rsidRPr="00BE3BFE">
        <w:rPr>
          <w:rFonts w:ascii="Times New Roman" w:hAnsi="Times New Roman" w:cs="Times New Roman"/>
          <w:lang w:val="en-US" w:eastAsia="es-ES"/>
        </w:rPr>
        <w:t xml:space="preserve">worsening symptoms and increasing costs associated with health service use and productivity losses. </w:t>
      </w:r>
    </w:p>
    <w:p w14:paraId="6BD5BA37" w14:textId="02745FC7" w:rsidR="00BE3BFE" w:rsidRPr="00BE3BFE" w:rsidRDefault="00BE3BFE" w:rsidP="00BE3BFE">
      <w:pPr>
        <w:spacing w:line="480" w:lineRule="auto"/>
        <w:jc w:val="both"/>
        <w:rPr>
          <w:rFonts w:ascii="Times New Roman" w:hAnsi="Times New Roman" w:cs="Times New Roman"/>
          <w:color w:val="000000"/>
          <w:shd w:val="clear" w:color="auto" w:fill="FFFFFF"/>
          <w:lang w:val="en-GB"/>
        </w:rPr>
      </w:pPr>
      <w:r w:rsidRPr="00BE3BFE">
        <w:rPr>
          <w:rFonts w:ascii="Times New Roman" w:hAnsi="Times New Roman" w:cs="Times New Roman"/>
          <w:lang w:val="en-US"/>
        </w:rPr>
        <w:t xml:space="preserve">Available evidence on the efficiency of </w:t>
      </w:r>
      <w:r w:rsidR="00B20112">
        <w:rPr>
          <w:rFonts w:ascii="Times New Roman" w:hAnsi="Times New Roman" w:cs="Times New Roman"/>
          <w:lang w:val="en-US"/>
        </w:rPr>
        <w:t>AM</w:t>
      </w:r>
      <w:r w:rsidRPr="00BE3BFE">
        <w:rPr>
          <w:rFonts w:ascii="Times New Roman" w:hAnsi="Times New Roman" w:cs="Times New Roman"/>
          <w:lang w:val="en-US"/>
        </w:rPr>
        <w:t xml:space="preserve"> in comparison with antidepressants is limited and contradictory. An economic evaluation comparing treatment with and without antidepressants in patients with minor or mild-major depressive disorder observed no differences in cost-effectiveness between the two treatment strategies</w:t>
      </w:r>
      <w:r w:rsidR="006B7A9E">
        <w:rPr>
          <w:rFonts w:ascii="Times New Roman" w:hAnsi="Times New Roman" w:cs="Times New Roman"/>
          <w:lang w:val="en-US"/>
        </w:rPr>
        <w:t xml:space="preserve"> </w:t>
      </w:r>
      <w:r w:rsidR="009D1A87">
        <w:rPr>
          <w:rFonts w:ascii="Times New Roman" w:hAnsi="Times New Roman" w:cs="Times New Roman"/>
          <w:lang w:val="en-US"/>
        </w:rPr>
        <w:fldChar w:fldCharType="begin" w:fldLock="1"/>
      </w:r>
      <w:r w:rsidR="006B7A9E">
        <w:rPr>
          <w:rFonts w:ascii="Times New Roman" w:hAnsi="Times New Roman" w:cs="Times New Roman"/>
          <w:lang w:val="en-US"/>
        </w:rPr>
        <w:instrText>ADDIN CSL_CITATION { "citationItems" : [ { "id" : "ITEM-1", "itemData" : { "PMID" : "18342952", "abstract" : "Background: Minor depression is common in primary care and associated with increased health care costs. Many mildly depressed patients are prescribed antidepressants, although there is insufficient information on the cost-effectiveness of antidepressants for these patients. The objective of this study was to evaluate whether usual care without antidepressants is equivalent to (i.e. as effective as and as expensive as) usual care with antidepressants in patients with minor or mild-major depression. Methods: Severity of depression was measured using the Montgomery Asberg Depression Rating Scale (MADRS) and quality-adjusted life-years (QALYs) using the EuroQol. Resource use was measured from a societal perspective using cost diaries. Bootstrapping was used to analyze the cost-effectiveness data. Results: Equivalence could not be shown for improvement in MADRS score or QALYs gained at 52??weeks. The mean (95% CI) difference in total costs between usual care without antidepressants and usual care with antidepressants was - ???751 (- 3601; 1522). Using an equivalence margin of ???500 equivalence in costs could not be shown. In the cost-effectiveness analyses equivalence also could not be shown. Limitations: This study was underpowered for economic outcomes. Another limitation was the loss-to-follow-up. Conclusions: Although equivalence could not be shown in the costs and cost-effectiveness analyses, 95% confidence intervals also did not show that usual care without antidepressants was vastly superior or inferior to usual care with antidepressants. Therefore, we recommend general practitioners to show restraint when prescribing antidepressants to mildly depressed patients. ?? 2008 Elsevier B.V. All rights reserved.", "author" : [ { "dropping-particle" : "", "family" : "Bosmans", "given" : "Judith E.", "non-dropping-particle" : "", "parse-names" : false, "suffix" : "" }, { "dropping-particle" : "", "family" : "Hermens", "given" : "M. L M", "non-dropping-particle" : "", "parse-names" : false, "suffix" : "" }, { "dropping-particle" : "", "family" : "Bruijne", "given" : "Martine C.", "non-dropping-particle" : "de", "parse-names" : false, "suffix" : "" }, { "dropping-particle" : "", "family" : "Hout", "given" : "H. P J", "non-dropping-particle" : "van", "parse-names" : false, "suffix" : "" }, { "dropping-particle" : "", "family" : "Terluin", "given" : "Berend", "non-dropping-particle" : "", "parse-names" : false, "suffix" : "" }, { "dropping-particle" : "", "family" : "Bouter", "given" : "Lex M.", "non-dropping-particle" : "", "parse-names" : false, "suffix" : "" }, { "dropping-particle" : "", "family" : "Stalman", "given" : "W. A B", "non-dropping-particle" : "", "parse-names" : false, "suffix" : "" }, { "dropping-particle" : "", "family" : "Tulder", "given" : "Maurits W.", "non-dropping-particle" : "van", "parse-names" : false, "suffix" : "" } ], "container-title" : "Journal of Affective Disorders", "id" : "ITEM-1", "issue" : "1", "issued" : { "date-parts" : [ [ "2008" ] ] }, "page" : "106-112", "title" : "Cost-effectiveness of usual general practitioner care with or without antidepressant medication for patients with minor or mild-major depression", "type" : "article-journal", "volume" : "111" }, "uris" : [ "http://www.mendeley.com/documents/?uuid=15694c84-e69b-4903-b01a-1bd5c1f3eae5" ] } ], "mendeley" : { "formattedCitation" : "[12]", "plainTextFormattedCitation" : "[12]", "previouslyFormattedCitation" : "&lt;sup&gt;12&lt;/sup&gt;" }, "properties" : { "noteIndex" : 0 }, "schema" : "https://github.com/citation-style-language/schema/raw/master/csl-citation.json" }</w:instrText>
      </w:r>
      <w:r w:rsidR="009D1A87">
        <w:rPr>
          <w:rFonts w:ascii="Times New Roman" w:hAnsi="Times New Roman" w:cs="Times New Roman"/>
          <w:lang w:val="en-US"/>
        </w:rPr>
        <w:fldChar w:fldCharType="separate"/>
      </w:r>
      <w:r w:rsidR="006B7A9E" w:rsidRPr="006B7A9E">
        <w:rPr>
          <w:rFonts w:ascii="Times New Roman" w:hAnsi="Times New Roman" w:cs="Times New Roman"/>
          <w:noProof/>
          <w:lang w:val="en-US"/>
        </w:rPr>
        <w:t>[12]</w:t>
      </w:r>
      <w:r w:rsidR="009D1A87">
        <w:rPr>
          <w:rFonts w:ascii="Times New Roman" w:hAnsi="Times New Roman" w:cs="Times New Roman"/>
          <w:lang w:val="en-US"/>
        </w:rPr>
        <w:fldChar w:fldCharType="end"/>
      </w:r>
      <w:r w:rsidR="006B7A9E">
        <w:rPr>
          <w:rFonts w:ascii="Times New Roman" w:hAnsi="Times New Roman" w:cs="Times New Roman"/>
          <w:lang w:val="en-US"/>
        </w:rPr>
        <w:t>.</w:t>
      </w:r>
      <w:r w:rsidRPr="00BE3BFE">
        <w:rPr>
          <w:rFonts w:ascii="Times New Roman" w:hAnsi="Times New Roman" w:cs="Times New Roman"/>
          <w:color w:val="000000"/>
          <w:shd w:val="clear" w:color="auto" w:fill="FFFFFF"/>
          <w:lang w:val="en-GB"/>
        </w:rPr>
        <w:t xml:space="preserve"> Conversely, the THREAD study</w:t>
      </w:r>
      <w:r w:rsidR="006B7A9E">
        <w:rPr>
          <w:rFonts w:ascii="Times New Roman" w:hAnsi="Times New Roman" w:cs="Times New Roman"/>
          <w:color w:val="000000"/>
          <w:shd w:val="clear" w:color="auto" w:fill="FFFFFF"/>
          <w:lang w:val="en-GB"/>
        </w:rPr>
        <w:t xml:space="preserve"> </w:t>
      </w:r>
      <w:r w:rsidR="009D1A87">
        <w:rPr>
          <w:rFonts w:ascii="Times New Roman" w:hAnsi="Times New Roman" w:cs="Times New Roman"/>
          <w:color w:val="000000"/>
          <w:shd w:val="clear" w:color="auto" w:fill="FFFFFF"/>
          <w:lang w:val="en-GB"/>
        </w:rPr>
        <w:fldChar w:fldCharType="begin" w:fldLock="1"/>
      </w:r>
      <w:r w:rsidR="006B7A9E">
        <w:rPr>
          <w:rFonts w:ascii="Times New Roman" w:hAnsi="Times New Roman" w:cs="Times New Roman"/>
          <w:color w:val="000000"/>
          <w:shd w:val="clear" w:color="auto" w:fill="FFFFFF"/>
          <w:lang w:val="en-GB"/>
        </w:rPr>
        <w:instrText>ADDIN CSL_CITATION { "citationItems" : [ { "id" : "ITEM-1", "itemData" : { "DOI" : "10.3310/hta13220", "author" : [ { "dropping-particle" : "", "family" : "Kendrick", "given" : "T", "non-dropping-particle" : "", "parse-names" : false, "suffix" : "" }, { "dropping-particle" : "", "family" : "Chatwin", "given" : "J", "non-dropping-particle" : "", "parse-names" : false, "suffix" : "" }, { "dropping-particle" : "", "family" : "Dowrick", "given" : "C", "non-dropping-particle" : "", "parse-names" : false, "suffix" : "" }, { "dropping-particle" : "", "family" : "Tylee", "given" : "A", "non-dropping-particle" : "", "parse-names" : false, "suffix" : "" }, { "dropping-particle" : "", "family" : "Morriss", "given" : "R", "non-dropping-particle" : "", "parse-names" : false, "suffix" : "" }, { "dropping-particle" : "", "family" : "Peveler", "given" : "R", "non-dropping-particle" : "", "parse-names" : false, "suffix" : "" }, { "dropping-particle" : "", "family" : "Leese", "given" : "M", "non-dropping-particle" : "", "parse-names" : false, "suffix" : "" }, { "dropping-particle" : "", "family" : "McCrone", "given" : "P", "non-dropping-particle" : "", "parse-names" : false, "suffix" : "" }, { "dropping-particle" : "", "family" : "Harris", "given" : "T", "non-dropping-particle" : "", "parse-names" : false, "suffix" : "" }, { "dropping-particle" : "", "family" : "Moore", "given" : "M", "non-dropping-particle" : "", "parse-names" : false, "suffix" : "" }, { "dropping-particle" : "", "family" : "Byng", "given" : "R", "non-dropping-particle" : "", "parse-names" : false, "suffix" : "" }, { "dropping-particle" : "", "family" : "Brown", "given" : "G", "non-dropping-particle" : "", "parse-names" : false, "suffix" : "" }, { "dropping-particle" : "", "family" : "Barthel", "given" : "S", "non-dropping-particle" : "", "parse-names" : false, "suffix" : "" }, { "dropping-particle" : "", "family" : "Mander", "given" : "H", "non-dropping-particle" : "", "parse-names" : false, "suffix" : "" }, { "dropping-particle" : "", "family" : "Ring", "given" : "A", "non-dropping-particle" : "", "parse-names" : false, "suffix" : "" }, { "dropping-particle" : "", "family" : "Kelly", "given" : "V", "non-dropping-particle" : "", "parse-names" : false, "suffix" : "" }, { "dropping-particle" : "", "family" : "Wallace", "given" : "V", "non-dropping-particle" : "", "parse-names" : false, "suffix" : "" }, { "dropping-particle" : "", "family" : "Gabbay", "given" : "M", "non-dropping-particle" : "", "parse-names" : false, "suffix" : "" }, { "dropping-particle" : "", "family" : "Craig", "given" : "T", "non-dropping-particle" : "", "parse-names" : false, "suffix" : "" }, { "dropping-particle" : "", "family" : "Mann", "given" : "A", "non-dropping-particle" : "", "parse-names" : false, "suffix" : "" } ], "container-title" : "Health technology assessment (Winchester, England)", "id" : "ITEM-1", "issue" : "22", "issued" : { "date-parts" : [ [ "2009" ] ] }, "note" : "Leese, Morven/E-4195-2010; Tylee, Andre/D-8468-2010\n0", "page" : "iii-iv, ix-xi, 1-159", "title" : "Randomised controlled trial to determine the clinical effectiveness and cost-effectiveness of selective serotonin reuptake inhibitors plus supportive care, versus supportive care alone, for mild to moderate depression with somatic symptoms in primary care", "type" : "article-journal", "volume" : "13" }, "uris" : [ "http://www.mendeley.com/documents/?uuid=cce26339-eaae-4a01-a72b-6679b354a6ce" ] } ], "mendeley" : { "formattedCitation" : "[13]", "plainTextFormattedCitation" : "[13]", "previouslyFormattedCitation" : "&lt;sup&gt;13&lt;/sup&gt;" }, "properties" : { "noteIndex" : 0 }, "schema" : "https://github.com/citation-style-language/schema/raw/master/csl-citation.json" }</w:instrText>
      </w:r>
      <w:r w:rsidR="009D1A87">
        <w:rPr>
          <w:rFonts w:ascii="Times New Roman" w:hAnsi="Times New Roman" w:cs="Times New Roman"/>
          <w:color w:val="000000"/>
          <w:shd w:val="clear" w:color="auto" w:fill="FFFFFF"/>
          <w:lang w:val="en-GB"/>
        </w:rPr>
        <w:fldChar w:fldCharType="separate"/>
      </w:r>
      <w:r w:rsidR="006B7A9E" w:rsidRPr="006B7A9E">
        <w:rPr>
          <w:rFonts w:ascii="Times New Roman" w:hAnsi="Times New Roman" w:cs="Times New Roman"/>
          <w:noProof/>
          <w:color w:val="000000"/>
          <w:shd w:val="clear" w:color="auto" w:fill="FFFFFF"/>
          <w:lang w:val="en-GB"/>
        </w:rPr>
        <w:t>[13]</w:t>
      </w:r>
      <w:r w:rsidR="009D1A87">
        <w:rPr>
          <w:rFonts w:ascii="Times New Roman" w:hAnsi="Times New Roman" w:cs="Times New Roman"/>
          <w:color w:val="000000"/>
          <w:shd w:val="clear" w:color="auto" w:fill="FFFFFF"/>
          <w:lang w:val="en-GB"/>
        </w:rPr>
        <w:fldChar w:fldCharType="end"/>
      </w:r>
      <w:r w:rsidRPr="00BE3BFE">
        <w:rPr>
          <w:rFonts w:ascii="Times New Roman" w:hAnsi="Times New Roman" w:cs="Times New Roman"/>
          <w:color w:val="000000"/>
          <w:shd w:val="clear" w:color="auto" w:fill="FFFFFF"/>
          <w:lang w:val="en-GB"/>
        </w:rPr>
        <w:t xml:space="preserve"> showed that the use of </w:t>
      </w:r>
      <w:r w:rsidR="00DC2AC8">
        <w:rPr>
          <w:rFonts w:ascii="Times New Roman" w:hAnsi="Times New Roman" w:cs="Times New Roman"/>
          <w:color w:val="000000"/>
          <w:shd w:val="clear" w:color="auto" w:fill="FFFFFF"/>
          <w:lang w:val="en-GB"/>
        </w:rPr>
        <w:t>antidepressants</w:t>
      </w:r>
      <w:r w:rsidRPr="00BE3BFE">
        <w:rPr>
          <w:rFonts w:ascii="Times New Roman" w:hAnsi="Times New Roman" w:cs="Times New Roman"/>
          <w:color w:val="000000"/>
          <w:shd w:val="clear" w:color="auto" w:fill="FFFFFF"/>
          <w:lang w:val="en-GB"/>
        </w:rPr>
        <w:t xml:space="preserve"> plus supportive care could be more efficient than supportive care alone, although the probability of the intervention with antidepressants being more cost-effective was only </w:t>
      </w:r>
      <w:r w:rsidR="0037751B">
        <w:rPr>
          <w:rFonts w:ascii="Times New Roman" w:hAnsi="Times New Roman" w:cs="Times New Roman"/>
          <w:color w:val="000000"/>
          <w:shd w:val="clear" w:color="auto" w:fill="FFFFFF"/>
          <w:lang w:val="en-GB"/>
        </w:rPr>
        <w:t>75% for a value of</w:t>
      </w:r>
      <w:r w:rsidRPr="00BE3BFE">
        <w:rPr>
          <w:rFonts w:ascii="Times New Roman" w:hAnsi="Times New Roman" w:cs="Times New Roman"/>
          <w:color w:val="000000"/>
          <w:shd w:val="clear" w:color="auto" w:fill="FFFFFF"/>
          <w:lang w:val="en-GB"/>
        </w:rPr>
        <w:t xml:space="preserve"> £30,000 per QALY</w:t>
      </w:r>
      <w:r w:rsidR="0037751B">
        <w:rPr>
          <w:rFonts w:ascii="Times New Roman" w:hAnsi="Times New Roman" w:cs="Times New Roman"/>
          <w:color w:val="000000"/>
          <w:shd w:val="clear" w:color="auto" w:fill="FFFFFF"/>
          <w:lang w:val="en-GB"/>
        </w:rPr>
        <w:t xml:space="preserve"> </w:t>
      </w:r>
      <w:r w:rsidRPr="00BE3BFE">
        <w:rPr>
          <w:rFonts w:ascii="Times New Roman" w:hAnsi="Times New Roman" w:cs="Times New Roman"/>
          <w:color w:val="000000"/>
          <w:shd w:val="clear" w:color="auto" w:fill="FFFFFF"/>
          <w:lang w:val="en-GB"/>
        </w:rPr>
        <w:t>and the probability of the intervention being more cost-effective diminished from 12 to 26 weeks.</w:t>
      </w:r>
    </w:p>
    <w:p w14:paraId="0155BC8E" w14:textId="77777777" w:rsidR="00BE3BFE" w:rsidRPr="00BE3BFE" w:rsidRDefault="00BE3BFE" w:rsidP="00BE3BFE">
      <w:pPr>
        <w:spacing w:line="480" w:lineRule="auto"/>
        <w:jc w:val="both"/>
        <w:rPr>
          <w:rFonts w:ascii="Times New Roman" w:hAnsi="Times New Roman" w:cs="Times New Roman"/>
          <w:lang w:val="en-US"/>
        </w:rPr>
      </w:pPr>
      <w:r w:rsidRPr="00BE3BFE">
        <w:rPr>
          <w:rFonts w:ascii="Times New Roman" w:hAnsi="Times New Roman" w:cs="Times New Roman"/>
          <w:lang w:val="en-US"/>
        </w:rPr>
        <w:t xml:space="preserve">In this study, we evaluated the cost-effectiveness of </w:t>
      </w:r>
      <w:r w:rsidR="00B20112">
        <w:rPr>
          <w:rFonts w:ascii="Times New Roman" w:hAnsi="Times New Roman" w:cs="Times New Roman"/>
          <w:lang w:val="en-US"/>
        </w:rPr>
        <w:t>AM</w:t>
      </w:r>
      <w:r w:rsidRPr="00BE3BFE">
        <w:rPr>
          <w:rFonts w:ascii="Times New Roman" w:hAnsi="Times New Roman" w:cs="Times New Roman"/>
          <w:lang w:val="en-US"/>
        </w:rPr>
        <w:t xml:space="preserve"> in comparison with antidepressants for the treatment of mild-to-moderate major depression in PC. The study aimed to evaluate </w:t>
      </w:r>
      <w:r w:rsidR="00B20112">
        <w:rPr>
          <w:rFonts w:ascii="Times New Roman" w:hAnsi="Times New Roman" w:cs="Times New Roman"/>
          <w:lang w:val="en-US"/>
        </w:rPr>
        <w:t>AM</w:t>
      </w:r>
      <w:r w:rsidRPr="00BE3BFE">
        <w:rPr>
          <w:rFonts w:ascii="Times New Roman" w:hAnsi="Times New Roman" w:cs="Times New Roman"/>
          <w:lang w:val="en-US"/>
        </w:rPr>
        <w:t xml:space="preserve"> </w:t>
      </w:r>
      <w:r w:rsidR="00E63695">
        <w:rPr>
          <w:rFonts w:ascii="Times New Roman" w:hAnsi="Times New Roman" w:cs="Times New Roman"/>
          <w:lang w:val="en-US"/>
        </w:rPr>
        <w:t>in an observational controlled trial</w:t>
      </w:r>
      <w:r w:rsidRPr="00BE3BFE">
        <w:rPr>
          <w:rFonts w:ascii="Times New Roman" w:hAnsi="Times New Roman" w:cs="Times New Roman"/>
          <w:lang w:val="en-US"/>
        </w:rPr>
        <w:t>.</w:t>
      </w:r>
    </w:p>
    <w:p w14:paraId="512F4EB4" w14:textId="77777777" w:rsidR="00BE3BFE" w:rsidRPr="00BE3BFE" w:rsidRDefault="00BE3BFE" w:rsidP="00F76044">
      <w:pPr>
        <w:pStyle w:val="Heading1"/>
        <w:rPr>
          <w:rFonts w:ascii="Times New Roman" w:hAnsi="Times New Roman"/>
          <w:lang w:val="en-US"/>
        </w:rPr>
      </w:pPr>
      <w:r w:rsidRPr="00BE3BFE">
        <w:rPr>
          <w:rFonts w:ascii="Times New Roman" w:hAnsi="Times New Roman"/>
          <w:lang w:val="en-US"/>
        </w:rPr>
        <w:t>Methods</w:t>
      </w:r>
    </w:p>
    <w:p w14:paraId="7FEDDFCE" w14:textId="468A709C" w:rsidR="00BE3BFE" w:rsidRPr="00BE3BFE" w:rsidRDefault="00BE3BFE" w:rsidP="00BE3BFE">
      <w:pPr>
        <w:spacing w:line="480" w:lineRule="auto"/>
        <w:jc w:val="both"/>
        <w:rPr>
          <w:rFonts w:ascii="Times New Roman" w:hAnsi="Times New Roman" w:cs="Times New Roman"/>
          <w:lang w:val="en-US"/>
        </w:rPr>
      </w:pPr>
      <w:r w:rsidRPr="00BE3BFE">
        <w:rPr>
          <w:rFonts w:ascii="Times New Roman" w:hAnsi="Times New Roman" w:cs="Times New Roman"/>
          <w:lang w:val="en-US"/>
        </w:rPr>
        <w:t>This was a 12-month observational controlled tria</w:t>
      </w:r>
      <w:r w:rsidR="003D171B">
        <w:rPr>
          <w:rFonts w:ascii="Times New Roman" w:hAnsi="Times New Roman" w:cs="Times New Roman"/>
          <w:lang w:val="en-US"/>
        </w:rPr>
        <w:t>l</w:t>
      </w:r>
      <w:r w:rsidR="00DC2AC8">
        <w:rPr>
          <w:rFonts w:ascii="Times New Roman" w:hAnsi="Times New Roman" w:cs="Times New Roman"/>
          <w:lang w:val="en-US"/>
        </w:rPr>
        <w:t xml:space="preserve"> </w:t>
      </w:r>
      <w:r w:rsidRPr="00BE3BFE">
        <w:rPr>
          <w:rFonts w:ascii="Times New Roman" w:hAnsi="Times New Roman" w:cs="Times New Roman"/>
          <w:lang w:val="en-US"/>
        </w:rPr>
        <w:t>conducted in 12 PC practices in Barcelona (Spain)</w:t>
      </w:r>
      <w:r w:rsidR="006B7A9E">
        <w:rPr>
          <w:rFonts w:ascii="Times New Roman" w:hAnsi="Times New Roman" w:cs="Times New Roman"/>
          <w:lang w:val="en-US"/>
        </w:rPr>
        <w:t xml:space="preserve"> </w:t>
      </w:r>
      <w:r w:rsidR="003D171B">
        <w:rPr>
          <w:rFonts w:ascii="Times New Roman" w:hAnsi="Times New Roman" w:cs="Times New Roman"/>
          <w:lang w:val="en-US"/>
        </w:rPr>
        <w:fldChar w:fldCharType="begin" w:fldLock="1"/>
      </w:r>
      <w:r w:rsidR="006B7A9E">
        <w:rPr>
          <w:rFonts w:ascii="Times New Roman" w:hAnsi="Times New Roman" w:cs="Times New Roman"/>
          <w:lang w:val="en-US"/>
        </w:rPr>
        <w:instrText>ADDIN CSL_CITATION { "citationItems" : [ { "id" : "ITEM-1", "itemData" : { "DOI" : "10.1186/s12888-015-0448-3", "ISSN" : "1471-244X (Electronic)", "PMID" : "25885818", "abstract" : "BACKGROUND: Clinical practice guidelines for the treatment of major depressive disorder (MDD) recommend antidepressants for patients with moderate-severe depression and active monitoring for patients with mild-moderate symptoms. The feasibility and efficiency of active monitoring has not been proven conclusively. The aim of this study is to evaluate the cost-effectiveness of active monitoring in comparison to antidepressants for primary care patients with mild-moderate MDD. METHODS/DESIGN: This is a 12-month follow-up multicenter observational prospective controlled trial. Patients are enrolled in 12 primary care centers in Barcelona (Spain). Eligible patients are adults (&gt;/=18 years-old) with a new episode of MDD that sign a written consent to participate. This is a naturalistic study in which general practitioners (GPs) use their professional judgment to allocate patients into active monitoring or antidepressants groups. GPs treat the patients following their clinical criteria. At baseline, GPs complete a questionnaire (sociodemographic/job characteristics, training, attitude towards depression, interest on mental health and participation in communication groups). Patients' measurements take place at baseline and after six and 12 months. Main outcome measures include severity of depression (PHQ-9), health-related quality of life (EuroQol-5D) and use of healthcare and social care services (Client Service Receipt Inventory). Secondary outcomes include diagnosis of MDD according to DSM-IV diagnostic criteria (SCID-I), disability (WHO-DAS), anxiety (BAI), comorbidities, medication side-effects and beliefs about medicines (BMQ). The analysis will be done according to the intention to treat analysis. Missing data will be imputed using multiple imputation by chained equations. To minimize the bias resulting from the lack of randomization, a propensity score will be used. Incremental effects and costs between groups will be modelled in each of the imputed databases using multivariate generalized linear models and then combined as per Rubin's rules. Propensity scores will be used to adjust the models. Incremental cost-effectiveness ratios will be calculated by dividing the difference in costs between groups by the difference in effects. To deal with the uncertainty, resampling techniques with bootstrapping will be used and cost-effectiveness planes and cost-effectiveness acceptability curves will be constructed. A series of sensitivity analyses will be perform\u2026", "author" : [ { "dropping-particle" : "", "family" : "Rubio-Valera", "given" : "Maria", "non-dropping-particle" : "", "parse-names" : false, "suffix" : "" }, { "dropping-particle" : "", "family" : "Beneitez", "given" : "Imma", "non-dropping-particle" : "", "parse-names" : false, "suffix" : "" }, { "dropping-particle" : "", "family" : "Penarrubia-Maria", "given" : "Maria Teresa", "non-dropping-particle" : "", "parse-names" : false, "suffix" : "" }, { "dropping-particle" : "V", "family" : "Luciano", "given" : "Juan", "non-dropping-particle" : "", "parse-names" : false, "suffix" : "" }, { "dropping-particle" : "", "family" : "Mendive", "given" : "Juan M", "non-dropping-particle" : "", "parse-names" : false, "suffix" : "" }, { "dropping-particle" : "", "family" : "McCrone", "given" : "Paul", "non-dropping-particle" : "", "parse-names" : false, "suffix" : "" }, { "dropping-particle" : "", "family" : "Knapp", "given" : "Martin", "non-dropping-particle" : "", "parse-names" : false, "suffix" : "" }, { "dropping-particle" : "", "family" : "Sabes-Figuera", "given" : "Ramon", "non-dropping-particle" : "", "parse-names" : false, "suffix" : "" }, { "dropping-particle" : "", "family" : "Kocyan", "given" : "Katarzyna", "non-dropping-particle" : "", "parse-names" : false, "suffix" : "" }, { "dropping-particle" : "", "family" : "Garcia-Campayo", "given" : "Javier", "non-dropping-particle" : "", "parse-names" : false, "suffix" : "" }, { "dropping-particle" : "", "family" : "Serrano-Blanco", "given" : "Antoni", "non-dropping-particle" : "", "parse-names" : false, "suffix" : "" } ], "container-title" : "BMC psychiatry", "id" : "ITEM-1", "issued" : { "date-parts" : [ [ "2015" ] ] }, "language" : "eng", "page" : "63", "publisher-place" : "England", "title" : "Cost-effectiveness of active monitoring versus antidepressants for major depression in primary health care: a 12-month non-randomized controlled trial (INFAP study).", "type" : "article-journal", "volume" : "15" }, "uris" : [ "http://www.mendeley.com/documents/?uuid=513079bc-5e44-4887-9e3b-e3af99d140ac", "http://www.mendeley.com/documents/?uuid=c28f90bb-4e1b-4671-8199-7badc62a7d21" ] } ], "mendeley" : { "formattedCitation" : "[14]", "plainTextFormattedCitation" : "[14]", "previouslyFormattedCitation" : "&lt;sup&gt;14&lt;/sup&gt;" }, "properties" : { "noteIndex" : 0 }, "schema" : "https://github.com/citation-style-language/schema/raw/master/csl-citation.json" }</w:instrText>
      </w:r>
      <w:r w:rsidR="003D171B">
        <w:rPr>
          <w:rFonts w:ascii="Times New Roman" w:hAnsi="Times New Roman" w:cs="Times New Roman"/>
          <w:lang w:val="en-US"/>
        </w:rPr>
        <w:fldChar w:fldCharType="separate"/>
      </w:r>
      <w:r w:rsidR="006B7A9E" w:rsidRPr="006B7A9E">
        <w:rPr>
          <w:rFonts w:ascii="Times New Roman" w:hAnsi="Times New Roman" w:cs="Times New Roman"/>
          <w:noProof/>
          <w:lang w:val="en-US"/>
        </w:rPr>
        <w:t>[14]</w:t>
      </w:r>
      <w:r w:rsidR="003D171B">
        <w:rPr>
          <w:rFonts w:ascii="Times New Roman" w:hAnsi="Times New Roman" w:cs="Times New Roman"/>
          <w:lang w:val="en-US"/>
        </w:rPr>
        <w:fldChar w:fldCharType="end"/>
      </w:r>
      <w:r w:rsidR="006B7A9E">
        <w:rPr>
          <w:rFonts w:ascii="Times New Roman" w:hAnsi="Times New Roman" w:cs="Times New Roman"/>
          <w:lang w:val="en-US"/>
        </w:rPr>
        <w:t>.</w:t>
      </w:r>
      <w:r w:rsidR="003D171B" w:rsidRPr="00BE3BFE">
        <w:rPr>
          <w:rFonts w:ascii="Times New Roman" w:hAnsi="Times New Roman" w:cs="Times New Roman"/>
          <w:lang w:val="en-US"/>
        </w:rPr>
        <w:t xml:space="preserve"> </w:t>
      </w:r>
      <w:r w:rsidRPr="00BE3BFE">
        <w:rPr>
          <w:rFonts w:ascii="Times New Roman" w:hAnsi="Times New Roman" w:cs="Times New Roman"/>
          <w:lang w:val="en-US"/>
        </w:rPr>
        <w:t xml:space="preserve">The participating </w:t>
      </w:r>
      <w:r w:rsidR="00E63695">
        <w:rPr>
          <w:rFonts w:ascii="Times New Roman" w:hAnsi="Times New Roman" w:cs="Times New Roman"/>
          <w:lang w:val="en-US"/>
        </w:rPr>
        <w:t>GP</w:t>
      </w:r>
      <w:r w:rsidRPr="00BE3BFE">
        <w:rPr>
          <w:rFonts w:ascii="Times New Roman" w:hAnsi="Times New Roman" w:cs="Times New Roman"/>
          <w:lang w:val="en-US"/>
        </w:rPr>
        <w:t>s (n=53) received two 1.5-hour training sessions on the diagnosis of major depression and non-pharmacological treatment (</w:t>
      </w:r>
      <w:r w:rsidR="00B20112">
        <w:rPr>
          <w:rFonts w:ascii="Times New Roman" w:hAnsi="Times New Roman" w:cs="Times New Roman"/>
          <w:lang w:val="en-US"/>
        </w:rPr>
        <w:t>AM</w:t>
      </w:r>
      <w:r w:rsidRPr="00BE3BFE">
        <w:rPr>
          <w:rFonts w:ascii="Times New Roman" w:hAnsi="Times New Roman" w:cs="Times New Roman"/>
          <w:lang w:val="en-US"/>
        </w:rPr>
        <w:t>, sleep hygiene, counseling, frequency of follow-up visits, health education and low-intensity psychological</w:t>
      </w:r>
      <w:r w:rsidR="00F76044">
        <w:rPr>
          <w:rFonts w:ascii="Times New Roman" w:hAnsi="Times New Roman" w:cs="Times New Roman"/>
          <w:lang w:val="en-US"/>
        </w:rPr>
        <w:t xml:space="preserve"> </w:t>
      </w:r>
      <w:r w:rsidRPr="00BE3BFE">
        <w:rPr>
          <w:rFonts w:ascii="Times New Roman" w:hAnsi="Times New Roman" w:cs="Times New Roman"/>
          <w:lang w:val="en-US"/>
        </w:rPr>
        <w:t xml:space="preserve">therapies) and pharmacological treatment for major depression. Monthly newsletters were sent to the </w:t>
      </w:r>
      <w:r w:rsidR="00E63695">
        <w:rPr>
          <w:rFonts w:ascii="Times New Roman" w:hAnsi="Times New Roman" w:cs="Times New Roman"/>
          <w:lang w:val="en-US"/>
        </w:rPr>
        <w:t>GP</w:t>
      </w:r>
      <w:r w:rsidRPr="00BE3BFE">
        <w:rPr>
          <w:rFonts w:ascii="Times New Roman" w:hAnsi="Times New Roman" w:cs="Times New Roman"/>
          <w:lang w:val="en-US"/>
        </w:rPr>
        <w:t xml:space="preserve">s to remind them about the content of the training sessions. </w:t>
      </w:r>
    </w:p>
    <w:p w14:paraId="63AFDBAB" w14:textId="79FED9E5" w:rsidR="00BE3BFE" w:rsidRPr="00BE3BFE" w:rsidRDefault="00BE3BFE" w:rsidP="00F76044">
      <w:pPr>
        <w:pStyle w:val="Heading2"/>
        <w:rPr>
          <w:rFonts w:ascii="Times New Roman" w:hAnsi="Times New Roman"/>
          <w:lang w:val="en-US"/>
        </w:rPr>
      </w:pPr>
      <w:r w:rsidRPr="00BE3BFE">
        <w:rPr>
          <w:rFonts w:ascii="Times New Roman" w:hAnsi="Times New Roman"/>
          <w:lang w:val="en-US"/>
        </w:rPr>
        <w:t>Participants</w:t>
      </w:r>
    </w:p>
    <w:p w14:paraId="6C8B1672" w14:textId="591F085C" w:rsidR="00BE3BFE" w:rsidRPr="00BE3BFE" w:rsidRDefault="00BE3BFE" w:rsidP="00BE3BFE">
      <w:pPr>
        <w:spacing w:line="480" w:lineRule="auto"/>
        <w:jc w:val="both"/>
        <w:rPr>
          <w:rFonts w:ascii="Times New Roman" w:hAnsi="Times New Roman" w:cs="Times New Roman"/>
          <w:lang w:val="en-US"/>
        </w:rPr>
      </w:pPr>
      <w:r w:rsidRPr="00BE3BFE">
        <w:rPr>
          <w:rFonts w:ascii="Times New Roman" w:hAnsi="Times New Roman" w:cs="Times New Roman"/>
          <w:lang w:val="en-US"/>
        </w:rPr>
        <w:t>Adult patients with a new episode of major depression were invited to participate (</w:t>
      </w:r>
      <w:r w:rsidR="001D2EDC">
        <w:rPr>
          <w:rFonts w:ascii="Times New Roman" w:hAnsi="Times New Roman" w:cs="Times New Roman"/>
          <w:lang w:val="en-US"/>
        </w:rPr>
        <w:t>June</w:t>
      </w:r>
      <w:r w:rsidRPr="00BE3BFE">
        <w:rPr>
          <w:rFonts w:ascii="Times New Roman" w:hAnsi="Times New Roman" w:cs="Times New Roman"/>
          <w:lang w:val="en-US"/>
        </w:rPr>
        <w:t xml:space="preserve"> 2013-July 2014). We excluded patients who had taken an antidepressant medication in the previous 60 days; those presenting psychotic or bipolar disorders or those who had taken antipsychotics, lithium or </w:t>
      </w:r>
      <w:r w:rsidRPr="00BE3BFE">
        <w:rPr>
          <w:rFonts w:ascii="Times New Roman" w:hAnsi="Times New Roman" w:cs="Times New Roman"/>
          <w:lang w:val="en-US"/>
        </w:rPr>
        <w:lastRenderedPageBreak/>
        <w:t xml:space="preserve">antiepileptics in the previous six months; those with history of drug abuse or dependency; and those with cognitive impairment that prevented an assessment interview. </w:t>
      </w:r>
    </w:p>
    <w:p w14:paraId="2EE8FFC3" w14:textId="77777777" w:rsidR="00BE3BFE" w:rsidRPr="00BE3BFE" w:rsidRDefault="00BE3BFE" w:rsidP="00F76044">
      <w:pPr>
        <w:pStyle w:val="Heading2"/>
        <w:rPr>
          <w:rFonts w:ascii="Times New Roman" w:hAnsi="Times New Roman"/>
          <w:lang w:val="en-US"/>
        </w:rPr>
      </w:pPr>
      <w:r w:rsidRPr="00BE3BFE">
        <w:rPr>
          <w:rFonts w:ascii="Times New Roman" w:hAnsi="Times New Roman"/>
          <w:lang w:val="en-US"/>
        </w:rPr>
        <w:t>Interventions</w:t>
      </w:r>
    </w:p>
    <w:p w14:paraId="3BA8A87E" w14:textId="2CC50F66" w:rsidR="00BE3BFE" w:rsidRPr="00BE3BFE" w:rsidRDefault="00BE3BFE" w:rsidP="00BE3BFE">
      <w:pPr>
        <w:spacing w:line="480" w:lineRule="auto"/>
        <w:jc w:val="both"/>
        <w:rPr>
          <w:rFonts w:ascii="Times New Roman" w:hAnsi="Times New Roman" w:cs="Times New Roman"/>
          <w:lang w:val="en-US"/>
        </w:rPr>
      </w:pPr>
      <w:r w:rsidRPr="00BE3BFE">
        <w:rPr>
          <w:rFonts w:ascii="Times New Roman" w:hAnsi="Times New Roman" w:cs="Times New Roman"/>
          <w:lang w:val="en-US"/>
        </w:rPr>
        <w:t xml:space="preserve">Participants were assigned to </w:t>
      </w:r>
      <w:r w:rsidR="00B20112">
        <w:rPr>
          <w:rFonts w:ascii="Times New Roman" w:hAnsi="Times New Roman" w:cs="Times New Roman"/>
          <w:lang w:val="en-US"/>
        </w:rPr>
        <w:t>AM</w:t>
      </w:r>
      <w:r w:rsidRPr="00BE3BFE">
        <w:rPr>
          <w:rFonts w:ascii="Times New Roman" w:hAnsi="Times New Roman" w:cs="Times New Roman"/>
          <w:lang w:val="en-US"/>
        </w:rPr>
        <w:t xml:space="preserve"> or antidepressants according to </w:t>
      </w:r>
      <w:r w:rsidR="00E63695">
        <w:rPr>
          <w:rFonts w:ascii="Times New Roman" w:hAnsi="Times New Roman" w:cs="Times New Roman"/>
          <w:lang w:val="en-US"/>
        </w:rPr>
        <w:t>GP</w:t>
      </w:r>
      <w:r w:rsidRPr="00BE3BFE">
        <w:rPr>
          <w:rFonts w:ascii="Times New Roman" w:hAnsi="Times New Roman" w:cs="Times New Roman"/>
          <w:lang w:val="en-US"/>
        </w:rPr>
        <w:t xml:space="preserve">s’ clinical judgment and experience. </w:t>
      </w:r>
      <w:r w:rsidR="00B20112">
        <w:rPr>
          <w:rFonts w:ascii="Times New Roman" w:hAnsi="Times New Roman" w:cs="Times New Roman"/>
          <w:lang w:val="en-US"/>
        </w:rPr>
        <w:t>AM</w:t>
      </w:r>
      <w:r w:rsidRPr="00BE3BFE">
        <w:rPr>
          <w:rFonts w:ascii="Times New Roman" w:hAnsi="Times New Roman" w:cs="Times New Roman"/>
          <w:lang w:val="en-US"/>
        </w:rPr>
        <w:t xml:space="preserve"> was delivered as in real-life routine practice. </w:t>
      </w:r>
      <w:r w:rsidR="00DC2AC8">
        <w:rPr>
          <w:rFonts w:ascii="Times New Roman" w:hAnsi="Times New Roman" w:cs="Times New Roman"/>
          <w:lang w:val="en-US"/>
        </w:rPr>
        <w:t xml:space="preserve">The </w:t>
      </w:r>
      <w:r w:rsidRPr="00BE3BFE">
        <w:rPr>
          <w:rFonts w:ascii="Times New Roman" w:hAnsi="Times New Roman" w:cs="Times New Roman"/>
          <w:lang w:val="en-US"/>
        </w:rPr>
        <w:t xml:space="preserve">Catalan </w:t>
      </w:r>
      <w:r w:rsidR="00DC2AC8">
        <w:rPr>
          <w:rFonts w:ascii="Times New Roman" w:hAnsi="Times New Roman" w:cs="Times New Roman"/>
          <w:lang w:val="en-US"/>
        </w:rPr>
        <w:t xml:space="preserve">CPG </w:t>
      </w:r>
      <w:r w:rsidRPr="00BE3BFE">
        <w:rPr>
          <w:rFonts w:ascii="Times New Roman" w:hAnsi="Times New Roman" w:cs="Times New Roman"/>
          <w:lang w:val="en-US"/>
        </w:rPr>
        <w:t xml:space="preserve">recommends monitoring the patient within 15 days following diagnosis when conducting </w:t>
      </w:r>
      <w:r w:rsidR="00B20112">
        <w:rPr>
          <w:rFonts w:ascii="Times New Roman" w:hAnsi="Times New Roman" w:cs="Times New Roman"/>
          <w:lang w:val="en-US"/>
        </w:rPr>
        <w:t>AM</w:t>
      </w:r>
      <w:r w:rsidR="006B7A9E">
        <w:rPr>
          <w:rFonts w:ascii="Times New Roman" w:hAnsi="Times New Roman" w:cs="Times New Roman"/>
          <w:lang w:val="en-US"/>
        </w:rPr>
        <w:t xml:space="preserve"> </w:t>
      </w:r>
      <w:r w:rsidR="009D1A87">
        <w:rPr>
          <w:rFonts w:ascii="Times New Roman" w:hAnsi="Times New Roman" w:cs="Times New Roman"/>
          <w:lang w:val="en-US"/>
        </w:rPr>
        <w:fldChar w:fldCharType="begin" w:fldLock="1"/>
      </w:r>
      <w:r w:rsidR="006B7A9E">
        <w:rPr>
          <w:rFonts w:ascii="Times New Roman" w:hAnsi="Times New Roman" w:cs="Times New Roman"/>
          <w:lang w:val="en-US"/>
        </w:rPr>
        <w:instrText>ADDIN CSL_CITATION { "citationItems" : [ { "id" : "ITEM-1", "itemData" : { "author" : [ { "dropping-particle" : "", "family" : "Departament de Salut", "given" : "", "non-dropping-particle" : "", "parse-names" : false, "suffix" : "" } ], "id" : "ITEM-1", "issued" : { "date-parts" : [ [ "2010" ] ] }, "publisher-place" : "Barcelona: Ag\u00e8ncia d'Informaci\u00f3, Avaluaci\u00f3 i Qualitat en Salut. Pla director de salut mental i addictions", "title" : "[Adaptaci\u00f3 al model sanitari catal\u00e0 de la guia de pr\u00e0ctica cl\u00ednica sobre el maneig de la depressi\u00f3 major en l'adult]", "type" : "report" }, "uris" : [ "http://www.mendeley.com/documents/?uuid=799b5feb-879d-4113-b5d1-357beb96cecb" ] } ], "mendeley" : { "formattedCitation" : "[2]", "plainTextFormattedCitation" : "[2]", "previouslyFormattedCitation" : "&lt;sup&gt;2&lt;/sup&gt;" }, "properties" : { "noteIndex" : 0 }, "schema" : "https://github.com/citation-style-language/schema/raw/master/csl-citation.json" }</w:instrText>
      </w:r>
      <w:r w:rsidR="009D1A87">
        <w:rPr>
          <w:rFonts w:ascii="Times New Roman" w:hAnsi="Times New Roman" w:cs="Times New Roman"/>
          <w:lang w:val="en-US"/>
        </w:rPr>
        <w:fldChar w:fldCharType="separate"/>
      </w:r>
      <w:r w:rsidR="006B7A9E" w:rsidRPr="006B7A9E">
        <w:rPr>
          <w:rFonts w:ascii="Times New Roman" w:hAnsi="Times New Roman" w:cs="Times New Roman"/>
          <w:noProof/>
          <w:lang w:val="en-US"/>
        </w:rPr>
        <w:t>[2]</w:t>
      </w:r>
      <w:r w:rsidR="009D1A87">
        <w:rPr>
          <w:rFonts w:ascii="Times New Roman" w:hAnsi="Times New Roman" w:cs="Times New Roman"/>
          <w:lang w:val="en-US"/>
        </w:rPr>
        <w:fldChar w:fldCharType="end"/>
      </w:r>
      <w:r w:rsidR="006B7A9E">
        <w:rPr>
          <w:rFonts w:ascii="Times New Roman" w:hAnsi="Times New Roman" w:cs="Times New Roman"/>
          <w:lang w:val="en-US"/>
        </w:rPr>
        <w:t>.</w:t>
      </w:r>
      <w:r w:rsidRPr="00BE3BFE">
        <w:rPr>
          <w:rFonts w:ascii="Times New Roman" w:hAnsi="Times New Roman" w:cs="Times New Roman"/>
          <w:lang w:val="en-US"/>
        </w:rPr>
        <w:t xml:space="preserve"> Over the following 10-12 weeks, the guidelines recommend six to eight follow-up visits. The </w:t>
      </w:r>
      <w:r w:rsidR="00E63695">
        <w:rPr>
          <w:rFonts w:ascii="Times New Roman" w:hAnsi="Times New Roman" w:cs="Times New Roman"/>
          <w:lang w:val="en-US"/>
        </w:rPr>
        <w:t>GP</w:t>
      </w:r>
      <w:r w:rsidRPr="00BE3BFE">
        <w:rPr>
          <w:rFonts w:ascii="Times New Roman" w:hAnsi="Times New Roman" w:cs="Times New Roman"/>
          <w:lang w:val="en-US"/>
        </w:rPr>
        <w:t xml:space="preserve">s could consider low-intensity psychosocial therapies and structured moderate-intensity exercise programs. If the patient’s condition does not improve, </w:t>
      </w:r>
      <w:r w:rsidR="00E63695">
        <w:rPr>
          <w:rFonts w:ascii="Times New Roman" w:hAnsi="Times New Roman" w:cs="Times New Roman"/>
          <w:lang w:val="en-US"/>
        </w:rPr>
        <w:t>GP</w:t>
      </w:r>
      <w:r w:rsidRPr="00BE3BFE">
        <w:rPr>
          <w:rFonts w:ascii="Times New Roman" w:hAnsi="Times New Roman" w:cs="Times New Roman"/>
          <w:lang w:val="en-US"/>
        </w:rPr>
        <w:t xml:space="preserve">s can initiate antidepressants. Adherence to </w:t>
      </w:r>
      <w:r w:rsidR="00B20112">
        <w:rPr>
          <w:rFonts w:ascii="Times New Roman" w:hAnsi="Times New Roman" w:cs="Times New Roman"/>
          <w:lang w:val="en-US"/>
        </w:rPr>
        <w:t>AM</w:t>
      </w:r>
      <w:r w:rsidRPr="00BE3BFE">
        <w:rPr>
          <w:rFonts w:ascii="Times New Roman" w:hAnsi="Times New Roman" w:cs="Times New Roman"/>
          <w:lang w:val="en-US"/>
        </w:rPr>
        <w:t xml:space="preserve"> was controlled through patient interviews.</w:t>
      </w:r>
    </w:p>
    <w:p w14:paraId="5054BCA5" w14:textId="098CD804" w:rsidR="00BE3BFE" w:rsidRPr="00BE3BFE" w:rsidRDefault="00BE3BFE" w:rsidP="00BE3BFE">
      <w:pPr>
        <w:spacing w:line="480" w:lineRule="auto"/>
        <w:jc w:val="both"/>
        <w:rPr>
          <w:rFonts w:ascii="Times New Roman" w:hAnsi="Times New Roman" w:cs="Times New Roman"/>
          <w:lang w:val="en-US"/>
        </w:rPr>
      </w:pPr>
      <w:r w:rsidRPr="00BE3BFE">
        <w:rPr>
          <w:rFonts w:ascii="Times New Roman" w:hAnsi="Times New Roman" w:cs="Times New Roman"/>
          <w:lang w:val="en-US"/>
        </w:rPr>
        <w:t>The patients in the medication group received the antidepressants typically prescribed in Spanish PC at doses usually recommended according to their symptoms and characteristics. The national guidelines recommend initiating treatment with SSRIs</w:t>
      </w:r>
      <w:r w:rsidR="006B7A9E">
        <w:rPr>
          <w:rFonts w:ascii="Times New Roman" w:hAnsi="Times New Roman" w:cs="Times New Roman"/>
          <w:lang w:val="en-US"/>
        </w:rPr>
        <w:t xml:space="preserve"> </w:t>
      </w:r>
      <w:r w:rsidR="009D1A87">
        <w:rPr>
          <w:rFonts w:ascii="Times New Roman" w:hAnsi="Times New Roman" w:cs="Times New Roman"/>
          <w:lang w:val="en-US"/>
        </w:rPr>
        <w:fldChar w:fldCharType="begin" w:fldLock="1"/>
      </w:r>
      <w:r w:rsidR="006B7A9E">
        <w:rPr>
          <w:rFonts w:ascii="Times New Roman" w:hAnsi="Times New Roman" w:cs="Times New Roman"/>
          <w:lang w:val="en-US"/>
        </w:rPr>
        <w:instrText>ADDIN CSL_CITATION { "citationItems" : [ { "id" : "ITEM-1", "itemData" : { "author" : [ { "dropping-particle" : "", "family" : "Departament de Salut", "given" : "", "non-dropping-particle" : "", "parse-names" : false, "suffix" : "" } ], "id" : "ITEM-1", "issued" : { "date-parts" : [ [ "2010" ] ] }, "publisher-place" : "Barcelona: Ag\u00e8ncia d'Informaci\u00f3, Avaluaci\u00f3 i Qualitat en Salut. Pla director de salut mental i addictions", "title" : "[Adaptaci\u00f3 al model sanitari catal\u00e0 de la guia de pr\u00e0ctica cl\u00ednica sobre el maneig de la depressi\u00f3 major en l'adult]", "type" : "report" }, "uris" : [ "http://www.mendeley.com/documents/?uuid=799b5feb-879d-4113-b5d1-357beb96cecb" ] } ], "mendeley" : { "formattedCitation" : "[2]", "plainTextFormattedCitation" : "[2]", "previouslyFormattedCitation" : "&lt;sup&gt;2&lt;/sup&gt;" }, "properties" : { "noteIndex" : 0 }, "schema" : "https://github.com/citation-style-language/schema/raw/master/csl-citation.json" }</w:instrText>
      </w:r>
      <w:r w:rsidR="009D1A87">
        <w:rPr>
          <w:rFonts w:ascii="Times New Roman" w:hAnsi="Times New Roman" w:cs="Times New Roman"/>
          <w:lang w:val="en-US"/>
        </w:rPr>
        <w:fldChar w:fldCharType="separate"/>
      </w:r>
      <w:r w:rsidR="006B7A9E" w:rsidRPr="006B7A9E">
        <w:rPr>
          <w:rFonts w:ascii="Times New Roman" w:hAnsi="Times New Roman" w:cs="Times New Roman"/>
          <w:noProof/>
          <w:lang w:val="en-US"/>
        </w:rPr>
        <w:t>[2]</w:t>
      </w:r>
      <w:r w:rsidR="009D1A87">
        <w:rPr>
          <w:rFonts w:ascii="Times New Roman" w:hAnsi="Times New Roman" w:cs="Times New Roman"/>
          <w:lang w:val="en-US"/>
        </w:rPr>
        <w:fldChar w:fldCharType="end"/>
      </w:r>
      <w:r w:rsidR="006B7A9E">
        <w:rPr>
          <w:rFonts w:ascii="Times New Roman" w:hAnsi="Times New Roman" w:cs="Times New Roman"/>
          <w:lang w:val="en-US"/>
        </w:rPr>
        <w:t>.</w:t>
      </w:r>
      <w:r w:rsidRPr="00BE3BFE">
        <w:rPr>
          <w:rFonts w:ascii="Times New Roman" w:hAnsi="Times New Roman" w:cs="Times New Roman"/>
          <w:lang w:val="en-US"/>
        </w:rPr>
        <w:t xml:space="preserve"> Adherence to antidepressants was assessed though medical record information (prescription filled).</w:t>
      </w:r>
    </w:p>
    <w:p w14:paraId="5DD5DBBC" w14:textId="1EDB1E5D" w:rsidR="00BE3BFE" w:rsidRPr="00BE3BFE" w:rsidRDefault="00FA1544" w:rsidP="00F76044">
      <w:pPr>
        <w:pStyle w:val="Heading2"/>
        <w:rPr>
          <w:rFonts w:ascii="Times New Roman" w:hAnsi="Times New Roman"/>
          <w:lang w:val="en-US"/>
        </w:rPr>
      </w:pPr>
      <w:r>
        <w:rPr>
          <w:rFonts w:ascii="Times New Roman" w:hAnsi="Times New Roman"/>
          <w:lang w:val="en-US"/>
        </w:rPr>
        <w:t>Data Collection and M</w:t>
      </w:r>
      <w:r w:rsidR="00BE3BFE" w:rsidRPr="00BE3BFE">
        <w:rPr>
          <w:rFonts w:ascii="Times New Roman" w:hAnsi="Times New Roman"/>
          <w:lang w:val="en-US"/>
        </w:rPr>
        <w:t>easures</w:t>
      </w:r>
    </w:p>
    <w:p w14:paraId="045592D0" w14:textId="30A76D77" w:rsidR="00BE3BFE" w:rsidRDefault="00BE3BFE" w:rsidP="00BE3BFE">
      <w:pPr>
        <w:spacing w:line="480" w:lineRule="auto"/>
        <w:jc w:val="both"/>
        <w:rPr>
          <w:rFonts w:ascii="Times New Roman" w:hAnsi="Times New Roman" w:cs="Times New Roman"/>
          <w:lang w:val="en-US"/>
        </w:rPr>
      </w:pPr>
      <w:r w:rsidRPr="00BE3BFE">
        <w:rPr>
          <w:rFonts w:ascii="Times New Roman" w:hAnsi="Times New Roman" w:cs="Times New Roman"/>
          <w:lang w:val="en-US"/>
        </w:rPr>
        <w:t xml:space="preserve">Prior to the study, </w:t>
      </w:r>
      <w:r w:rsidR="00E63695">
        <w:rPr>
          <w:rFonts w:ascii="Times New Roman" w:hAnsi="Times New Roman" w:cs="Times New Roman"/>
          <w:lang w:val="en-US"/>
        </w:rPr>
        <w:t>GP</w:t>
      </w:r>
      <w:r w:rsidRPr="00BE3BFE">
        <w:rPr>
          <w:rFonts w:ascii="Times New Roman" w:hAnsi="Times New Roman" w:cs="Times New Roman"/>
          <w:lang w:val="en-US"/>
        </w:rPr>
        <w:t>s completed a questionnaire on sociodemographic characteristics, job characteristics, training, attitude towards depression, interest in mental health and participation in communication groups</w:t>
      </w:r>
      <w:r w:rsidR="006B7A9E">
        <w:rPr>
          <w:rFonts w:ascii="Times New Roman" w:hAnsi="Times New Roman" w:cs="Times New Roman"/>
          <w:lang w:val="en-US"/>
        </w:rPr>
        <w:t xml:space="preserve"> </w:t>
      </w:r>
      <w:r w:rsidR="009D1A87">
        <w:rPr>
          <w:rFonts w:ascii="Times New Roman" w:hAnsi="Times New Roman" w:cs="Times New Roman"/>
          <w:lang w:val="en-US"/>
        </w:rPr>
        <w:fldChar w:fldCharType="begin" w:fldLock="1"/>
      </w:r>
      <w:r w:rsidR="006B7A9E">
        <w:rPr>
          <w:rFonts w:ascii="Times New Roman" w:hAnsi="Times New Roman" w:cs="Times New Roman"/>
          <w:lang w:val="en-US"/>
        </w:rPr>
        <w:instrText>ADDIN CSL_CITATION { "citationItems" : [ { "id" : "ITEM-1", "itemData" : { "ISSN" : "0212-6567", "PMID" : "9557352", "abstract" : "OBJECTIVE: To elaborate and validate a questionnaire for identifying common styles of Primary Care doctors' practice.\n\nSETTING: Primary Health Care. Public sector in Spain.\n\nDESIGN: This was a study to validate a questionnaire administered in two phases with different samples. In the first phase, the items (item-total correlation, using Alpha on eliminating item), validity of construction, empirical validity and internal consistency, were analysed. In the second, discriminatory validity and reliability of the questionnaire (test-retest) were calculated.\n\nMEASUREMENTS AND MAIN RESULTS: 81.5% of the doctors replied in the first phase; and 100% in the second. Two factors were isolated with the Principal Components procedure, which confirmed the validity of the questionnaire's construction (52% variance explained). Internal consistency (Alphas ranged between 0.55 and 0.75) and reliability (ranging between 0.50 and 0.95 in function of the time elapsed) were also demonstrated.\n\nCONCLUSIONS: This instrument could be used to differentiate two styles in practice, characterised by focusing on the physical illness vs the psycho-social aspects of the disease process. The instrument is also useful because it gives the feeling of control over the task.", "author" : [ { "dropping-particle" : "", "family" : "Mira", "given" : "J J", "non-dropping-particle" : "", "parse-names" : false, "suffix" : "" }, { "dropping-particle" : "", "family" : "Llin\u00e1s", "given" : "G", "non-dropping-particle" : "", "parse-names" : false, "suffix" : "" }, { "dropping-particle" : "", "family" : "Gil", "given" : "V", "non-dropping-particle" : "", "parse-names" : false, "suffix" : "" }, { "dropping-particle" : "", "family" : "Orozco", "given" : "D", "non-dropping-particle" : "", "parse-names" : false, "suffix" : "" }, { "dropping-particle" : "", "family" : "Palaz\u00f3n", "given" : "I", "non-dropping-particle" : "", "parse-names" : false, "suffix" : "" }, { "dropping-particle" : "", "family" : "Vitaller", "given" : "J", "non-dropping-particle" : "", "parse-names" : false, "suffix" : "" } ], "container-title" : "Atencion primaria / Sociedad Espa\u00f1ola de Medicina de Familia y Comunitaria", "id" : "ITEM-1", "issue" : "1", "issued" : { "date-parts" : [ [ "1998", "1" ] ] }, "page" : "14-22", "title" : "[Validation of an instrument for identifying styles of the professional practice of the primary care doctor].", "type" : "article-journal", "volume" : "21" }, "uris" : [ "http://www.mendeley.com/documents/?uuid=d7ac978d-97c4-4752-a6e3-9f34fb86f9ff" ] } ], "mendeley" : { "formattedCitation" : "[15]", "plainTextFormattedCitation" : "[15]", "previouslyFormattedCitation" : "&lt;sup&gt;15&lt;/sup&gt;" }, "properties" : { "noteIndex" : 0 }, "schema" : "https://github.com/citation-style-language/schema/raw/master/csl-citation.json" }</w:instrText>
      </w:r>
      <w:r w:rsidR="009D1A87">
        <w:rPr>
          <w:rFonts w:ascii="Times New Roman" w:hAnsi="Times New Roman" w:cs="Times New Roman"/>
          <w:lang w:val="en-US"/>
        </w:rPr>
        <w:fldChar w:fldCharType="separate"/>
      </w:r>
      <w:r w:rsidR="006B7A9E" w:rsidRPr="006B7A9E">
        <w:rPr>
          <w:rFonts w:ascii="Times New Roman" w:hAnsi="Times New Roman" w:cs="Times New Roman"/>
          <w:noProof/>
          <w:lang w:val="en-US"/>
        </w:rPr>
        <w:t>[15]</w:t>
      </w:r>
      <w:r w:rsidR="009D1A87">
        <w:rPr>
          <w:rFonts w:ascii="Times New Roman" w:hAnsi="Times New Roman" w:cs="Times New Roman"/>
          <w:lang w:val="en-US"/>
        </w:rPr>
        <w:fldChar w:fldCharType="end"/>
      </w:r>
      <w:r w:rsidR="006B7A9E">
        <w:rPr>
          <w:rFonts w:ascii="Times New Roman" w:hAnsi="Times New Roman" w:cs="Times New Roman"/>
          <w:lang w:val="en-US"/>
        </w:rPr>
        <w:t>.</w:t>
      </w:r>
      <w:r w:rsidR="00DC2AC8">
        <w:rPr>
          <w:rFonts w:ascii="Times New Roman" w:hAnsi="Times New Roman" w:cs="Times New Roman"/>
          <w:lang w:val="en-US"/>
        </w:rPr>
        <w:t xml:space="preserve"> </w:t>
      </w:r>
      <w:r w:rsidRPr="00BE3BFE">
        <w:rPr>
          <w:rFonts w:ascii="Times New Roman" w:hAnsi="Times New Roman" w:cs="Times New Roman"/>
          <w:lang w:val="en-US"/>
        </w:rPr>
        <w:t>Patients were evaluated at baseline, 6 and</w:t>
      </w:r>
      <w:r w:rsidR="00DC2AC8">
        <w:rPr>
          <w:rFonts w:ascii="Times New Roman" w:hAnsi="Times New Roman" w:cs="Times New Roman"/>
          <w:lang w:val="en-US"/>
        </w:rPr>
        <w:t xml:space="preserve"> 12-month follow-up.</w:t>
      </w:r>
    </w:p>
    <w:p w14:paraId="61EDEFA1" w14:textId="77777777" w:rsidR="00E63695" w:rsidRPr="00E63695" w:rsidRDefault="00E63695" w:rsidP="00BE3BFE">
      <w:pPr>
        <w:spacing w:line="480" w:lineRule="auto"/>
        <w:jc w:val="both"/>
        <w:rPr>
          <w:rFonts w:ascii="Times New Roman" w:hAnsi="Times New Roman" w:cs="Times New Roman"/>
          <w:u w:val="single"/>
          <w:lang w:val="en-US"/>
        </w:rPr>
      </w:pPr>
      <w:r>
        <w:rPr>
          <w:rFonts w:ascii="Times New Roman" w:hAnsi="Times New Roman" w:cs="Times New Roman"/>
          <w:u w:val="single"/>
          <w:lang w:val="en-US"/>
        </w:rPr>
        <w:t>Service utilization and cost measures</w:t>
      </w:r>
    </w:p>
    <w:p w14:paraId="000EEAEE" w14:textId="09A4A16D" w:rsidR="00BE3BFE" w:rsidRPr="00BE3BFE" w:rsidRDefault="00BE3BFE" w:rsidP="00BE3BFE">
      <w:pPr>
        <w:spacing w:line="480" w:lineRule="auto"/>
        <w:jc w:val="both"/>
        <w:rPr>
          <w:rFonts w:ascii="Times New Roman" w:hAnsi="Times New Roman" w:cs="Times New Roman"/>
          <w:lang w:val="en-US"/>
        </w:rPr>
      </w:pPr>
      <w:r w:rsidRPr="00BE3BFE">
        <w:rPr>
          <w:rFonts w:ascii="Times New Roman" w:hAnsi="Times New Roman" w:cs="Times New Roman"/>
          <w:lang w:val="en-US"/>
        </w:rPr>
        <w:t>Healthcare sector and government perspectives were used for the analysis. Using the Client Service Receipt Inventory</w:t>
      </w:r>
      <w:r w:rsidR="006B7A9E">
        <w:rPr>
          <w:rFonts w:ascii="Times New Roman" w:hAnsi="Times New Roman" w:cs="Times New Roman"/>
          <w:lang w:val="en-US"/>
        </w:rPr>
        <w:t xml:space="preserve"> </w:t>
      </w:r>
      <w:r w:rsidR="009D1A87">
        <w:rPr>
          <w:rFonts w:ascii="Times New Roman" w:hAnsi="Times New Roman" w:cs="Times New Roman"/>
          <w:lang w:val="en-US"/>
        </w:rPr>
        <w:fldChar w:fldCharType="begin" w:fldLock="1"/>
      </w:r>
      <w:r w:rsidR="006B7A9E">
        <w:rPr>
          <w:rFonts w:ascii="Times New Roman" w:hAnsi="Times New Roman" w:cs="Times New Roman"/>
          <w:lang w:val="en-US"/>
        </w:rPr>
        <w:instrText>ADDIN CSL_CITATION { "citationItems" : [ { "id" : "ITEM-1", "itemData" : { "abstract" : "Background: Cross-cultural comparison of mental health service utilisation and costs is complicated by the heterogeneity of service systems. For data to be locally meaningful yet internationally comparable, a carefully constructed approach to its collection is required. Aims: To develop a research method and instrument for the collection of data on the service utilisation and related characteristics of people with mental disorders, as the basis for calculating the costs of care. Method: Various approaches to the collection of service use data and key stages of instrument development were identified in order to select the most appropriate methods. Results: Based on previous work, and following translation and cross-cultural validation, an instrument was developed: the Client Socio-Demographic and Service Receipt Inventory - European Version (CSSRI-EU). This was subsequently administered to 404 people with schizophrenia across five countries. Conclusion: The CSSRI-EU provides a standardised yet adaptable method for collating service receipt and associated data alongside assessment of patient outcomes.", "author" : [ { "dropping-particle" : "", "family" : "Chisholm", "given" : "Daniel", "non-dropping-particle" : "", "parse-names" : false, "suffix" : "" }, { "dropping-particle" : "", "family" : "Knapp", "given" : "Martin R J", "non-dropping-particle" : "", "parse-names" : false, "suffix" : "" }, { "dropping-particle" : "", "family" : "Knudsen", "given" : "Helie Charlotte", "non-dropping-particle" : "", "parse-names" : false, "suffix" : "" }, { "dropping-particle" : "", "family" : "Amaddeo", "given" : "Amaddeo", "non-dropping-particle" : "", "parse-names" : false, "suffix" : "" }, { "dropping-particle" : "", "family" : "Gaite", "given" : "Luis", "non-dropping-particle" : "", "parse-names" : false, "suffix" : "" }, { "dropping-particle" : "", "family" : "Wijngaarden", "given" : "Bob", "non-dropping-particle" : "Van", "parse-names" : false, "suffix" : "" } ], "container-title" : "British Journal of Psychiatry", "id" : "ITEM-1", "issue" : "SUPPL. 39", "issued" : { "date-parts" : [ [ "2000" ] ] }, "title" : "Client socio-demographic and service receipt inventory - European version: Development of an instrument for international research. EPSILON study 5", "type" : "article-journal", "volume" : "177" }, "uris" : [ "http://www.mendeley.com/documents/?uuid=3f80b14a-d743-4cab-9d3e-4153cbd016b6" ] } ], "mendeley" : { "formattedCitation" : "[16]", "plainTextFormattedCitation" : "[16]", "previouslyFormattedCitation" : "&lt;sup&gt;16&lt;/sup&gt;" }, "properties" : { "noteIndex" : 0 }, "schema" : "https://github.com/citation-style-language/schema/raw/master/csl-citation.json" }</w:instrText>
      </w:r>
      <w:r w:rsidR="009D1A87">
        <w:rPr>
          <w:rFonts w:ascii="Times New Roman" w:hAnsi="Times New Roman" w:cs="Times New Roman"/>
          <w:lang w:val="en-US"/>
        </w:rPr>
        <w:fldChar w:fldCharType="separate"/>
      </w:r>
      <w:r w:rsidR="006B7A9E" w:rsidRPr="006B7A9E">
        <w:rPr>
          <w:rFonts w:ascii="Times New Roman" w:hAnsi="Times New Roman" w:cs="Times New Roman"/>
          <w:noProof/>
          <w:lang w:val="en-US"/>
        </w:rPr>
        <w:t>[16]</w:t>
      </w:r>
      <w:r w:rsidR="009D1A87">
        <w:rPr>
          <w:rFonts w:ascii="Times New Roman" w:hAnsi="Times New Roman" w:cs="Times New Roman"/>
          <w:lang w:val="en-US"/>
        </w:rPr>
        <w:fldChar w:fldCharType="end"/>
      </w:r>
      <w:r w:rsidR="006B7A9E">
        <w:rPr>
          <w:rFonts w:ascii="Times New Roman" w:hAnsi="Times New Roman" w:cs="Times New Roman"/>
          <w:lang w:val="en-US"/>
        </w:rPr>
        <w:t>,</w:t>
      </w:r>
      <w:r w:rsidRPr="00BE3BFE">
        <w:rPr>
          <w:rFonts w:ascii="Times New Roman" w:hAnsi="Times New Roman" w:cs="Times New Roman"/>
          <w:lang w:val="en-US"/>
        </w:rPr>
        <w:t xml:space="preserve"> we collected information on medical tests, </w:t>
      </w:r>
      <w:r w:rsidR="006122FB">
        <w:rPr>
          <w:rFonts w:ascii="Times New Roman" w:hAnsi="Times New Roman" w:cs="Times New Roman"/>
          <w:lang w:val="en-US"/>
        </w:rPr>
        <w:t xml:space="preserve">emergency visits, </w:t>
      </w:r>
      <w:r w:rsidRPr="00BE3BFE">
        <w:rPr>
          <w:rFonts w:ascii="Times New Roman" w:hAnsi="Times New Roman" w:cs="Times New Roman"/>
          <w:lang w:val="en-US"/>
        </w:rPr>
        <w:t>hospital stays</w:t>
      </w:r>
      <w:r w:rsidR="006122FB">
        <w:rPr>
          <w:rFonts w:ascii="Times New Roman" w:hAnsi="Times New Roman" w:cs="Times New Roman"/>
          <w:lang w:val="en-US"/>
        </w:rPr>
        <w:t xml:space="preserve"> and </w:t>
      </w:r>
      <w:r w:rsidRPr="00BE3BFE">
        <w:rPr>
          <w:rFonts w:ascii="Times New Roman" w:hAnsi="Times New Roman" w:cs="Times New Roman"/>
          <w:lang w:val="en-US"/>
        </w:rPr>
        <w:t>visits to psychologists, psychiatrists</w:t>
      </w:r>
      <w:r w:rsidR="006122FB">
        <w:rPr>
          <w:rFonts w:ascii="Times New Roman" w:hAnsi="Times New Roman" w:cs="Times New Roman"/>
          <w:lang w:val="en-US"/>
        </w:rPr>
        <w:t xml:space="preserve">, </w:t>
      </w:r>
      <w:r w:rsidRPr="00BE3BFE">
        <w:rPr>
          <w:rFonts w:ascii="Times New Roman" w:hAnsi="Times New Roman" w:cs="Times New Roman"/>
          <w:lang w:val="en-US"/>
        </w:rPr>
        <w:t xml:space="preserve">other specialists, </w:t>
      </w:r>
      <w:r w:rsidR="00E63695">
        <w:rPr>
          <w:rFonts w:ascii="Times New Roman" w:hAnsi="Times New Roman" w:cs="Times New Roman"/>
          <w:lang w:val="en-US"/>
        </w:rPr>
        <w:t>GP</w:t>
      </w:r>
      <w:r w:rsidR="006122FB">
        <w:rPr>
          <w:rFonts w:ascii="Times New Roman" w:hAnsi="Times New Roman" w:cs="Times New Roman"/>
          <w:lang w:val="en-US"/>
        </w:rPr>
        <w:t>,</w:t>
      </w:r>
      <w:r w:rsidRPr="00BE3BFE">
        <w:rPr>
          <w:rFonts w:ascii="Times New Roman" w:hAnsi="Times New Roman" w:cs="Times New Roman"/>
          <w:lang w:val="en-US"/>
        </w:rPr>
        <w:t xml:space="preserve"> nurse and social worker. Information on the use of psychotropic medicines and productivity losses were collected from medical records to improve accuracy.</w:t>
      </w:r>
    </w:p>
    <w:p w14:paraId="57574E1A" w14:textId="019751DA" w:rsidR="00BE3BFE" w:rsidRDefault="00BE3BFE" w:rsidP="00BE3BFE">
      <w:pPr>
        <w:spacing w:line="480" w:lineRule="auto"/>
        <w:jc w:val="both"/>
        <w:rPr>
          <w:rFonts w:ascii="Times New Roman" w:hAnsi="Times New Roman" w:cs="Times New Roman"/>
          <w:lang w:val="en-US"/>
        </w:rPr>
      </w:pPr>
      <w:r w:rsidRPr="00BE3BFE">
        <w:rPr>
          <w:rFonts w:ascii="Times New Roman" w:hAnsi="Times New Roman" w:cs="Times New Roman"/>
          <w:lang w:val="en-US"/>
        </w:rPr>
        <w:lastRenderedPageBreak/>
        <w:t xml:space="preserve">The Catalan Government Official Bulletin was reviewed to retrieve public health service tariffs for 2015. The reference price of the generic version of drugs was extracted from the Spanish Drugs Catalogue and used to calculate the mean price per milligram of the </w:t>
      </w:r>
      <w:r w:rsidR="00DC2AC8">
        <w:rPr>
          <w:rFonts w:ascii="Times New Roman" w:hAnsi="Times New Roman" w:cs="Times New Roman"/>
          <w:lang w:val="en-US"/>
        </w:rPr>
        <w:t>antidepressants</w:t>
      </w:r>
      <w:r w:rsidRPr="00BE3BFE">
        <w:rPr>
          <w:rFonts w:ascii="Times New Roman" w:hAnsi="Times New Roman" w:cs="Times New Roman"/>
          <w:lang w:val="en-US"/>
        </w:rPr>
        <w:t xml:space="preserve"> prescribed. Productivity losses were calculated based on the human capital approach using information on the minimum and average daily wage in Spain</w:t>
      </w:r>
      <w:r w:rsidR="006B7A9E">
        <w:rPr>
          <w:rFonts w:ascii="Times New Roman" w:hAnsi="Times New Roman" w:cs="Times New Roman"/>
          <w:lang w:val="en-US"/>
        </w:rPr>
        <w:t xml:space="preserve"> </w:t>
      </w:r>
      <w:r w:rsidR="009D1A87">
        <w:rPr>
          <w:rFonts w:ascii="Times New Roman" w:hAnsi="Times New Roman" w:cs="Times New Roman"/>
          <w:lang w:val="en-US"/>
        </w:rPr>
        <w:fldChar w:fldCharType="begin" w:fldLock="1"/>
      </w:r>
      <w:r w:rsidR="006B7A9E">
        <w:rPr>
          <w:rFonts w:ascii="Times New Roman" w:hAnsi="Times New Roman" w:cs="Times New Roman"/>
          <w:lang w:val="en-US"/>
        </w:rPr>
        <w:instrText>ADDIN CSL_CITATION { "citationItems" : [ { "id" : "ITEM-1", "itemData" : { "URL" : "www.ine.es", "author" : [ { "dropping-particle" : "", "family" : "Spanish National Institute of Statistics", "given" : "", "non-dropping-particle" : "", "parse-names" : false, "suffix" : "" } ], "id" : "ITEM-1", "issued" : { "date-parts" : [ [ "2015" ] ] }, "title" : "Minimum wage survey", "type" : "webpage" }, "uris" : [ "http://www.mendeley.com/documents/?uuid=abb4b12d-21a9-46f2-8e59-2e2e64e8cf5a" ] } ], "mendeley" : { "formattedCitation" : "[17]", "plainTextFormattedCitation" : "[17]", "previouslyFormattedCitation" : "&lt;sup&gt;17&lt;/sup&gt;" }, "properties" : { "noteIndex" : 0 }, "schema" : "https://github.com/citation-style-language/schema/raw/master/csl-citation.json" }</w:instrText>
      </w:r>
      <w:r w:rsidR="009D1A87">
        <w:rPr>
          <w:rFonts w:ascii="Times New Roman" w:hAnsi="Times New Roman" w:cs="Times New Roman"/>
          <w:lang w:val="en-US"/>
        </w:rPr>
        <w:fldChar w:fldCharType="separate"/>
      </w:r>
      <w:r w:rsidR="006B7A9E" w:rsidRPr="006B7A9E">
        <w:rPr>
          <w:rFonts w:ascii="Times New Roman" w:hAnsi="Times New Roman" w:cs="Times New Roman"/>
          <w:noProof/>
          <w:lang w:val="en-US"/>
        </w:rPr>
        <w:t>[17]</w:t>
      </w:r>
      <w:r w:rsidR="009D1A87">
        <w:rPr>
          <w:rFonts w:ascii="Times New Roman" w:hAnsi="Times New Roman" w:cs="Times New Roman"/>
          <w:lang w:val="en-US"/>
        </w:rPr>
        <w:fldChar w:fldCharType="end"/>
      </w:r>
      <w:r w:rsidR="006B7A9E">
        <w:rPr>
          <w:rFonts w:ascii="Times New Roman" w:hAnsi="Times New Roman" w:cs="Times New Roman"/>
          <w:lang w:val="en-US"/>
        </w:rPr>
        <w:t>.</w:t>
      </w:r>
      <w:r w:rsidRPr="00BE3BFE">
        <w:rPr>
          <w:rFonts w:ascii="Times New Roman" w:hAnsi="Times New Roman" w:cs="Times New Roman"/>
          <w:lang w:val="en-US"/>
        </w:rPr>
        <w:t xml:space="preserve"> Table 1 shows unit costs used in the study.</w:t>
      </w:r>
    </w:p>
    <w:p w14:paraId="4B5C2AA4" w14:textId="77777777" w:rsidR="00E63695" w:rsidRPr="000E6884" w:rsidRDefault="00E63695" w:rsidP="00BE3BFE">
      <w:pPr>
        <w:spacing w:line="480" w:lineRule="auto"/>
        <w:jc w:val="both"/>
        <w:rPr>
          <w:rFonts w:ascii="Times New Roman" w:hAnsi="Times New Roman" w:cs="Times New Roman"/>
          <w:lang w:val="en-US"/>
        </w:rPr>
      </w:pPr>
      <w:r>
        <w:rPr>
          <w:rFonts w:ascii="Times New Roman" w:hAnsi="Times New Roman" w:cs="Times New Roman"/>
          <w:u w:val="single"/>
          <w:lang w:val="en-US"/>
        </w:rPr>
        <w:t>Clinical outcomes</w:t>
      </w:r>
    </w:p>
    <w:p w14:paraId="29DCABF9" w14:textId="520FD093" w:rsidR="00BE3BFE" w:rsidRPr="00BE3BFE" w:rsidRDefault="008A258A" w:rsidP="00BE3BFE">
      <w:pPr>
        <w:spacing w:line="480" w:lineRule="auto"/>
        <w:jc w:val="both"/>
        <w:rPr>
          <w:rFonts w:ascii="Times New Roman" w:hAnsi="Times New Roman" w:cs="Times New Roman"/>
          <w:lang w:val="en-US"/>
        </w:rPr>
      </w:pPr>
      <w:r w:rsidRPr="000E6884">
        <w:rPr>
          <w:rFonts w:ascii="Times New Roman" w:hAnsi="Times New Roman" w:cs="Times New Roman"/>
          <w:lang w:val="en-US"/>
        </w:rPr>
        <w:t xml:space="preserve">Clinical outcomes were assessed at baseline, six and twelve months by an external researcher. </w:t>
      </w:r>
      <w:r w:rsidR="00BE3BFE" w:rsidRPr="00BE3BFE">
        <w:rPr>
          <w:rFonts w:ascii="Times New Roman" w:hAnsi="Times New Roman" w:cs="Times New Roman"/>
          <w:lang w:val="en-US"/>
        </w:rPr>
        <w:t>The European Quality of Life instrument (EuroQol-5D-3L) was used to measure health-related quality of life</w:t>
      </w:r>
      <w:r w:rsidR="006B7A9E">
        <w:rPr>
          <w:rFonts w:ascii="Times New Roman" w:hAnsi="Times New Roman" w:cs="Times New Roman"/>
          <w:lang w:val="en-US"/>
        </w:rPr>
        <w:t xml:space="preserve"> </w:t>
      </w:r>
      <w:r w:rsidR="009D1A87">
        <w:rPr>
          <w:rFonts w:ascii="Times New Roman" w:hAnsi="Times New Roman" w:cs="Times New Roman"/>
          <w:lang w:val="en-US"/>
        </w:rPr>
        <w:fldChar w:fldCharType="begin" w:fldLock="1"/>
      </w:r>
      <w:r w:rsidR="006B7A9E">
        <w:rPr>
          <w:rFonts w:ascii="Times New Roman" w:hAnsi="Times New Roman" w:cs="Times New Roman"/>
          <w:lang w:val="en-US"/>
        </w:rPr>
        <w:instrText>ADDIN CSL_CITATION { "citationItems" : [ { "id" : "ITEM-1", "itemData" : { "PMID" : "9610215", "abstract" : "Spanish and Catalan versions of the EuroQoi 5-D (EQ-5D) were included in the Catalan Health Interview Survey (CHIS) and administered to a randomly selected cross-section of 12,245 individuals from the Catalan general population. This paper analyses the feasibility, convergent validity and construct validity of three parts of the EQ-5D (the descriptive system, the visual analogue scale (VAS) and the Spanish tariff) using the results obtained in the CHIS. The feasibility was assessed by the number of missing responses. The convergent validity was based on the correlations between the EQ-5D scores and the scores on the General Health Questionnaire (GHQ) and on an index of self-perceived overall health. The construct validity was assessed by analysing the degree to which lower scores on the EQ-5D correlated positively with increasing age, being female, being in a lower social class or having a lower level of education and with increasing levels of disability, co-morbidity, restricted activity, mental health problems and poor self-perceived health. A low number of missing responses on the descriptive system and the VAS (1.5%) indicated a high level of acceptance. A marked ceiling effect was found, with 67% of the sample reporting no problem in any EQ dimension. The convergent validity with the GHQ was generally low, though moderate on the mood dimension. Self-perceived overall health correlated moderately to strongly with the mean VAS and tariff values. The positive correlations between lower scores on all three elements of the EQ-5D and increasing age, increasing levels of disability, comorbidity, restricted activity, mental health problems and poor self-perceived health provide some evidence of the instrument's construct validity, as does the fact that women reported more problems than men. Multivariate analyses using the VAS and tariff values as dependent variables and all of the sociodemographic and health variables as independent variables reached R2 values of 0.45 and 0.81, respectively. The Spanish and Catalan versions of the EQ-5D have proved to be feasible and valid for use in health interview surveys.", "author" : [ { "dropping-particle" : "", "family" : "Badia", "given" : "X.", "non-dropping-particle" : "", "parse-names" : false, "suffix" : "" }, { "dropping-particle" : "", "family" : "Schiaffino", "given" : "A.", "non-dropping-particle" : "", "parse-names" : false, "suffix" : "" }, { "dropping-particle" : "", "family" : "Alonso", "given" : "J.", "non-dropping-particle" : "", "parse-names" : false, "suffix" : "" }, { "dropping-particle" : "", "family" : "Herdman", "given" : "M.", "non-dropping-particle" : "", "parse-names" : false, "suffix" : "" } ], "container-title" : "Quality of Life Research", "id" : "ITEM-1", "issue" : "4", "issued" : { "date-parts" : [ [ "1998" ] ] }, "page" : "311-322", "title" : "Using the EuroQol 5-D in the Catalan general population: Feasibility and construct validity", "type" : "article-journal", "volume" : "7" }, "uris" : [ "http://www.mendeley.com/documents/?uuid=a7c84265-a58f-4950-9897-ffb7b2a30e5d" ] }, { "id" : "ITEM-2", "itemData" : { "ISSN" : "0168-8510", "PMID" : "10109801", "abstract" : "In the course of developing a standardised, non-disease-specific instrument for describing and valuing health states (based on the items in Table 1), the EuroQol Group (whose members are listed in the Appendix) conducted postal surveys in England, The Netherlands and Sweden which indicate a striking similarity in the relative valuations attached to 14 different health states. The data were collected using a visual analogue scale similar to a thermometer. The EuroQol instrument is intended to complement other quality-of-life measures and to facilitate the collection of a common data set for reference purposes. Others interested in participating in the extension of this work are invited to contact the EuroQol Group.", "author" : [ { "dropping-particle" : "", "family" : "EuroQol Group", "given" : "", "non-dropping-particle" : "", "parse-names" : false, "suffix" : "" } ], "container-title" : "Health policy (Amsterdam, Netherlands)", "id" : "ITEM-2", "issue" : "3", "issued" : { "date-parts" : [ [ "1990", "12" ] ] }, "page" : "199-208", "title" : "EuroQol-a new facility for the measurement of health-related quality of life.", "type" : "article-journal", "volume" : "16" }, "uris" : [ "http://www.mendeley.com/documents/?uuid=461154fe-9933-357f-8fb9-8f00a7b8cda9" ] } ], "mendeley" : { "formattedCitation" : "[18, 19]", "plainTextFormattedCitation" : "[18, 19]", "previouslyFormattedCitation" : "&lt;sup&gt;18,19&lt;/sup&gt;" }, "properties" : { "noteIndex" : 0 }, "schema" : "https://github.com/citation-style-language/schema/raw/master/csl-citation.json" }</w:instrText>
      </w:r>
      <w:r w:rsidR="009D1A87">
        <w:rPr>
          <w:rFonts w:ascii="Times New Roman" w:hAnsi="Times New Roman" w:cs="Times New Roman"/>
          <w:lang w:val="en-US"/>
        </w:rPr>
        <w:fldChar w:fldCharType="separate"/>
      </w:r>
      <w:r w:rsidR="006B7A9E" w:rsidRPr="006B7A9E">
        <w:rPr>
          <w:rFonts w:ascii="Times New Roman" w:hAnsi="Times New Roman" w:cs="Times New Roman"/>
          <w:lang w:val="en-US"/>
        </w:rPr>
        <w:t>[18, 19]</w:t>
      </w:r>
      <w:r w:rsidR="009D1A87">
        <w:rPr>
          <w:rFonts w:ascii="Times New Roman" w:hAnsi="Times New Roman" w:cs="Times New Roman"/>
          <w:lang w:val="en-US"/>
        </w:rPr>
        <w:fldChar w:fldCharType="end"/>
      </w:r>
      <w:r w:rsidR="006B7A9E">
        <w:rPr>
          <w:rFonts w:ascii="Times New Roman" w:hAnsi="Times New Roman" w:cs="Times New Roman"/>
          <w:lang w:val="en-US"/>
        </w:rPr>
        <w:t>.</w:t>
      </w:r>
      <w:r w:rsidR="00BE3BFE" w:rsidRPr="00BE3BFE">
        <w:rPr>
          <w:rFonts w:ascii="Times New Roman" w:hAnsi="Times New Roman" w:cs="Times New Roman"/>
          <w:lang w:val="en-US"/>
        </w:rPr>
        <w:t xml:space="preserve"> QALYs were calculated by multiplying the utility based on EQ5D by the amount of time a patient spent in this particular health state. Transitions between health states were linearly interpolated</w:t>
      </w:r>
      <w:r w:rsidR="006B7A9E">
        <w:rPr>
          <w:rFonts w:ascii="Times New Roman" w:hAnsi="Times New Roman" w:cs="Times New Roman"/>
          <w:lang w:val="en-US"/>
        </w:rPr>
        <w:t xml:space="preserve"> </w:t>
      </w:r>
      <w:r w:rsidR="00952D17">
        <w:rPr>
          <w:rFonts w:ascii="Times New Roman" w:hAnsi="Times New Roman" w:cs="Times New Roman"/>
          <w:lang w:val="en-US"/>
        </w:rPr>
        <w:fldChar w:fldCharType="begin" w:fldLock="1"/>
      </w:r>
      <w:r w:rsidR="006B7A9E">
        <w:rPr>
          <w:rFonts w:ascii="Times New Roman" w:hAnsi="Times New Roman" w:cs="Times New Roman"/>
          <w:lang w:val="en-US"/>
        </w:rPr>
        <w:instrText>ADDIN CSL_CITATION { "citationItems" : [ { "id" : "ITEM-1", "itemData" : { "author" : [ { "dropping-particle" : "", "family" : "Glick", "given" : "HA", "non-dropping-particle" : "", "parse-names" : false, "suffix" : "" }, { "dropping-particle" : "", "family" : "Doshi", "given" : "JA", "non-dropping-particle" : "", "parse-names" : false, "suffix" : "" }, { "dropping-particle" : "", "family" : "Sonrad", "given" : "SS", "non-dropping-particle" : "", "parse-names" : false, "suffix" : "" } ], "edition" : "Second Edi", "id" : "ITEM-1", "issued" : { "date-parts" : [ [ "2014" ] ] }, "publisher" : "Oxford University Press", "title" : "Economic Evaluation in Clinical Trials", "type" : "book" }, "uris" : [ "http://www.mendeley.com/documents/?uuid=a615c5da-da50-4b71-99b5-5399dac17ed6" ] } ], "mendeley" : { "formattedCitation" : "[20]", "plainTextFormattedCitation" : "[20]", "previouslyFormattedCitation" : "&lt;sup&gt;20&lt;/sup&gt;" }, "properties" : { "noteIndex" : 0 }, "schema" : "https://github.com/citation-style-language/schema/raw/master/csl-citation.json" }</w:instrText>
      </w:r>
      <w:r w:rsidR="00952D17">
        <w:rPr>
          <w:rFonts w:ascii="Times New Roman" w:hAnsi="Times New Roman" w:cs="Times New Roman"/>
          <w:lang w:val="en-US"/>
        </w:rPr>
        <w:fldChar w:fldCharType="separate"/>
      </w:r>
      <w:r w:rsidR="006B7A9E" w:rsidRPr="006B7A9E">
        <w:rPr>
          <w:rFonts w:ascii="Times New Roman" w:hAnsi="Times New Roman" w:cs="Times New Roman"/>
          <w:lang w:val="en-US"/>
        </w:rPr>
        <w:t>[20]</w:t>
      </w:r>
      <w:r w:rsidR="00952D17">
        <w:rPr>
          <w:rFonts w:ascii="Times New Roman" w:hAnsi="Times New Roman" w:cs="Times New Roman"/>
          <w:lang w:val="en-US"/>
        </w:rPr>
        <w:fldChar w:fldCharType="end"/>
      </w:r>
      <w:r w:rsidR="006B7A9E">
        <w:rPr>
          <w:rFonts w:ascii="Times New Roman" w:hAnsi="Times New Roman" w:cs="Times New Roman"/>
          <w:lang w:val="en-US"/>
        </w:rPr>
        <w:t>.</w:t>
      </w:r>
      <w:r w:rsidR="00DC2AC8" w:rsidRPr="00DC2AC8">
        <w:rPr>
          <w:rFonts w:ascii="Times New Roman" w:hAnsi="Times New Roman" w:cs="Times New Roman"/>
          <w:lang w:val="en-US"/>
        </w:rPr>
        <w:t xml:space="preserve"> </w:t>
      </w:r>
      <w:r w:rsidR="00DC2AC8" w:rsidRPr="00BE3BFE">
        <w:rPr>
          <w:rFonts w:ascii="Times New Roman" w:hAnsi="Times New Roman" w:cs="Times New Roman"/>
          <w:lang w:val="en-US"/>
        </w:rPr>
        <w:t>We used the Patient Health Questionnaire 9 (PHQ-9) to assess changes in depression severity</w:t>
      </w:r>
      <w:r w:rsidR="006B7A9E">
        <w:rPr>
          <w:rFonts w:ascii="Times New Roman" w:hAnsi="Times New Roman" w:cs="Times New Roman"/>
          <w:lang w:val="en-US"/>
        </w:rPr>
        <w:t xml:space="preserve"> </w:t>
      </w:r>
      <w:r w:rsidR="00DC2AC8">
        <w:rPr>
          <w:rFonts w:ascii="Times New Roman" w:hAnsi="Times New Roman" w:cs="Times New Roman"/>
          <w:lang w:val="en-US"/>
        </w:rPr>
        <w:fldChar w:fldCharType="begin" w:fldLock="1"/>
      </w:r>
      <w:r w:rsidR="006B7A9E">
        <w:rPr>
          <w:rFonts w:ascii="Times New Roman" w:hAnsi="Times New Roman" w:cs="Times New Roman"/>
          <w:lang w:val="en-US"/>
        </w:rPr>
        <w:instrText>ADDIN CSL_CITATION { "citationItems" : [ { "id" : "ITEM-1", "itemData" : { "ISSN" : "0033-3174", "PMID" : "11485122", "abstract" : "OBJECTIVE: To determine whether the Spanish version of the patient health questionnaire (PHQ) has validity and utility for diagnosing mental disorders in general hospital inpatients. METHODS: Participants in the study were 1003 general hospital inpatients, randomly selected from all admissions over an 18-month period. All of them completed the PHQ, the Beck Depression Inventory (BDI), and measures of functional status, disability days, and health care use, including length of hospital stay. They also had a structured interview with a mental health professional. RESULTS: A total of 416 (42%) of the 1003 general hospital inpatients had a PHQ diagnosis. There was good agreement between PHQ diagnoses and those of an independent mental health professional (for the diagnosis of any PHQ disorder, kappa = 0.74; overall accuracy, 88%; sensitivity, 87%; specificity, 88%), similar to the original English version of the PHQ in primary care patients. Patients with PHQ diagnoses had more functional impairment, disability days, and health care use than did patients without PHQ diagnoses (group main effects for functional status measures and disability days, p &lt; .001; group main effects for health care use, p &lt; .01). The group main effect for hospital length of stay was not significant. An index of depression symptom severity calculated from the PHQ correlated significantly both with the number of depressive symptoms detected at interview and the total BDI score. PHQ administration was well accepted by patients. CONCLUSIONS: The Spanish version of the PHQ has diagnostic validity in general hospital inpatients comparable to the original English version in primary care.", "author" : [ { "dropping-particle" : "", "family" : "Diez-Quevedo", "given" : "C", "non-dropping-particle" : "", "parse-names" : false, "suffix" : "" }, { "dropping-particle" : "", "family" : "Rangil", "given" : "T", "non-dropping-particle" : "", "parse-names" : false, "suffix" : "" }, { "dropping-particle" : "", "family" : "Sanchez-Planell", "given" : "L", "non-dropping-particle" : "", "parse-names" : false, "suffix" : "" }, { "dropping-particle" : "", "family" : "Kroenke", "given" : "K", "non-dropping-particle" : "", "parse-names" : false, "suffix" : "" }, { "dropping-particle" : "", "family" : "Spitzer", "given" : "R L", "non-dropping-particle" : "", "parse-names" : false, "suffix" : "" } ], "container-title" : "Psychosomatic medicine", "id" : "ITEM-1", "issue" : "4", "issued" : { "date-parts" : [ [ "2001" ] ] }, "page" : "679-86", "title" : "Validation and utility of the patient health questionnaire in diagnosing mental disorders in 1003 general hospital Spanish inpatients.", "type" : "article-journal", "volume" : "63" }, "uris" : [ "http://www.mendeley.com/documents/?uuid=b4c8f9e8-26cd-4a68-a032-fcea87287595" ] }, { "id" : "ITEM-2", "itemData" : { "PMID" : "11556941", "abstract" : "OBJECTIVE: While considerable attention has focused on improving the detection of depression, assessment of severity is also important in guiding treatment decisions. Therefore, we examined the validity of a brief, new measure of depression severity. MEASUREMENTS: The Patient Health Questionnaire (PHQ) is a self-administered version of the PRIME-MD diagnostic instrument for common mental disorders. The PHQ-9 is the depression module, which scores each of the 9 DSM-IV criteria as \"0\" (not at all) to \"3\" (nearly every day). The PHQ-9 was completed by 6,000 patients in 8 primary care clinics and 7 obstetrics-gynecology clinics. Construct validity was assessed using the 20-item Short-Form General Health Survey, self-reported sick days and clinic visits, and symptom-related difficulty. Criterion validity was assessed against an independent structured mental health professional (MHP) interview in a sample of 580 patients. RESULTS: As PHQ-9 depression severity increased, there was a substantial decrease in functional status on all 6 SF-20 subscales. Also, symptom-related difficulty, sick days, and health care utilization increased. Using the MHP reinterview as the criterion standard, a PHQ-9 score &gt; or =10 had a sensitivity of 88% and a specificity of 88% for major depression. PHQ-9 scores of 5, 10, 15, and 20 represented mild, moderate, moderately severe, and severe depression, respectively. Results were similar in the primary care and obstetrics-gynecology samples. CONCLUSION: In addition to making criteria-based diagnoses of depressive disorders, the PHQ-9 is also a reliable and valid measure of depression severity. These characteristics plus its brevity make the PHQ-9 a useful clinical and research tool.", "author" : [ { "dropping-particle" : "", "family" : "Kroenke", "given" : "K.", "non-dropping-particle" : "", "parse-names" : false, "suffix" : "" }, { "dropping-particle" : "", "family" : "Spitzer", "given" : "R. L.", "non-dropping-particle" : "", "parse-names" : false, "suffix" : "" }, { "dropping-particle" : "", "family" : "Williams", "given" : "J. B W", "non-dropping-particle" : "", "parse-names" : false, "suffix" : "" } ], "container-title" : "Journal of General Internal Medicine", "id" : "ITEM-2", "issue" : "9", "issued" : { "date-parts" : [ [ "2001" ] ] }, "page" : "606-613", "title" : "The PHQ-9: Validity of a brief depression severity measure", "type" : "article-journal", "volume" : "16" }, "uris" : [ "http://www.mendeley.com/documents/?uuid=909d2d4a-617d-4ada-b018-25f1c11f41d9" ] }, { "id" : "ITEM-3", "itemData" : { "ISSN" : "00987484", "PMID" : "10568646", "abstract" : "CONTEXT: The Primary Care Evaluation of Mental Disorders (PRIME-MD) was developed as a screening instrument but its administration time has limited its clinical usefulness. OBJECTIVE: To determine if the self-administered PRIME-MD Patient Health Questionnaire (PHQ) has validity and utility for diagnosing mental disorders in primary care comparable to the original clinician-administered PRIME-MD. DESIGN: Criterion standard study undertaken between May 1997 and November 1998. SETTING: Eight primary care clinics in the United States. PARTICIPANTS: Of a total of 3000 adult patients (selected by site-specific methods to avoid sampling bias) assessed by 62 primary care physicians (21 general internal medicine, 41 family practice), 585 patients had an interview with a mental health professional within 48 hours of completing the PHQ. MAIN OUTCOME MEASURES: Patient Health Questionnaire diagnoses compared with independent diagnoses made by mental health professionals; functional status measures; disability days; health care use; and treatment/referral decisions. RESULTS: A total of 825 (28%) of the 3000 individuals and 170 (29%) of the 585 had a PHQ diagnosis. There was good agreement between PHQ diagnoses and those of independent mental health professionals (for the diagnosis of any 1 or more PHQ disorder, kappa = 0.65; overall accuracy, 85%; sensitivity, 75%; specificity, 90%), similar to the original PRIME-MD. Patients with PHQ diagnoses had more functional impairment, disability days, and health care use than did patients without PHQ diagnoses (for all group main effects, P&lt;.001). The average time required of the physician to review the PHQ was far less than to administer the original PRIME-MD (&lt;3 minutes for 85% vs 16% of the cases). Although 80% of the physicians reported that routine use of the PHQ would be useful, new management actions were initiated or planned for only 117 (32%) of the 363 patients with 1 or more PHQ diagnoses not previously recognized. CONCLUSION: Our study suggests that the PHQ has diagnostic validity comparable to the original clinician-administered PRIME-MD, and is more efficient to use.", "author" : [ { "dropping-particle" : "", "family" : "Spitzer", "given" : "R L", "non-dropping-particle" : "", "parse-names" : false, "suffix" : "" }, { "dropping-particle" : "", "family" : "Kroenke", "given" : "K", "non-dropping-particle" : "", "parse-names" : false, "suffix" : "" }, { "dropping-particle" : "", "family" : "Williams", "given" : "J B", "non-dropping-particle" : "", "parse-names" : false, "suffix" : "" } ], "container-title" : "JAMA : the journal of the American Medical Association", "id" : "ITEM-3", "issue" : "18", "issued" : { "date-parts" : [ [ "1999" ] ] }, "page" : "1737-1744", "title" : "Validation and utility of a self-report version of PRIME-MD: the PHQ primary care study. Primary Care Evaluation of Mental Disorders. Patient Health Questionnaire.", "type" : "article-journal", "volume" : "282" }, "uris" : [ "http://www.mendeley.com/documents/?uuid=bc1c1c06-135c-41f7-b1ca-5c8a4ff10664" ] } ], "mendeley" : { "formattedCitation" : "[21\u201323]", "plainTextFormattedCitation" : "[21\u201323]", "previouslyFormattedCitation" : "&lt;sup&gt;21\u201323&lt;/sup&gt;" }, "properties" : { "noteIndex" : 0 }, "schema" : "https://github.com/citation-style-language/schema/raw/master/csl-citation.json" }</w:instrText>
      </w:r>
      <w:r w:rsidR="00DC2AC8">
        <w:rPr>
          <w:rFonts w:ascii="Times New Roman" w:hAnsi="Times New Roman" w:cs="Times New Roman"/>
          <w:lang w:val="en-US"/>
        </w:rPr>
        <w:fldChar w:fldCharType="separate"/>
      </w:r>
      <w:r w:rsidR="006B7A9E" w:rsidRPr="006B7A9E">
        <w:rPr>
          <w:rFonts w:ascii="Times New Roman" w:hAnsi="Times New Roman" w:cs="Times New Roman"/>
          <w:lang w:val="en-US"/>
        </w:rPr>
        <w:t>[21–23]</w:t>
      </w:r>
      <w:r w:rsidR="00DC2AC8">
        <w:rPr>
          <w:rFonts w:ascii="Times New Roman" w:hAnsi="Times New Roman" w:cs="Times New Roman"/>
          <w:lang w:val="en-US"/>
        </w:rPr>
        <w:fldChar w:fldCharType="end"/>
      </w:r>
      <w:r w:rsidR="006B7A9E">
        <w:rPr>
          <w:rFonts w:ascii="Times New Roman" w:hAnsi="Times New Roman" w:cs="Times New Roman"/>
          <w:lang w:val="en-US"/>
        </w:rPr>
        <w:t>.</w:t>
      </w:r>
    </w:p>
    <w:p w14:paraId="11BE337F" w14:textId="644ED503" w:rsidR="00BE3BFE" w:rsidRPr="00BE3BFE" w:rsidRDefault="00BE3BFE" w:rsidP="00BE3BFE">
      <w:pPr>
        <w:spacing w:line="480" w:lineRule="auto"/>
        <w:jc w:val="both"/>
        <w:rPr>
          <w:rFonts w:ascii="Times New Roman" w:hAnsi="Times New Roman" w:cs="Times New Roman"/>
          <w:lang w:val="en-US"/>
        </w:rPr>
      </w:pPr>
      <w:r w:rsidRPr="00BE3BFE">
        <w:rPr>
          <w:rFonts w:ascii="Times New Roman" w:hAnsi="Times New Roman" w:cs="Times New Roman"/>
          <w:lang w:val="en-US"/>
        </w:rPr>
        <w:t>The Structured Clinical Interview for DSM-IV Axis I Disorders (SCID-I) was used to confirm clinical diagnosis</w:t>
      </w:r>
      <w:r w:rsidR="006B7A9E">
        <w:rPr>
          <w:rFonts w:ascii="Times New Roman" w:hAnsi="Times New Roman" w:cs="Times New Roman"/>
          <w:lang w:val="en-US"/>
        </w:rPr>
        <w:t xml:space="preserve"> </w:t>
      </w:r>
      <w:r w:rsidR="009D1A87">
        <w:rPr>
          <w:rFonts w:ascii="Times New Roman" w:hAnsi="Times New Roman" w:cs="Times New Roman"/>
          <w:lang w:val="en-US"/>
        </w:rPr>
        <w:fldChar w:fldCharType="begin" w:fldLock="1"/>
      </w:r>
      <w:r w:rsidR="006B7A9E">
        <w:rPr>
          <w:rFonts w:ascii="Times New Roman" w:hAnsi="Times New Roman" w:cs="Times New Roman"/>
          <w:lang w:val="en-US"/>
        </w:rPr>
        <w:instrText>ADDIN CSL_CITATION { "citationItems" : [ { "id" : "ITEM-1", "itemData" : { "PMID" : "2769", "abstract" : "This efficient, user-friendly instrument will help clinicians make standardized, reliable, and accurate diagnoses and avoid the common problem of premature closurethe premature focus on one diagnostic possibility. It will also help clinicians of all levels of experience improve their clinical assessment and interviewing techniques and provides extensive documentation of the diagnostic process, an essential procedure in todays managed care world. Specifically adapted from the research standard for Axis I structured clinical interviewing for use in clinical settings, the SCID-I covers those DSM-IV diagnoses most commonly seen by clinicians and includes the diagnostic criteria for these disorders with corresponding interview questions. The SCID-I is divided into six self-contained modules that can be administered in sequence: mood episodes; psychotic symptoms; psychotic disorders; mood disorders; substance use disorders; and anxiety, adjustment, and other disorders.The Users Guide provides instructions on how to use the SCID-I effectively. It contains sections describing the rationale and structure of the SCID-I and detailed discussions on how to assess the specific DSM-IV criteria. A number of sample cases are also included to help clinicians learn how to use SCID-I.", "author" : [ { "dropping-particle" : "", "family" : "First", "given" : "M B et", "non-dropping-particle" : "", "parse-names" : false, "suffix" : "" }, { "dropping-particle" : "", "family" : "Spitzer", "given" : "R L", "non-dropping-particle" : "", "parse-names" : false, "suffix" : "" }, { "dropping-particle" : "", "family" : "Gibbon", "given" : "M", "non-dropping-particle" : "", "parse-names" : false, "suffix" : "" }, { "dropping-particle" : "", "family" : "Williams", "given" : "J B W", "non-dropping-particle" : "", "parse-names" : false, "suffix" : "" } ], "container-title" : "for DSMIV", "id" : "ITEM-1", "issued" : { "date-parts" : [ [ "1997" ] ] }, "number-of-pages" : "132", "title" : "Structured Clinical Interview for DSM-IV Axis I Disorders, Clinician Version (SCID-CV)", "type" : "book" }, "uris" : [ "http://www.mendeley.com/documents/?uuid=99d57706-a42f-43fc-bcf6-1f6ce06db709" ] } ], "mendeley" : { "formattedCitation" : "[24]", "plainTextFormattedCitation" : "[24]", "previouslyFormattedCitation" : "&lt;sup&gt;24&lt;/sup&gt;" }, "properties" : { "noteIndex" : 0 }, "schema" : "https://github.com/citation-style-language/schema/raw/master/csl-citation.json" }</w:instrText>
      </w:r>
      <w:r w:rsidR="009D1A87">
        <w:rPr>
          <w:rFonts w:ascii="Times New Roman" w:hAnsi="Times New Roman" w:cs="Times New Roman"/>
          <w:lang w:val="en-US"/>
        </w:rPr>
        <w:fldChar w:fldCharType="separate"/>
      </w:r>
      <w:r w:rsidR="006B7A9E" w:rsidRPr="006B7A9E">
        <w:rPr>
          <w:rFonts w:ascii="Times New Roman" w:hAnsi="Times New Roman" w:cs="Times New Roman"/>
          <w:noProof/>
          <w:lang w:val="en-US"/>
        </w:rPr>
        <w:t>[24]</w:t>
      </w:r>
      <w:r w:rsidR="009D1A87">
        <w:rPr>
          <w:rFonts w:ascii="Times New Roman" w:hAnsi="Times New Roman" w:cs="Times New Roman"/>
          <w:lang w:val="en-US"/>
        </w:rPr>
        <w:fldChar w:fldCharType="end"/>
      </w:r>
      <w:r w:rsidR="006B7A9E">
        <w:rPr>
          <w:rFonts w:ascii="Times New Roman" w:hAnsi="Times New Roman" w:cs="Times New Roman"/>
          <w:lang w:val="en-US"/>
        </w:rPr>
        <w:t>.</w:t>
      </w:r>
      <w:r w:rsidRPr="00BE3BFE">
        <w:rPr>
          <w:rFonts w:ascii="Times New Roman" w:hAnsi="Times New Roman" w:cs="Times New Roman"/>
          <w:lang w:val="en-US"/>
        </w:rPr>
        <w:t xml:space="preserve"> </w:t>
      </w:r>
      <w:r w:rsidR="00E63695">
        <w:rPr>
          <w:rFonts w:ascii="Times New Roman" w:hAnsi="Times New Roman" w:cs="Times New Roman"/>
          <w:lang w:val="en-US"/>
        </w:rPr>
        <w:t>GP</w:t>
      </w:r>
      <w:r w:rsidRPr="00BE3BFE">
        <w:rPr>
          <w:rFonts w:ascii="Times New Roman" w:hAnsi="Times New Roman" w:cs="Times New Roman"/>
          <w:lang w:val="en-US"/>
        </w:rPr>
        <w:t>s were blind to the DSM-IV diagnosis and patient inclusion was based on their criteria. Sociodemographic characteristics</w:t>
      </w:r>
      <w:r w:rsidR="00DC2AC8">
        <w:rPr>
          <w:rFonts w:ascii="Times New Roman" w:hAnsi="Times New Roman" w:cs="Times New Roman"/>
          <w:lang w:val="en-US"/>
        </w:rPr>
        <w:t xml:space="preserve"> and</w:t>
      </w:r>
      <w:r w:rsidRPr="00BE3BFE">
        <w:rPr>
          <w:rFonts w:ascii="Times New Roman" w:hAnsi="Times New Roman" w:cs="Times New Roman"/>
          <w:lang w:val="en-US"/>
        </w:rPr>
        <w:t xml:space="preserve"> chronic physical conditions were assessed using check-lists. </w:t>
      </w:r>
    </w:p>
    <w:p w14:paraId="48CA3FEA" w14:textId="070D5BFA" w:rsidR="00BE3BFE" w:rsidRPr="00BE3BFE" w:rsidRDefault="00BE3BFE" w:rsidP="00BE3BFE">
      <w:pPr>
        <w:spacing w:line="480" w:lineRule="auto"/>
        <w:jc w:val="both"/>
        <w:rPr>
          <w:rFonts w:ascii="Times New Roman" w:hAnsi="Times New Roman" w:cs="Times New Roman"/>
          <w:lang w:val="en-US"/>
        </w:rPr>
      </w:pPr>
      <w:r w:rsidRPr="00BE3BFE">
        <w:rPr>
          <w:rFonts w:ascii="Times New Roman" w:hAnsi="Times New Roman" w:cs="Times New Roman"/>
          <w:lang w:val="en-US"/>
        </w:rPr>
        <w:t>Further details on the battery of measures are provided elsewhere</w:t>
      </w:r>
      <w:r w:rsidR="006B7A9E">
        <w:rPr>
          <w:rFonts w:ascii="Times New Roman" w:hAnsi="Times New Roman" w:cs="Times New Roman"/>
          <w:lang w:val="en-US"/>
        </w:rPr>
        <w:t xml:space="preserve"> </w:t>
      </w:r>
      <w:r w:rsidR="009D1A87">
        <w:rPr>
          <w:rFonts w:ascii="Times New Roman" w:hAnsi="Times New Roman" w:cs="Times New Roman"/>
          <w:lang w:val="en-US"/>
        </w:rPr>
        <w:fldChar w:fldCharType="begin" w:fldLock="1"/>
      </w:r>
      <w:r w:rsidR="006B7A9E">
        <w:rPr>
          <w:rFonts w:ascii="Times New Roman" w:hAnsi="Times New Roman" w:cs="Times New Roman"/>
          <w:lang w:val="en-US"/>
        </w:rPr>
        <w:instrText>ADDIN CSL_CITATION { "citationItems" : [ { "id" : "ITEM-1", "itemData" : { "DOI" : "10.1186/s12888-015-0448-3", "ISSN" : "1471-244X (Electronic)", "PMID" : "25885818", "abstract" : "BACKGROUND: Clinical practice guidelines for the treatment of major depressive disorder (MDD) recommend antidepressants for patients with moderate-severe depression and active monitoring for patients with mild-moderate symptoms. The feasibility and efficiency of active monitoring has not been proven conclusively. The aim of this study is to evaluate the cost-effectiveness of active monitoring in comparison to antidepressants for primary care patients with mild-moderate MDD. METHODS/DESIGN: This is a 12-month follow-up multicenter observational prospective controlled trial. Patients are enrolled in 12 primary care centers in Barcelona (Spain). Eligible patients are adults (&gt;/=18 years-old) with a new episode of MDD that sign a written consent to participate. This is a naturalistic study in which general practitioners (GPs) use their professional judgment to allocate patients into active monitoring or antidepressants groups. GPs treat the patients following their clinical criteria. At baseline, GPs complete a questionnaire (sociodemographic/job characteristics, training, attitude towards depression, interest on mental health and participation in communication groups). Patients' measurements take place at baseline and after six and 12 months. Main outcome measures include severity of depression (PHQ-9), health-related quality of life (EuroQol-5D) and use of healthcare and social care services (Client Service Receipt Inventory). Secondary outcomes include diagnosis of MDD according to DSM-IV diagnostic criteria (SCID-I), disability (WHO-DAS), anxiety (BAI), comorbidities, medication side-effects and beliefs about medicines (BMQ). The analysis will be done according to the intention to treat analysis. Missing data will be imputed using multiple imputation by chained equations. To minimize the bias resulting from the lack of randomization, a propensity score will be used. Incremental effects and costs between groups will be modelled in each of the imputed databases using multivariate generalized linear models and then combined as per Rubin's rules. Propensity scores will be used to adjust the models. Incremental cost-effectiveness ratios will be calculated by dividing the difference in costs between groups by the difference in effects. To deal with the uncertainty, resampling techniques with bootstrapping will be used and cost-effectiveness planes and cost-effectiveness acceptability curves will be constructed. A series of sensitivity analyses will be perform\u2026", "author" : [ { "dropping-particle" : "", "family" : "Rubio-Valera", "given" : "Maria", "non-dropping-particle" : "", "parse-names" : false, "suffix" : "" }, { "dropping-particle" : "", "family" : "Beneitez", "given" : "Imma", "non-dropping-particle" : "", "parse-names" : false, "suffix" : "" }, { "dropping-particle" : "", "family" : "Penarrubia-Maria", "given" : "Maria Teresa", "non-dropping-particle" : "", "parse-names" : false, "suffix" : "" }, { "dropping-particle" : "V", "family" : "Luciano", "given" : "Juan", "non-dropping-particle" : "", "parse-names" : false, "suffix" : "" }, { "dropping-particle" : "", "family" : "Mendive", "given" : "Juan M", "non-dropping-particle" : "", "parse-names" : false, "suffix" : "" }, { "dropping-particle" : "", "family" : "McCrone", "given" : "Paul", "non-dropping-particle" : "", "parse-names" : false, "suffix" : "" }, { "dropping-particle" : "", "family" : "Knapp", "given" : "Martin", "non-dropping-particle" : "", "parse-names" : false, "suffix" : "" }, { "dropping-particle" : "", "family" : "Sabes-Figuera", "given" : "Ramon", "non-dropping-particle" : "", "parse-names" : false, "suffix" : "" }, { "dropping-particle" : "", "family" : "Kocyan", "given" : "Katarzyna", "non-dropping-particle" : "", "parse-names" : false, "suffix" : "" }, { "dropping-particle" : "", "family" : "Garcia-Campayo", "given" : "Javier", "non-dropping-particle" : "", "parse-names" : false, "suffix" : "" }, { "dropping-particle" : "", "family" : "Serrano-Blanco", "given" : "Antoni", "non-dropping-particle" : "", "parse-names" : false, "suffix" : "" } ], "container-title" : "BMC psychiatry", "id" : "ITEM-1", "issued" : { "date-parts" : [ [ "2015" ] ] }, "language" : "eng", "page" : "63", "publisher-place" : "England", "title" : "Cost-effectiveness of active monitoring versus antidepressants for major depression in primary health care: a 12-month non-randomized controlled trial (INFAP study).", "type" : "article-journal", "volume" : "15" }, "uris" : [ "http://www.mendeley.com/documents/?uuid=c28f90bb-4e1b-4671-8199-7badc62a7d21", "http://www.mendeley.com/documents/?uuid=513079bc-5e44-4887-9e3b-e3af99d140ac", "http://www.mendeley.com/documents/?uuid=f828855c-08b5-430f-a966-7325393e0190" ] } ], "mendeley" : { "formattedCitation" : "[14]", "plainTextFormattedCitation" : "[14]", "previouslyFormattedCitation" : "&lt;sup&gt;14&lt;/sup&gt;" }, "properties" : { "noteIndex" : 0 }, "schema" : "https://github.com/citation-style-language/schema/raw/master/csl-citation.json" }</w:instrText>
      </w:r>
      <w:r w:rsidR="009D1A87">
        <w:rPr>
          <w:rFonts w:ascii="Times New Roman" w:hAnsi="Times New Roman" w:cs="Times New Roman"/>
          <w:lang w:val="en-US"/>
        </w:rPr>
        <w:fldChar w:fldCharType="separate"/>
      </w:r>
      <w:r w:rsidR="006B7A9E" w:rsidRPr="006B7A9E">
        <w:rPr>
          <w:rFonts w:ascii="Times New Roman" w:hAnsi="Times New Roman" w:cs="Times New Roman"/>
          <w:noProof/>
          <w:lang w:val="en-US"/>
        </w:rPr>
        <w:t>[14]</w:t>
      </w:r>
      <w:r w:rsidR="009D1A87">
        <w:rPr>
          <w:rFonts w:ascii="Times New Roman" w:hAnsi="Times New Roman" w:cs="Times New Roman"/>
          <w:lang w:val="en-US"/>
        </w:rPr>
        <w:fldChar w:fldCharType="end"/>
      </w:r>
      <w:r w:rsidR="006B7A9E">
        <w:rPr>
          <w:rFonts w:ascii="Times New Roman" w:hAnsi="Times New Roman" w:cs="Times New Roman"/>
          <w:lang w:val="en-US"/>
        </w:rPr>
        <w:t>.</w:t>
      </w:r>
    </w:p>
    <w:p w14:paraId="1202D75E" w14:textId="77777777" w:rsidR="00BE3BFE" w:rsidRPr="00BE3BFE" w:rsidRDefault="00464E67" w:rsidP="00F76044">
      <w:pPr>
        <w:pStyle w:val="Heading2"/>
        <w:rPr>
          <w:rFonts w:ascii="Times New Roman" w:hAnsi="Times New Roman"/>
          <w:lang w:val="en-US"/>
        </w:rPr>
      </w:pPr>
      <w:r>
        <w:rPr>
          <w:rFonts w:ascii="Times New Roman" w:hAnsi="Times New Roman"/>
          <w:lang w:val="en-US"/>
        </w:rPr>
        <w:t>Statistical A</w:t>
      </w:r>
      <w:r w:rsidR="00BE3BFE" w:rsidRPr="00BE3BFE">
        <w:rPr>
          <w:rFonts w:ascii="Times New Roman" w:hAnsi="Times New Roman"/>
          <w:lang w:val="en-US"/>
        </w:rPr>
        <w:t>nalysis</w:t>
      </w:r>
    </w:p>
    <w:p w14:paraId="120CDF15" w14:textId="55B8DE96" w:rsidR="00D2754C" w:rsidRDefault="00D2754C" w:rsidP="00D2754C">
      <w:pPr>
        <w:spacing w:line="480" w:lineRule="auto"/>
        <w:jc w:val="both"/>
        <w:rPr>
          <w:rFonts w:ascii="Times New Roman" w:hAnsi="Times New Roman" w:cs="Times New Roman"/>
          <w:lang w:val="en-US"/>
        </w:rPr>
      </w:pPr>
      <w:r>
        <w:rPr>
          <w:rFonts w:ascii="Times New Roman" w:hAnsi="Times New Roman" w:cs="Times New Roman"/>
          <w:lang w:val="en-US"/>
        </w:rPr>
        <w:t>A detailed description of the statistical methods is provided in the Supplementary files. The base-case analysis was an intention-to-treat analysis</w:t>
      </w:r>
      <w:r w:rsidRPr="00BE3BFE">
        <w:rPr>
          <w:rFonts w:ascii="Times New Roman" w:hAnsi="Times New Roman" w:cs="Times New Roman"/>
          <w:lang w:val="en-US"/>
        </w:rPr>
        <w:t>.</w:t>
      </w:r>
      <w:r>
        <w:rPr>
          <w:rFonts w:ascii="Times New Roman" w:hAnsi="Times New Roman" w:cs="Times New Roman"/>
          <w:lang w:val="en-US"/>
        </w:rPr>
        <w:t xml:space="preserve"> To deal with m</w:t>
      </w:r>
      <w:r w:rsidRPr="00BE3BFE">
        <w:rPr>
          <w:rFonts w:ascii="Times New Roman" w:hAnsi="Times New Roman" w:cs="Times New Roman"/>
          <w:lang w:val="en-US"/>
        </w:rPr>
        <w:t>issing data</w:t>
      </w:r>
      <w:r>
        <w:rPr>
          <w:rFonts w:ascii="Times New Roman" w:hAnsi="Times New Roman" w:cs="Times New Roman"/>
          <w:lang w:val="en-US"/>
        </w:rPr>
        <w:t xml:space="preserve">, we used </w:t>
      </w:r>
      <w:r w:rsidRPr="00BE3BFE">
        <w:rPr>
          <w:rFonts w:ascii="Times New Roman" w:hAnsi="Times New Roman" w:cs="Times New Roman"/>
          <w:lang w:val="en-US"/>
        </w:rPr>
        <w:t xml:space="preserve">multiple imputations by chained equations. </w:t>
      </w:r>
      <w:r>
        <w:rPr>
          <w:rFonts w:ascii="Times New Roman" w:hAnsi="Times New Roman" w:cs="Times New Roman"/>
          <w:lang w:val="en-US"/>
        </w:rPr>
        <w:t xml:space="preserve">To minimize the bias resulting from non-randomization, a </w:t>
      </w:r>
      <w:r w:rsidR="00FF5D40">
        <w:rPr>
          <w:rFonts w:ascii="Times New Roman" w:hAnsi="Times New Roman" w:cs="Times New Roman"/>
          <w:lang w:val="en-US"/>
        </w:rPr>
        <w:t>p</w:t>
      </w:r>
      <w:r w:rsidRPr="00BE3BFE">
        <w:rPr>
          <w:rFonts w:ascii="Times New Roman" w:hAnsi="Times New Roman" w:cs="Times New Roman"/>
          <w:lang w:val="en-US"/>
        </w:rPr>
        <w:t xml:space="preserve">ropensity score-based method </w:t>
      </w:r>
      <w:r>
        <w:rPr>
          <w:rFonts w:ascii="Times New Roman" w:hAnsi="Times New Roman" w:cs="Times New Roman"/>
          <w:lang w:val="en-US"/>
        </w:rPr>
        <w:t>–</w:t>
      </w:r>
      <w:r w:rsidRPr="00BE3BFE">
        <w:rPr>
          <w:rFonts w:ascii="Times New Roman" w:hAnsi="Times New Roman" w:cs="Times New Roman"/>
          <w:lang w:val="en-US"/>
        </w:rPr>
        <w:t>the inverse probability-weighted and regression-adjustment method (IPWRA)</w:t>
      </w:r>
      <w:r>
        <w:rPr>
          <w:rFonts w:ascii="Times New Roman" w:hAnsi="Times New Roman" w:cs="Times New Roman"/>
          <w:lang w:val="en-US"/>
        </w:rPr>
        <w:t xml:space="preserve">– </w:t>
      </w:r>
      <w:r w:rsidRPr="00BE3BFE">
        <w:rPr>
          <w:rFonts w:ascii="Times New Roman" w:hAnsi="Times New Roman" w:cs="Times New Roman"/>
          <w:lang w:val="en-US"/>
        </w:rPr>
        <w:t>was used</w:t>
      </w:r>
      <w:r w:rsidR="006B7A9E">
        <w:rPr>
          <w:rFonts w:ascii="Times New Roman" w:hAnsi="Times New Roman" w:cs="Times New Roman"/>
          <w:lang w:val="en-US"/>
        </w:rPr>
        <w:t xml:space="preserve"> </w:t>
      </w:r>
      <w:r w:rsidR="00952D17">
        <w:rPr>
          <w:rFonts w:ascii="Times New Roman" w:hAnsi="Times New Roman" w:cs="Times New Roman"/>
          <w:lang w:val="en-US"/>
        </w:rPr>
        <w:fldChar w:fldCharType="begin" w:fldLock="1"/>
      </w:r>
      <w:r w:rsidR="006B7A9E">
        <w:rPr>
          <w:rFonts w:ascii="Times New Roman" w:hAnsi="Times New Roman" w:cs="Times New Roman"/>
          <w:lang w:val="en-US"/>
        </w:rPr>
        <w:instrText>ADDIN CSL_CITATION { "citationItems" : [ { "id" : "ITEM-1", "itemData" : { "DOI" : "10.1177/0962280212445945", "ISSN" : "0962-2802", "PMID" : "22687877", "abstract" : "In many observational studies, analysts estimate treatment effects using propensity scores, e.g. by matching or sub-classifying on the scores. When some values of the covariates are missing, analysts can use multiple imputation to fill in the missing data, estimate propensity scores based on the m completed datasets, and use the propensity scores to estimate treatment effects. We compare two approaches to implement this process. In the first, the analyst estimates the treatment effect using propensity score matching within each completed data set, and averages the m treatment effect estimates. In the second approach, the analyst averages the m propensity scores for each record across the completed datasets, and performs propensity score matching with these averaged scores to estimate the treatment effect. We compare properties of both methods via simulation studies using artificial and real data. The simulations suggest that the second method has greater potential to produce substantial bias reductions than the first, particularly when the missing values are predictive of treatment assignment.", "author" : [ { "dropping-particle" : "", "family" : "Mitra", "given" : "Robin", "non-dropping-particle" : "", "parse-names" : false, "suffix" : "" }, { "dropping-particle" : "", "family" : "Reiter", "given" : "Jerome P", "non-dropping-particle" : "", "parse-names" : false, "suffix" : "" } ], "container-title" : "Statistical Methods in Medical Research", "id" : "ITEM-1", "issue" : "1", "issued" : { "date-parts" : [ [ "2016", "2" ] ] }, "page" : "188-204", "title" : "A comparison of two methods of estimating propensity scores after multiple imputation", "type" : "article-journal", "volume" : "25" }, "uris" : [ "http://www.mendeley.com/documents/?uuid=3235ad87-6abb-3614-960e-443fb57ed2bf" ] } ], "mendeley" : { "formattedCitation" : "[25]", "plainTextFormattedCitation" : "[25]", "previouslyFormattedCitation" : "&lt;sup&gt;25&lt;/sup&gt;" }, "properties" : { "noteIndex" : 0 }, "schema" : "https://github.com/citation-style-language/schema/raw/master/csl-citation.json" }</w:instrText>
      </w:r>
      <w:r w:rsidR="00952D17">
        <w:rPr>
          <w:rFonts w:ascii="Times New Roman" w:hAnsi="Times New Roman" w:cs="Times New Roman"/>
          <w:lang w:val="en-US"/>
        </w:rPr>
        <w:fldChar w:fldCharType="separate"/>
      </w:r>
      <w:r w:rsidR="006B7A9E" w:rsidRPr="006B7A9E">
        <w:rPr>
          <w:rFonts w:ascii="Times New Roman" w:hAnsi="Times New Roman" w:cs="Times New Roman"/>
          <w:noProof/>
          <w:lang w:val="en-US"/>
        </w:rPr>
        <w:t>[25]</w:t>
      </w:r>
      <w:r w:rsidR="00952D17">
        <w:rPr>
          <w:rFonts w:ascii="Times New Roman" w:hAnsi="Times New Roman" w:cs="Times New Roman"/>
          <w:lang w:val="en-US"/>
        </w:rPr>
        <w:fldChar w:fldCharType="end"/>
      </w:r>
      <w:r w:rsidR="006B7A9E">
        <w:rPr>
          <w:rFonts w:ascii="Times New Roman" w:hAnsi="Times New Roman" w:cs="Times New Roman"/>
          <w:lang w:val="en-US"/>
        </w:rPr>
        <w:t>.</w:t>
      </w:r>
    </w:p>
    <w:p w14:paraId="12D6E95F" w14:textId="77777777" w:rsidR="00D2754C" w:rsidRPr="00BE3BFE" w:rsidRDefault="00D2754C" w:rsidP="00D2754C">
      <w:pPr>
        <w:spacing w:line="480" w:lineRule="auto"/>
        <w:jc w:val="both"/>
        <w:rPr>
          <w:rFonts w:ascii="Times New Roman" w:hAnsi="Times New Roman" w:cs="Times New Roman"/>
          <w:lang w:val="en-US"/>
        </w:rPr>
      </w:pPr>
      <w:r>
        <w:rPr>
          <w:rFonts w:ascii="Times New Roman" w:eastAsia="Calibri" w:hAnsi="Times New Roman"/>
          <w:lang w:val="en-US"/>
        </w:rPr>
        <w:lastRenderedPageBreak/>
        <w:t xml:space="preserve">Differences in costs and QALYs </w:t>
      </w:r>
      <w:r w:rsidRPr="00BE3BFE">
        <w:rPr>
          <w:rFonts w:ascii="Times New Roman" w:hAnsi="Times New Roman" w:cs="Times New Roman"/>
          <w:lang w:val="en-US"/>
        </w:rPr>
        <w:t>between groups</w:t>
      </w:r>
      <w:r>
        <w:rPr>
          <w:rFonts w:ascii="Times New Roman" w:hAnsi="Times New Roman" w:cs="Times New Roman"/>
          <w:lang w:val="en-US"/>
        </w:rPr>
        <w:t xml:space="preserve"> were estimated using weighted regression models. </w:t>
      </w:r>
      <w:r w:rsidRPr="00BE3BFE">
        <w:rPr>
          <w:rFonts w:ascii="Times New Roman" w:hAnsi="Times New Roman" w:cs="Times New Roman"/>
          <w:lang w:val="en-US"/>
        </w:rPr>
        <w:t>A secondary analysis was performed in which effects were measured in terms of increased probability of remission of depressive symptoms. We ran these models in each of the imputed databases and combined resulting estimates in differences in costs and QALYs to calculate incremental cost-effectiveness ratios (ICER=mean difference in costs/mean difference in effects).</w:t>
      </w:r>
    </w:p>
    <w:p w14:paraId="59C39297" w14:textId="77777777" w:rsidR="00D2754C" w:rsidRPr="00BE3BFE" w:rsidRDefault="00D2754C" w:rsidP="00D2754C">
      <w:pPr>
        <w:spacing w:line="480" w:lineRule="auto"/>
        <w:jc w:val="both"/>
        <w:rPr>
          <w:rFonts w:ascii="Times New Roman" w:eastAsia="Calibri" w:hAnsi="Times New Roman"/>
          <w:lang w:val="en-US"/>
        </w:rPr>
      </w:pPr>
      <w:bookmarkStart w:id="0" w:name="article1.body1.sec2.sec7.p1"/>
      <w:bookmarkEnd w:id="0"/>
      <w:r w:rsidRPr="00BE3BFE">
        <w:rPr>
          <w:rFonts w:ascii="Times New Roman" w:hAnsi="Times New Roman" w:cs="Times New Roman"/>
          <w:lang w:val="en-US"/>
        </w:rPr>
        <w:t>We used bootstrapping</w:t>
      </w:r>
      <w:r>
        <w:rPr>
          <w:rFonts w:ascii="Times New Roman" w:hAnsi="Times New Roman" w:cs="Times New Roman"/>
          <w:lang w:val="en-US"/>
        </w:rPr>
        <w:t xml:space="preserve"> (5000 replications)</w:t>
      </w:r>
      <w:r w:rsidRPr="00BE3BFE">
        <w:rPr>
          <w:rFonts w:ascii="Times New Roman" w:hAnsi="Times New Roman" w:cs="Times New Roman"/>
          <w:lang w:val="en-US"/>
        </w:rPr>
        <w:t xml:space="preserve"> to assess uncertainty </w:t>
      </w:r>
      <w:r>
        <w:rPr>
          <w:rFonts w:ascii="Times New Roman" w:hAnsi="Times New Roman" w:cs="Times New Roman"/>
          <w:lang w:val="en-US"/>
        </w:rPr>
        <w:t>and to construct</w:t>
      </w:r>
      <w:r w:rsidRPr="00BE3BFE">
        <w:rPr>
          <w:rFonts w:ascii="Times New Roman" w:hAnsi="Times New Roman" w:cs="Times New Roman"/>
          <w:lang w:val="en-US"/>
        </w:rPr>
        <w:t xml:space="preserve"> cost-effectiveness planes and cost-effectiveness acceptability curves. </w:t>
      </w:r>
    </w:p>
    <w:p w14:paraId="3EDB83B9" w14:textId="78B683EF" w:rsidR="00D2754C" w:rsidRPr="00BE3BFE" w:rsidRDefault="00D2754C" w:rsidP="00D2754C">
      <w:pPr>
        <w:spacing w:line="480" w:lineRule="auto"/>
        <w:jc w:val="both"/>
        <w:rPr>
          <w:rFonts w:ascii="Times New Roman" w:hAnsi="Times New Roman" w:cs="Times New Roman"/>
          <w:lang w:val="en-US"/>
        </w:rPr>
      </w:pPr>
      <w:r>
        <w:rPr>
          <w:rFonts w:ascii="Times New Roman" w:hAnsi="Times New Roman" w:cs="Times New Roman"/>
          <w:lang w:val="en-US"/>
        </w:rPr>
        <w:t xml:space="preserve">Five </w:t>
      </w:r>
      <w:r w:rsidRPr="00BE3BFE">
        <w:rPr>
          <w:rFonts w:ascii="Times New Roman" w:hAnsi="Times New Roman" w:cs="Times New Roman"/>
          <w:lang w:val="en-US"/>
        </w:rPr>
        <w:t>sensitivity analyses were performed: 1) an analysis not adjusted for the propensity score; 2) an analysis including only patients that fulfilled DSM-IV criteria for MDD; 3) an analysis using the mean average salary instead of the minimum average salary for productivity losses; 4) a per protocol</w:t>
      </w:r>
      <w:r w:rsidR="00F76044">
        <w:rPr>
          <w:rFonts w:ascii="Times New Roman" w:hAnsi="Times New Roman" w:cs="Times New Roman"/>
          <w:lang w:val="en-US"/>
        </w:rPr>
        <w:t xml:space="preserve"> (PP)</w:t>
      </w:r>
      <w:r w:rsidRPr="00BE3BFE">
        <w:rPr>
          <w:rFonts w:ascii="Times New Roman" w:hAnsi="Times New Roman" w:cs="Times New Roman"/>
          <w:lang w:val="en-US"/>
        </w:rPr>
        <w:t xml:space="preserve"> analysis; 5) an analysis of completers. </w:t>
      </w:r>
    </w:p>
    <w:p w14:paraId="06591405" w14:textId="7DCDE68C" w:rsidR="00D2754C" w:rsidRPr="00BE3BFE" w:rsidRDefault="00D2754C" w:rsidP="00D2754C">
      <w:pPr>
        <w:spacing w:line="480" w:lineRule="auto"/>
        <w:jc w:val="both"/>
        <w:rPr>
          <w:rFonts w:ascii="Times New Roman" w:hAnsi="Times New Roman" w:cs="Times New Roman"/>
          <w:lang w:val="en-US"/>
        </w:rPr>
      </w:pPr>
      <w:r w:rsidRPr="00BE3BFE">
        <w:rPr>
          <w:rFonts w:ascii="Times New Roman" w:hAnsi="Times New Roman" w:cs="Times New Roman"/>
          <w:lang w:val="en-US"/>
        </w:rPr>
        <w:t xml:space="preserve">For the </w:t>
      </w:r>
      <w:r w:rsidR="00F76044">
        <w:rPr>
          <w:rFonts w:ascii="Times New Roman" w:hAnsi="Times New Roman" w:cs="Times New Roman"/>
          <w:lang w:val="en-US"/>
        </w:rPr>
        <w:t>PP</w:t>
      </w:r>
      <w:r w:rsidRPr="00BE3BFE">
        <w:rPr>
          <w:rFonts w:ascii="Times New Roman" w:hAnsi="Times New Roman" w:cs="Times New Roman"/>
          <w:lang w:val="en-US"/>
        </w:rPr>
        <w:t xml:space="preserve"> analysis, adherence in the </w:t>
      </w:r>
      <w:r>
        <w:rPr>
          <w:rFonts w:ascii="Times New Roman" w:hAnsi="Times New Roman" w:cs="Times New Roman"/>
          <w:lang w:val="en-US"/>
        </w:rPr>
        <w:t>AM</w:t>
      </w:r>
      <w:r w:rsidRPr="00BE3BFE">
        <w:rPr>
          <w:rFonts w:ascii="Times New Roman" w:hAnsi="Times New Roman" w:cs="Times New Roman"/>
          <w:lang w:val="en-US"/>
        </w:rPr>
        <w:t xml:space="preserve"> group was defined as receiving at least 3 follow-up visits and one of the recommended interventions. Adherence in the antidepressants group was defined as having a medication possession ratio≥0.8.</w:t>
      </w:r>
    </w:p>
    <w:p w14:paraId="2261C60E" w14:textId="43909111" w:rsidR="00D2754C" w:rsidRPr="00BE3BFE" w:rsidRDefault="00D2754C" w:rsidP="00D2754C">
      <w:pPr>
        <w:spacing w:line="480" w:lineRule="auto"/>
        <w:jc w:val="both"/>
        <w:rPr>
          <w:rFonts w:ascii="Times New Roman" w:hAnsi="Times New Roman" w:cs="Times New Roman"/>
          <w:lang w:val="en-US"/>
        </w:rPr>
      </w:pPr>
      <w:r>
        <w:rPr>
          <w:rFonts w:ascii="Times New Roman" w:hAnsi="Times New Roman" w:cs="Times New Roman"/>
          <w:lang w:val="en-US"/>
        </w:rPr>
        <w:t>B</w:t>
      </w:r>
      <w:r w:rsidRPr="00BE3BFE">
        <w:rPr>
          <w:rFonts w:ascii="Times New Roman" w:hAnsi="Times New Roman" w:cs="Times New Roman"/>
          <w:lang w:val="en-US"/>
        </w:rPr>
        <w:t>ased on previous experience in studies with similar populations and setting</w:t>
      </w:r>
      <w:r w:rsidR="00F76044">
        <w:rPr>
          <w:rFonts w:ascii="Times New Roman" w:hAnsi="Times New Roman" w:cs="Times New Roman"/>
          <w:lang w:val="en-US"/>
        </w:rPr>
        <w:t>,</w:t>
      </w:r>
      <w:r>
        <w:rPr>
          <w:rFonts w:ascii="Times New Roman" w:hAnsi="Times New Roman" w:cs="Times New Roman"/>
          <w:lang w:val="en-US"/>
        </w:rPr>
        <w:fldChar w:fldCharType="begin" w:fldLock="1"/>
      </w:r>
      <w:r w:rsidR="006B7A9E">
        <w:rPr>
          <w:rFonts w:ascii="Times New Roman" w:hAnsi="Times New Roman" w:cs="Times New Roman"/>
          <w:lang w:val="en-US"/>
        </w:rPr>
        <w:instrText>ADDIN CSL_CITATION { "citationItems" : [ { "id" : "ITEM-1", "itemData" : { "PMID" : "21205952", "abstract" : "Pharmacists can play a decisive role in the management of ambulatory patients with depression who have poor adherence to antidepressant drugs.", "author" : [ { "dropping-particle" : "", "family" : "Rubio-Valera", "given" : "Maria", "non-dropping-particle" : "", "parse-names" : false, "suffix" : "" }, { "dropping-particle" : "", "family" : "Serrano-Blanco", "given" : "Antoni", "non-dropping-particle" : "", "parse-names" : false, "suffix" : "" }, { "dropping-particle" : "", "family" : "Magdalena-Bel\u00edo", "given" : "Jes\u00fas", "non-dropping-particle" : "", "parse-names" : false, "suffix" : "" }, { "dropping-particle" : "", "family" : "Fern\u00e1ndez", "given" : "Ana", "non-dropping-particle" : "", "parse-names" : false, "suffix" : "" }, { "dropping-particle" : "", "family" : "Garc\u00eda-Campayo", "given" : "Javier", "non-dropping-particle" : "", "parse-names" : false, "suffix" : "" }, { "dropping-particle" : "", "family" : "Pujol", "given" : "Marian March", "non-dropping-particle" : "", "parse-names" : false, "suffix" : "" }, { "dropping-particle" : "Del", "family" : "Hoyo", "given" : "Yolanda L\u00f3pez", "non-dropping-particle" : "", "parse-names" : false, "suffix" : "" } ], "container-title" : "Annals of Pharmacotherapy", "id" : "ITEM-1", "issue" : "1", "issued" : { "date-parts" : [ [ "2011" ] ] }, "page" : "39-48", "title" : "Effectiveness of pharmacist care in the improvement of adherence to antidepressants: A systematic review and meta-analysis", "type" : "article-journal", "volume" : "45" }, "uris" : [ "http://www.mendeley.com/documents/?uuid=52049d9c-307e-4aa4-a3fc-1fa944d5044d" ] }, { "id" : "ITEM-2", "itemData" : { "DOI" : "10.1111/j.1600-0447.2006.00918.x", "ISSN" : "0065-1591", "PMID" : "17087814", "abstract" : "To determine the cost-utility of selective serotonin reuptake inhibitors (SSRIs) for treating depressive disorders prescribed in primary care (PC).", "author" : [ { "dropping-particle" : "", "family" : "Serrano-Blanco", "given" : "A", "non-dropping-particle" : "", "parse-names" : false, "suffix" : "" }, { "dropping-particle" : "", "family" : "Pinto-Meza", "given" : "A", "non-dropping-particle" : "", "parse-names" : false, "suffix" : "" }, { "dropping-particle" : "", "family" : "Su\u00e1rez", "given" : "D", "non-dropping-particle" : "", "parse-names" : false, "suffix" : "" }, { "dropping-particle" : "", "family" : "Pe\u00f1arrubia", "given" : "M T", "non-dropping-particle" : "", "parse-names" : false, "suffix" : "" }, { "dropping-particle" : "", "family" : "Haro", "given" : "J M", "non-dropping-particle" : "", "parse-names" : false, "suffix" : "" } ], "container-title" : "Acta Psychiatr Scand Suppl", "id" : "ITEM-2", "issue" : "432", "issued" : { "date-parts" : [ [ "2006" ] ] }, "page" : "39-47", "title" : "Cost-utility of selective serotonin reuptake inhibitors for depression in primary care in Catalonia.", "type" : "article-journal", "volume" : "114" }, "uris" : [ "http://www.mendeley.com/documents/?uuid=10c9d28c-61c0-402f-b458-b482c3f8fe64" ] }, { "id" : "ITEM-3", "itemData" : { "DOI" : "10.1371/journal.pone.0070588", "ISSN" : "1932-6203", "PMID" : "23950967", "abstract" : "BACKGROUND: Non-adherence to antidepressants generates higher costs for the treatment of depression. Little is known about the cost-effectiveness of pharmacist's interventions aimed at improving adherence to antidepressants. The study aimed to evaluate the cost-effectiveness of a community pharmacist intervention in comparison with usual care in depressed patients initiating treatment with antidepressants in primary care.\n\nMETHODS: Patients were recruited by general practitioners and randomized to community pharmacist intervention (87) that received an educational intervention and usual care (92). Adherence to antidepressants, clinical symptoms, Quality-Adjusted Life-Years (QALYs), use of healthcare services and productivity losses were measured at baseline, 3 and 6 months.\n\nRESULTS: There were no significant differences between groups in costs or effects. From a societal perspective, the incremental cost-effectiveness ratio (ICER) for the community pharmacist intervention compared with usual care was \u20ac1,866 for extra adherent patient and \u20ac9,872 per extra QALY. In terms of remission of depressive symptoms, the usual care dominated the community pharmacist intervention. If willingness to pay (WTP) is \u20ac30,000 per extra adherent patient, remission of symptoms or QALYs, the probability of the community pharmacist intervention being cost-effective was 0.71, 0.46 and 0.75, respectively (societal perspective). From a healthcare perspective, the probability of the community pharmacist intervention being cost-effective in terms of adherence, QALYs and remission was of 0.71, 0.76 and 0.46, respectively, if WTP is \u20ac30,000.\n\nCONCLUSION: A brief community pharmacist intervention addressed to depressed patients initiating antidepressant treatment showed a probability of being cost-effective of 0.71 and 0.75 in terms of improvement of adherence and QALYs, respectively, when compared to usual care. Regular implementation of the community pharmacist intervention is not recommended.\n\nTRIAL REGISTRATION: ClinicalTrials.gov NCT00794196.", "author" : [ { "dropping-particle" : "", "family" : "Rubio-Valera", "given" : "Maria", "non-dropping-particle" : "", "parse-names" : false, "suffix" : "" }, { "dropping-particle" : "", "family" : "Bosmans", "given" : "Judith", "non-dropping-particle" : "", "parse-names" : false, "suffix" : "" }, { "dropping-particle" : "", "family" : "Fern\u00e1ndez", "given" : "Ana", "non-dropping-particle" : "", "parse-names" : false, "suffix" : "" }, { "dropping-particle" : "", "family" : "Pe\u00f1arrubia-Mar\u00eda", "given" : "Maite", "non-dropping-particle" : "", "parse-names" : false, "suffix" : "" }, { "dropping-particle" : "", "family" : "March", "given" : "Marian", "non-dropping-particle" : "", "parse-names" : false, "suffix" : "" }, { "dropping-particle" : "", "family" : "Trav\u00e9", "given" : "Pere", "non-dropping-particle" : "", "parse-names" : false, "suffix" : "" }, { "dropping-particle" : "", "family" : "Bell\u00f3n", "given" : "Juan a", "non-dropping-particle" : "", "parse-names" : false, "suffix" : "" }, { "dropping-particle" : "", "family" : "Serrano-Blanco", "given" : "Antoni", "non-dropping-particle" : "", "parse-names" : false, "suffix" : "" } ], "container-title" : "PloS one", "id" : "ITEM-3", "issue" : "8", "issued" : { "date-parts" : [ [ "2013", "1" ] ] }, "page" : "e70588", "title" : "Cost-effectiveness of a community pharmacist intervention in patients with depression: a randomized controlled trial (PRODEFAR Study).", "type" : "article-journal", "volume" : "8" }, "uris" : [ "http://www.mendeley.com/documents/?uuid=e5d544c7-0bd5-4669-92b2-f203a2e8f6ac" ] } ], "mendeley" : { "formattedCitation" : "[26\u201328]", "plainTextFormattedCitation" : "[26\u201328]", "previouslyFormattedCitation" : "&lt;sup&gt;26\u201328&lt;/sup&gt;" }, "properties" : { "noteIndex" : 0 }, "schema" : "https://github.com/citation-style-language/schema/raw/master/csl-citation.json" }</w:instrText>
      </w:r>
      <w:r>
        <w:rPr>
          <w:rFonts w:ascii="Times New Roman" w:hAnsi="Times New Roman" w:cs="Times New Roman"/>
          <w:lang w:val="en-US"/>
        </w:rPr>
        <w:fldChar w:fldCharType="separate"/>
      </w:r>
      <w:r w:rsidR="006B7A9E" w:rsidRPr="006B7A9E">
        <w:rPr>
          <w:rFonts w:ascii="Times New Roman" w:hAnsi="Times New Roman" w:cs="Times New Roman"/>
          <w:noProof/>
          <w:lang w:val="en-US"/>
        </w:rPr>
        <w:t>[26–28]</w:t>
      </w:r>
      <w:r>
        <w:rPr>
          <w:rFonts w:ascii="Times New Roman" w:hAnsi="Times New Roman" w:cs="Times New Roman"/>
          <w:lang w:val="en-US"/>
        </w:rPr>
        <w:fldChar w:fldCharType="end"/>
      </w:r>
      <w:r>
        <w:rPr>
          <w:rFonts w:ascii="Times New Roman" w:hAnsi="Times New Roman" w:cs="Times New Roman"/>
          <w:lang w:val="en-US"/>
        </w:rPr>
        <w:t xml:space="preserve"> w</w:t>
      </w:r>
      <w:r w:rsidRPr="00BE3BFE">
        <w:rPr>
          <w:rFonts w:ascii="Times New Roman" w:hAnsi="Times New Roman" w:cs="Times New Roman"/>
          <w:lang w:val="en-US"/>
        </w:rPr>
        <w:t>e aimed to include 150 patients per treatment arm</w:t>
      </w:r>
      <w:r w:rsidR="006B7A9E">
        <w:rPr>
          <w:rFonts w:ascii="Times New Roman" w:hAnsi="Times New Roman" w:cs="Times New Roman"/>
          <w:lang w:val="en-US"/>
        </w:rPr>
        <w:t xml:space="preserve"> </w:t>
      </w:r>
      <w:r>
        <w:rPr>
          <w:rFonts w:ascii="Times New Roman" w:hAnsi="Times New Roman" w:cs="Times New Roman"/>
          <w:lang w:val="en-US"/>
        </w:rPr>
        <w:fldChar w:fldCharType="begin" w:fldLock="1"/>
      </w:r>
      <w:r w:rsidR="006B7A9E">
        <w:rPr>
          <w:rFonts w:ascii="Times New Roman" w:hAnsi="Times New Roman" w:cs="Times New Roman"/>
          <w:lang w:val="en-US"/>
        </w:rPr>
        <w:instrText>ADDIN CSL_CITATION { "citationItems" : [ { "id" : "ITEM-1", "itemData" : { "DOI" : "10.1186/s12888-015-0448-3", "ISSN" : "1471-244X (Electronic)", "PMID" : "25885818", "abstract" : "BACKGROUND: Clinical practice guidelines for the treatment of major depressive disorder (MDD) recommend antidepressants for patients with moderate-severe depression and active monitoring for patients with mild-moderate symptoms. The feasibility and efficiency of active monitoring has not been proven conclusively. The aim of this study is to evaluate the cost-effectiveness of active monitoring in comparison to antidepressants for primary care patients with mild-moderate MDD. METHODS/DESIGN: This is a 12-month follow-up multicenter observational prospective controlled trial. Patients are enrolled in 12 primary care centers in Barcelona (Spain). Eligible patients are adults (&gt;/=18 years-old) with a new episode of MDD that sign a written consent to participate. This is a naturalistic study in which general practitioners (GPs) use their professional judgment to allocate patients into active monitoring or antidepressants groups. GPs treat the patients following their clinical criteria. At baseline, GPs complete a questionnaire (sociodemographic/job characteristics, training, attitude towards depression, interest on mental health and participation in communication groups). Patients' measurements take place at baseline and after six and 12 months. Main outcome measures include severity of depression (PHQ-9), health-related quality of life (EuroQol-5D) and use of healthcare and social care services (Client Service Receipt Inventory). Secondary outcomes include diagnosis of MDD according to DSM-IV diagnostic criteria (SCID-I), disability (WHO-DAS), anxiety (BAI), comorbidities, medication side-effects and beliefs about medicines (BMQ). The analysis will be done according to the intention to treat analysis. Missing data will be imputed using multiple imputation by chained equations. To minimize the bias resulting from the lack of randomization, a propensity score will be used. Incremental effects and costs between groups will be modelled in each of the imputed databases using multivariate generalized linear models and then combined as per Rubin's rules. Propensity scores will be used to adjust the models. Incremental cost-effectiveness ratios will be calculated by dividing the difference in costs between groups by the difference in effects. To deal with the uncertainty, resampling techniques with bootstrapping will be used and cost-effectiveness planes and cost-effectiveness acceptability curves will be constructed. A series of sensitivity analyses will be perform\u2026", "author" : [ { "dropping-particle" : "", "family" : "Rubio-Valera", "given" : "Maria", "non-dropping-particle" : "", "parse-names" : false, "suffix" : "" }, { "dropping-particle" : "", "family" : "Beneitez", "given" : "Imma", "non-dropping-particle" : "", "parse-names" : false, "suffix" : "" }, { "dropping-particle" : "", "family" : "Penarrubia-Maria", "given" : "Maria Teresa", "non-dropping-particle" : "", "parse-names" : false, "suffix" : "" }, { "dropping-particle" : "V", "family" : "Luciano", "given" : "Juan", "non-dropping-particle" : "", "parse-names" : false, "suffix" : "" }, { "dropping-particle" : "", "family" : "Mendive", "given" : "Juan M", "non-dropping-particle" : "", "parse-names" : false, "suffix" : "" }, { "dropping-particle" : "", "family" : "McCrone", "given" : "Paul", "non-dropping-particle" : "", "parse-names" : false, "suffix" : "" }, { "dropping-particle" : "", "family" : "Knapp", "given" : "Martin", "non-dropping-particle" : "", "parse-names" : false, "suffix" : "" }, { "dropping-particle" : "", "family" : "Sabes-Figuera", "given" : "Ramon", "non-dropping-particle" : "", "parse-names" : false, "suffix" : "" }, { "dropping-particle" : "", "family" : "Kocyan", "given" : "Katarzyna", "non-dropping-particle" : "", "parse-names" : false, "suffix" : "" }, { "dropping-particle" : "", "family" : "Garcia-Campayo", "given" : "Javier", "non-dropping-particle" : "", "parse-names" : false, "suffix" : "" }, { "dropping-particle" : "", "family" : "Serrano-Blanco", "given" : "Antoni", "non-dropping-particle" : "", "parse-names" : false, "suffix" : "" } ], "container-title" : "BMC psychiatry", "id" : "ITEM-1", "issued" : { "date-parts" : [ [ "2015" ] ] }, "language" : "eng", "page" : "63", "publisher-place" : "England", "title" : "Cost-effectiveness of active monitoring versus antidepressants for major depression in primary health care: a 12-month non-randomized controlled trial (INFAP study).", "type" : "article-journal", "volume" : "15" }, "uris" : [ "http://www.mendeley.com/documents/?uuid=c28f90bb-4e1b-4671-8199-7badc62a7d21", "http://www.mendeley.com/documents/?uuid=f828855c-08b5-430f-a966-7325393e0190", "http://www.mendeley.com/documents/?uuid=513079bc-5e44-4887-9e3b-e3af99d140ac" ] } ], "mendeley" : { "formattedCitation" : "[14]", "plainTextFormattedCitation" : "[14]", "previouslyFormattedCitation" : "&lt;sup&gt;14&lt;/sup&gt;" }, "properties" : { "noteIndex" : 0 }, "schema" : "https://github.com/citation-style-language/schema/raw/master/csl-citation.json" }</w:instrText>
      </w:r>
      <w:r>
        <w:rPr>
          <w:rFonts w:ascii="Times New Roman" w:hAnsi="Times New Roman" w:cs="Times New Roman"/>
          <w:lang w:val="en-US"/>
        </w:rPr>
        <w:fldChar w:fldCharType="separate"/>
      </w:r>
      <w:r w:rsidR="006B7A9E" w:rsidRPr="006B7A9E">
        <w:rPr>
          <w:rFonts w:ascii="Times New Roman" w:hAnsi="Times New Roman" w:cs="Times New Roman"/>
          <w:noProof/>
          <w:lang w:val="en-US"/>
        </w:rPr>
        <w:t>[14]</w:t>
      </w:r>
      <w:r>
        <w:rPr>
          <w:rFonts w:ascii="Times New Roman" w:hAnsi="Times New Roman" w:cs="Times New Roman"/>
          <w:lang w:val="en-US"/>
        </w:rPr>
        <w:fldChar w:fldCharType="end"/>
      </w:r>
      <w:r w:rsidR="006B7A9E">
        <w:rPr>
          <w:rFonts w:ascii="Times New Roman" w:hAnsi="Times New Roman" w:cs="Times New Roman"/>
          <w:lang w:val="en-US"/>
        </w:rPr>
        <w:t>.</w:t>
      </w:r>
    </w:p>
    <w:p w14:paraId="1BF7D071" w14:textId="77777777" w:rsidR="00BE3BFE" w:rsidRPr="00BE3BFE" w:rsidRDefault="00BE3BFE" w:rsidP="00F76044">
      <w:pPr>
        <w:pStyle w:val="Heading1"/>
        <w:rPr>
          <w:rFonts w:ascii="Times New Roman" w:hAnsi="Times New Roman"/>
          <w:lang w:val="en-US"/>
        </w:rPr>
      </w:pPr>
      <w:r w:rsidRPr="00BE3BFE">
        <w:rPr>
          <w:rFonts w:ascii="Times New Roman" w:hAnsi="Times New Roman"/>
          <w:lang w:val="en-US"/>
        </w:rPr>
        <w:t>Results</w:t>
      </w:r>
    </w:p>
    <w:p w14:paraId="0D04523A" w14:textId="79E17327" w:rsidR="00BE3BFE" w:rsidRPr="00BE3BFE" w:rsidRDefault="00BE3BFE" w:rsidP="00BE3BFE">
      <w:pPr>
        <w:spacing w:line="480" w:lineRule="auto"/>
        <w:jc w:val="both"/>
        <w:rPr>
          <w:rFonts w:ascii="Times New Roman" w:hAnsi="Times New Roman" w:cs="Times New Roman"/>
          <w:lang w:val="en-US"/>
        </w:rPr>
      </w:pPr>
      <w:r w:rsidRPr="00BE3BFE">
        <w:rPr>
          <w:rFonts w:ascii="Times New Roman" w:hAnsi="Times New Roman" w:cs="Times New Roman"/>
          <w:lang w:val="en-US"/>
        </w:rPr>
        <w:t xml:space="preserve">Figure 1 presents the study flow chart. Overall, 263 patients with a new episode of mild-moderate major depressive disorder were included in the study and received </w:t>
      </w:r>
      <w:r w:rsidR="00B20112">
        <w:rPr>
          <w:rFonts w:ascii="Times New Roman" w:hAnsi="Times New Roman" w:cs="Times New Roman"/>
          <w:lang w:val="en-US"/>
        </w:rPr>
        <w:t>AM</w:t>
      </w:r>
      <w:r w:rsidRPr="00BE3BFE">
        <w:rPr>
          <w:rFonts w:ascii="Times New Roman" w:hAnsi="Times New Roman" w:cs="Times New Roman"/>
          <w:lang w:val="en-US"/>
        </w:rPr>
        <w:t xml:space="preserve"> (118) or antidepressants (145). Some 26% of the participants were lost to follow-up and there were no statistically significant differences between study arms in attrition rate. </w:t>
      </w:r>
      <w:r w:rsidR="008A4261">
        <w:rPr>
          <w:rFonts w:ascii="Times New Roman" w:hAnsi="Times New Roman" w:cs="Times New Roman"/>
          <w:lang w:val="en-US"/>
        </w:rPr>
        <w:t>Forty</w:t>
      </w:r>
      <w:r w:rsidR="003104CC">
        <w:rPr>
          <w:rFonts w:ascii="Times New Roman" w:hAnsi="Times New Roman" w:cs="Times New Roman"/>
          <w:lang w:val="en-US"/>
        </w:rPr>
        <w:t xml:space="preserve"> (AM) and 88 (antidepressants) </w:t>
      </w:r>
      <w:r w:rsidR="008A4261">
        <w:rPr>
          <w:rFonts w:ascii="Times New Roman" w:hAnsi="Times New Roman" w:cs="Times New Roman"/>
          <w:lang w:val="en-US"/>
        </w:rPr>
        <w:t>patients adhered to the intervention</w:t>
      </w:r>
      <w:r w:rsidR="003104CC">
        <w:rPr>
          <w:rFonts w:ascii="Times New Roman" w:hAnsi="Times New Roman" w:cs="Times New Roman"/>
          <w:lang w:val="en-US"/>
        </w:rPr>
        <w:t xml:space="preserve"> and were included in the PP analysis.</w:t>
      </w:r>
    </w:p>
    <w:p w14:paraId="79D32002" w14:textId="77777777" w:rsidR="00BE3BFE" w:rsidRPr="00BE3BFE" w:rsidRDefault="00BE3BFE" w:rsidP="00BE3BFE">
      <w:pPr>
        <w:spacing w:line="480" w:lineRule="auto"/>
        <w:jc w:val="both"/>
        <w:rPr>
          <w:rFonts w:ascii="Times New Roman" w:hAnsi="Times New Roman" w:cs="Times New Roman"/>
          <w:lang w:val="en-US"/>
        </w:rPr>
      </w:pPr>
      <w:r w:rsidRPr="00BE3BFE">
        <w:rPr>
          <w:rFonts w:ascii="Times New Roman" w:hAnsi="Times New Roman" w:cs="Times New Roman"/>
          <w:lang w:val="en-US"/>
        </w:rPr>
        <w:t xml:space="preserve">Table 2 presents the characteristics of the sample. Most participants were women, with a mean age of 49 years and either primary or primary/secondary level of education. Only 30% of </w:t>
      </w:r>
      <w:r w:rsidRPr="00BE3BFE">
        <w:rPr>
          <w:rFonts w:ascii="Times New Roman" w:hAnsi="Times New Roman" w:cs="Times New Roman"/>
          <w:lang w:val="en-US"/>
        </w:rPr>
        <w:lastRenderedPageBreak/>
        <w:t xml:space="preserve">participants were in paid employment and only 31% had major depressive disorder according to DSM-IV criteria. Most </w:t>
      </w:r>
      <w:r w:rsidR="00E63695">
        <w:rPr>
          <w:rFonts w:ascii="Times New Roman" w:hAnsi="Times New Roman" w:cs="Times New Roman"/>
          <w:lang w:val="en-US"/>
        </w:rPr>
        <w:t>GP</w:t>
      </w:r>
      <w:r w:rsidRPr="00BE3BFE">
        <w:rPr>
          <w:rFonts w:ascii="Times New Roman" w:hAnsi="Times New Roman" w:cs="Times New Roman"/>
          <w:lang w:val="en-US"/>
        </w:rPr>
        <w:t>s were women (85%; n=45) with a mean age of 44.3 (SE=1.03) (range: 30-60).</w:t>
      </w:r>
    </w:p>
    <w:p w14:paraId="337FDB9F" w14:textId="77777777" w:rsidR="00BE3BFE" w:rsidRPr="00BE3BFE" w:rsidRDefault="00BE3BFE" w:rsidP="00BE3BFE">
      <w:pPr>
        <w:spacing w:line="480" w:lineRule="auto"/>
        <w:jc w:val="both"/>
        <w:rPr>
          <w:rFonts w:ascii="Times New Roman" w:hAnsi="Times New Roman" w:cs="Times New Roman"/>
          <w:lang w:val="en-US"/>
        </w:rPr>
      </w:pPr>
      <w:r w:rsidRPr="00BE3BFE">
        <w:rPr>
          <w:rFonts w:ascii="Times New Roman" w:hAnsi="Times New Roman" w:cs="Times New Roman"/>
          <w:lang w:val="en-US"/>
        </w:rPr>
        <w:t xml:space="preserve">At baseline, </w:t>
      </w:r>
      <w:r w:rsidR="00C25864">
        <w:rPr>
          <w:rFonts w:ascii="Times New Roman" w:hAnsi="Times New Roman" w:cs="Times New Roman"/>
          <w:lang w:val="en-US"/>
        </w:rPr>
        <w:t xml:space="preserve">patients with a panic disorder </w:t>
      </w:r>
      <w:r w:rsidR="00BF2DC2">
        <w:rPr>
          <w:rFonts w:ascii="Times New Roman" w:hAnsi="Times New Roman" w:cs="Times New Roman"/>
          <w:lang w:val="en-US"/>
        </w:rPr>
        <w:t xml:space="preserve">with agoraphobia or dysthymia </w:t>
      </w:r>
      <w:r w:rsidR="00F9097B">
        <w:rPr>
          <w:rFonts w:ascii="Times New Roman" w:hAnsi="Times New Roman" w:cs="Times New Roman"/>
          <w:lang w:val="en-US"/>
        </w:rPr>
        <w:t xml:space="preserve">and those with </w:t>
      </w:r>
      <w:r w:rsidR="00F9097B" w:rsidRPr="00BE3BFE">
        <w:rPr>
          <w:rFonts w:ascii="Times New Roman" w:hAnsi="Times New Roman" w:cs="Times New Roman"/>
          <w:lang w:val="en-US"/>
        </w:rPr>
        <w:t>more positive perceptions about medications</w:t>
      </w:r>
      <w:r w:rsidR="00F9097B">
        <w:rPr>
          <w:rFonts w:ascii="Times New Roman" w:hAnsi="Times New Roman" w:cs="Times New Roman"/>
          <w:lang w:val="en-US"/>
        </w:rPr>
        <w:t xml:space="preserve"> </w:t>
      </w:r>
      <w:r w:rsidR="00F456EB">
        <w:rPr>
          <w:rFonts w:ascii="Times New Roman" w:hAnsi="Times New Roman" w:cs="Times New Roman"/>
          <w:lang w:val="en-US"/>
        </w:rPr>
        <w:t xml:space="preserve">or a higher disability </w:t>
      </w:r>
      <w:r w:rsidR="00C25864">
        <w:rPr>
          <w:rFonts w:ascii="Times New Roman" w:hAnsi="Times New Roman" w:cs="Times New Roman"/>
          <w:lang w:val="en-US"/>
        </w:rPr>
        <w:t>had a higher probability of receiving antidepressants (p</w:t>
      </w:r>
      <w:r w:rsidR="00F9097B">
        <w:rPr>
          <w:rFonts w:ascii="Times New Roman" w:hAnsi="Times New Roman" w:cs="Times New Roman"/>
          <w:lang w:val="en-US"/>
        </w:rPr>
        <w:t>&lt;0.05)</w:t>
      </w:r>
      <w:r w:rsidRPr="00BE3BFE">
        <w:rPr>
          <w:rFonts w:ascii="Times New Roman" w:hAnsi="Times New Roman" w:cs="Times New Roman"/>
          <w:lang w:val="en-US"/>
        </w:rPr>
        <w:t xml:space="preserve">. After adjusting for the propensity score, no statistically significant differences existed between groups. </w:t>
      </w:r>
    </w:p>
    <w:p w14:paraId="4B193602" w14:textId="77777777" w:rsidR="00BE3BFE" w:rsidRPr="00BE3BFE" w:rsidRDefault="00BE3BFE" w:rsidP="00BE3BFE">
      <w:pPr>
        <w:spacing w:line="480" w:lineRule="auto"/>
        <w:jc w:val="both"/>
        <w:rPr>
          <w:rFonts w:ascii="Times New Roman" w:hAnsi="Times New Roman" w:cs="Times New Roman"/>
          <w:lang w:val="en-US"/>
        </w:rPr>
      </w:pPr>
      <w:r w:rsidRPr="00BE3BFE">
        <w:rPr>
          <w:rFonts w:ascii="Times New Roman" w:hAnsi="Times New Roman" w:cs="Times New Roman"/>
          <w:lang w:val="en-US"/>
        </w:rPr>
        <w:t xml:space="preserve">Table 2 shows the number and type of non-pharmacological interventions applied, as reported by patients. The </w:t>
      </w:r>
      <w:r w:rsidR="00B20112">
        <w:rPr>
          <w:rFonts w:ascii="Times New Roman" w:hAnsi="Times New Roman" w:cs="Times New Roman"/>
          <w:lang w:val="en-US"/>
        </w:rPr>
        <w:t>AM</w:t>
      </w:r>
      <w:r w:rsidRPr="00BE3BFE">
        <w:rPr>
          <w:rFonts w:ascii="Times New Roman" w:hAnsi="Times New Roman" w:cs="Times New Roman"/>
          <w:lang w:val="en-US"/>
        </w:rPr>
        <w:t xml:space="preserve"> arm received a greater number of interventions although a low number of interventions were applied.</w:t>
      </w:r>
      <w:r w:rsidR="00F9097B">
        <w:rPr>
          <w:rFonts w:ascii="Times New Roman" w:hAnsi="Times New Roman" w:cs="Times New Roman"/>
          <w:lang w:val="en-US"/>
        </w:rPr>
        <w:t xml:space="preserve"> </w:t>
      </w:r>
      <w:r w:rsidRPr="00BE3BFE">
        <w:rPr>
          <w:rFonts w:ascii="Times New Roman" w:hAnsi="Times New Roman" w:cs="Times New Roman"/>
          <w:lang w:val="en-US"/>
        </w:rPr>
        <w:t xml:space="preserve">Considering specific interventions, the only differences between groups were observed in the proportion of patients receiving </w:t>
      </w:r>
      <w:r w:rsidR="00F456EB">
        <w:rPr>
          <w:rFonts w:ascii="Times New Roman" w:hAnsi="Times New Roman" w:cs="Times New Roman"/>
          <w:lang w:val="en-US"/>
        </w:rPr>
        <w:t xml:space="preserve">physical exercise recommendations </w:t>
      </w:r>
      <w:r w:rsidRPr="00BE3BFE">
        <w:rPr>
          <w:rFonts w:ascii="Times New Roman" w:hAnsi="Times New Roman" w:cs="Times New Roman"/>
          <w:lang w:val="en-US"/>
        </w:rPr>
        <w:t>and alternative therapies. There were no differences between arms in the mean number of follow-up visits.</w:t>
      </w:r>
    </w:p>
    <w:p w14:paraId="2139BD00" w14:textId="77777777" w:rsidR="00BE3BFE" w:rsidRPr="00BE3BFE" w:rsidRDefault="00BE3BFE" w:rsidP="00F76044">
      <w:pPr>
        <w:pStyle w:val="Heading2"/>
        <w:rPr>
          <w:rFonts w:ascii="Times New Roman" w:hAnsi="Times New Roman"/>
          <w:lang w:val="en-US"/>
        </w:rPr>
      </w:pPr>
      <w:r w:rsidRPr="00BE3BFE">
        <w:rPr>
          <w:rFonts w:ascii="Times New Roman" w:hAnsi="Times New Roman"/>
          <w:lang w:val="en-US"/>
        </w:rPr>
        <w:t xml:space="preserve">Cost-effectiveness of antidepressants vs </w:t>
      </w:r>
      <w:r w:rsidR="00B20112">
        <w:rPr>
          <w:rFonts w:ascii="Times New Roman" w:hAnsi="Times New Roman"/>
          <w:lang w:val="en-US"/>
        </w:rPr>
        <w:t>AM</w:t>
      </w:r>
    </w:p>
    <w:p w14:paraId="3F146D69" w14:textId="31F2031A" w:rsidR="00BE3BFE" w:rsidRPr="00BE3BFE" w:rsidRDefault="00214534" w:rsidP="00BE3BFE">
      <w:pPr>
        <w:spacing w:line="480" w:lineRule="auto"/>
        <w:jc w:val="both"/>
        <w:rPr>
          <w:rFonts w:ascii="Times New Roman" w:hAnsi="Times New Roman" w:cs="Times New Roman"/>
          <w:lang w:val="en-US"/>
        </w:rPr>
      </w:pPr>
      <w:r>
        <w:rPr>
          <w:rFonts w:ascii="Times New Roman" w:hAnsi="Times New Roman" w:cs="Times New Roman"/>
          <w:lang w:val="en-US"/>
        </w:rPr>
        <w:t xml:space="preserve">A comparison of components of costs is provided in </w:t>
      </w:r>
      <w:r w:rsidR="004F3E5A">
        <w:rPr>
          <w:rFonts w:ascii="Times New Roman" w:hAnsi="Times New Roman" w:cs="Times New Roman"/>
          <w:lang w:val="en-US"/>
        </w:rPr>
        <w:t>Supplementary t</w:t>
      </w:r>
      <w:r>
        <w:rPr>
          <w:rFonts w:ascii="Times New Roman" w:hAnsi="Times New Roman" w:cs="Times New Roman"/>
          <w:lang w:val="en-US"/>
        </w:rPr>
        <w:t xml:space="preserve">able </w:t>
      </w:r>
      <w:r w:rsidR="004F3E5A">
        <w:rPr>
          <w:rFonts w:ascii="Times New Roman" w:hAnsi="Times New Roman" w:cs="Times New Roman"/>
          <w:lang w:val="en-US"/>
        </w:rPr>
        <w:t>1</w:t>
      </w:r>
      <w:r>
        <w:rPr>
          <w:rFonts w:ascii="Times New Roman" w:hAnsi="Times New Roman" w:cs="Times New Roman"/>
          <w:lang w:val="en-US"/>
        </w:rPr>
        <w:t xml:space="preserve">. Both at 6 and 12 months, </w:t>
      </w:r>
      <w:r w:rsidR="005E75DC">
        <w:rPr>
          <w:rFonts w:ascii="Times New Roman" w:hAnsi="Times New Roman" w:cs="Times New Roman"/>
          <w:lang w:val="en-US"/>
        </w:rPr>
        <w:t>the antidepressants arm made higher costs on pharmacological treatment. No other statistically significant differences in costs were observed.</w:t>
      </w:r>
      <w:r>
        <w:rPr>
          <w:rFonts w:ascii="Times New Roman" w:hAnsi="Times New Roman" w:cs="Times New Roman"/>
          <w:lang w:val="en-US"/>
        </w:rPr>
        <w:t xml:space="preserve"> Table 4</w:t>
      </w:r>
      <w:r w:rsidR="00BE3BFE" w:rsidRPr="00BE3BFE">
        <w:rPr>
          <w:rFonts w:ascii="Times New Roman" w:hAnsi="Times New Roman" w:cs="Times New Roman"/>
          <w:lang w:val="en-US"/>
        </w:rPr>
        <w:t xml:space="preserve"> shows the results of the cost-effectiveness analysis after 6 and 12-month follow-up for the base-case and all the sensitivity analyses.</w:t>
      </w:r>
      <w:r w:rsidR="00F9097B">
        <w:rPr>
          <w:rFonts w:ascii="Times New Roman" w:hAnsi="Times New Roman" w:cs="Times New Roman"/>
          <w:lang w:val="en-US"/>
        </w:rPr>
        <w:t xml:space="preserve"> </w:t>
      </w:r>
    </w:p>
    <w:p w14:paraId="0DB628C5" w14:textId="77777777" w:rsidR="00BE3BFE" w:rsidRPr="00BE3BFE" w:rsidRDefault="00464E67" w:rsidP="00F76044">
      <w:pPr>
        <w:pStyle w:val="Heading3"/>
        <w:rPr>
          <w:rFonts w:ascii="Times New Roman" w:hAnsi="Times New Roman"/>
          <w:lang w:val="en-US"/>
        </w:rPr>
      </w:pPr>
      <w:r>
        <w:rPr>
          <w:rFonts w:ascii="Times New Roman" w:hAnsi="Times New Roman"/>
          <w:lang w:val="en-US"/>
        </w:rPr>
        <w:t>Base-case A</w:t>
      </w:r>
      <w:r w:rsidR="00BE3BFE" w:rsidRPr="00BE3BFE">
        <w:rPr>
          <w:rFonts w:ascii="Times New Roman" w:hAnsi="Times New Roman"/>
          <w:lang w:val="en-US"/>
        </w:rPr>
        <w:t>nalysis</w:t>
      </w:r>
    </w:p>
    <w:p w14:paraId="2046B5F4" w14:textId="77777777" w:rsidR="00BE3BFE" w:rsidRPr="00BE3BFE" w:rsidRDefault="00BE3BFE" w:rsidP="00BE3BFE">
      <w:pPr>
        <w:spacing w:line="480" w:lineRule="auto"/>
        <w:jc w:val="both"/>
        <w:rPr>
          <w:rFonts w:ascii="Times New Roman" w:hAnsi="Times New Roman" w:cs="Times New Roman"/>
          <w:lang w:val="en-US"/>
        </w:rPr>
      </w:pPr>
      <w:r w:rsidRPr="00BE3BFE">
        <w:rPr>
          <w:rFonts w:ascii="Times New Roman" w:hAnsi="Times New Roman" w:cs="Times New Roman"/>
          <w:lang w:val="en-US"/>
        </w:rPr>
        <w:t xml:space="preserve">At 6 months, there was a small non-statistically significant difference in costs between groups from both the government and healthcare perspectives. Non-statistically significant gains in QALY were observed in favor of patients prescribed antidepressants. The incremental cost-utility ratio was 2,177€/QALY gained (government perspective) and 2,549€/QALY gained (healthcare perspective) in the antidepressants treatment arm.  </w:t>
      </w:r>
    </w:p>
    <w:p w14:paraId="53BF27CF" w14:textId="3DAD2E49" w:rsidR="00BE3BFE" w:rsidRPr="00BE3BFE" w:rsidRDefault="00BE3BFE" w:rsidP="00BE3BFE">
      <w:pPr>
        <w:spacing w:line="480" w:lineRule="auto"/>
        <w:jc w:val="both"/>
        <w:rPr>
          <w:rFonts w:ascii="Times New Roman" w:hAnsi="Times New Roman" w:cs="Times New Roman"/>
          <w:lang w:val="en-US"/>
        </w:rPr>
      </w:pPr>
      <w:r w:rsidRPr="00BE3BFE">
        <w:rPr>
          <w:rFonts w:ascii="Times New Roman" w:hAnsi="Times New Roman" w:cs="Times New Roman"/>
          <w:lang w:val="en-US"/>
        </w:rPr>
        <w:lastRenderedPageBreak/>
        <w:t>Figure 2 shows cost-</w:t>
      </w:r>
      <w:r w:rsidR="008A258A">
        <w:rPr>
          <w:rFonts w:ascii="Times New Roman" w:hAnsi="Times New Roman" w:cs="Times New Roman"/>
          <w:lang w:val="en-US"/>
        </w:rPr>
        <w:t xml:space="preserve">utility </w:t>
      </w:r>
      <w:r w:rsidRPr="00BE3BFE">
        <w:rPr>
          <w:rFonts w:ascii="Times New Roman" w:hAnsi="Times New Roman" w:cs="Times New Roman"/>
          <w:lang w:val="en-US"/>
        </w:rPr>
        <w:t xml:space="preserve">planes from the government and healthcare perspectives at 6-month follow-up. In the analysis using the government perspective, 53.8% </w:t>
      </w:r>
      <w:r w:rsidR="00F9097B">
        <w:rPr>
          <w:rFonts w:ascii="Times New Roman" w:hAnsi="Times New Roman" w:cs="Times New Roman"/>
          <w:lang w:val="en-US"/>
        </w:rPr>
        <w:t>of the cost-</w:t>
      </w:r>
      <w:r w:rsidR="008A258A">
        <w:rPr>
          <w:rFonts w:ascii="Times New Roman" w:hAnsi="Times New Roman" w:cs="Times New Roman"/>
          <w:lang w:val="en-US"/>
        </w:rPr>
        <w:t xml:space="preserve">utility </w:t>
      </w:r>
      <w:r w:rsidR="00F9097B">
        <w:rPr>
          <w:rFonts w:ascii="Times New Roman" w:hAnsi="Times New Roman" w:cs="Times New Roman"/>
          <w:lang w:val="en-US"/>
        </w:rPr>
        <w:t xml:space="preserve">pairs were </w:t>
      </w:r>
      <w:r w:rsidRPr="00BE3BFE">
        <w:rPr>
          <w:rFonts w:ascii="Times New Roman" w:hAnsi="Times New Roman" w:cs="Times New Roman"/>
          <w:lang w:val="en-US"/>
        </w:rPr>
        <w:t>in the north-east quadrant (more effective and more expensive) and 40.9% in the south-east quadrant (more effective and less expensive). Similar results were found from the healthcare perspective.</w:t>
      </w:r>
    </w:p>
    <w:p w14:paraId="676705B1" w14:textId="0BF9493F" w:rsidR="00BE3BFE" w:rsidRPr="00BE3BFE" w:rsidRDefault="00BE3BFE" w:rsidP="00BE3BFE">
      <w:pPr>
        <w:spacing w:line="480" w:lineRule="auto"/>
        <w:jc w:val="both"/>
        <w:rPr>
          <w:rFonts w:ascii="Times New Roman" w:hAnsi="Times New Roman" w:cs="Times New Roman"/>
          <w:lang w:val="en-US"/>
        </w:rPr>
      </w:pPr>
      <w:r w:rsidRPr="00BE3BFE">
        <w:rPr>
          <w:rFonts w:ascii="Times New Roman" w:hAnsi="Times New Roman" w:cs="Times New Roman"/>
          <w:lang w:val="en-US"/>
        </w:rPr>
        <w:t xml:space="preserve">Figure </w:t>
      </w:r>
      <w:r w:rsidR="004F3E5A">
        <w:rPr>
          <w:rFonts w:ascii="Times New Roman" w:hAnsi="Times New Roman" w:cs="Times New Roman"/>
          <w:lang w:val="en-US"/>
        </w:rPr>
        <w:t>2</w:t>
      </w:r>
      <w:r w:rsidRPr="00BE3BFE">
        <w:rPr>
          <w:rFonts w:ascii="Times New Roman" w:hAnsi="Times New Roman" w:cs="Times New Roman"/>
          <w:lang w:val="en-US"/>
        </w:rPr>
        <w:t xml:space="preserve"> shows the cost-utility acceptability curves. For a </w:t>
      </w:r>
      <w:r w:rsidR="00F9097B">
        <w:rPr>
          <w:rFonts w:ascii="Times New Roman" w:hAnsi="Times New Roman" w:cs="Times New Roman"/>
          <w:lang w:val="en-US"/>
        </w:rPr>
        <w:t>willingness to pay (</w:t>
      </w:r>
      <w:r w:rsidRPr="00BE3BFE">
        <w:rPr>
          <w:rFonts w:ascii="Times New Roman" w:hAnsi="Times New Roman" w:cs="Times New Roman"/>
          <w:lang w:val="en-US"/>
        </w:rPr>
        <w:t>WTP</w:t>
      </w:r>
      <w:r w:rsidR="00F9097B">
        <w:rPr>
          <w:rFonts w:ascii="Times New Roman" w:hAnsi="Times New Roman" w:cs="Times New Roman"/>
          <w:lang w:val="en-US"/>
        </w:rPr>
        <w:t>)</w:t>
      </w:r>
      <w:r w:rsidRPr="00BE3BFE">
        <w:rPr>
          <w:rFonts w:ascii="Times New Roman" w:hAnsi="Times New Roman" w:cs="Times New Roman"/>
          <w:lang w:val="en-US"/>
        </w:rPr>
        <w:t xml:space="preserve"> of 25,000€/QALY gained, the probability of antidepressants being more cost-effective than </w:t>
      </w:r>
      <w:r w:rsidR="00B20112">
        <w:rPr>
          <w:rFonts w:ascii="Times New Roman" w:hAnsi="Times New Roman" w:cs="Times New Roman"/>
          <w:lang w:val="en-US"/>
        </w:rPr>
        <w:t>AM</w:t>
      </w:r>
      <w:r w:rsidRPr="00BE3BFE">
        <w:rPr>
          <w:rFonts w:ascii="Times New Roman" w:hAnsi="Times New Roman" w:cs="Times New Roman"/>
          <w:lang w:val="en-US"/>
        </w:rPr>
        <w:t xml:space="preserve"> was 80.8% from the healthcare perspective and 89.1% from the government perspective.</w:t>
      </w:r>
    </w:p>
    <w:p w14:paraId="76523ACD" w14:textId="77777777" w:rsidR="00BE3BFE" w:rsidRPr="00BE3BFE" w:rsidRDefault="00BE3BFE" w:rsidP="00BE3BFE">
      <w:pPr>
        <w:spacing w:line="480" w:lineRule="auto"/>
        <w:jc w:val="both"/>
        <w:rPr>
          <w:rFonts w:ascii="Times New Roman" w:hAnsi="Times New Roman" w:cs="Times New Roman"/>
          <w:lang w:val="en-US"/>
        </w:rPr>
      </w:pPr>
      <w:r w:rsidRPr="00BE3BFE">
        <w:rPr>
          <w:rFonts w:ascii="Times New Roman" w:hAnsi="Times New Roman" w:cs="Times New Roman"/>
          <w:lang w:val="en-US"/>
        </w:rPr>
        <w:t>At 12 months, no statistically significant differences in costs or effects were observed between groups. The mean difference in QALYs was 0.03 in favor of patients in the antidepressants arm. Patients receiving antidepressants generated a mean of 269€ (government perspective) and 156€ (healthcare perspective) extra costs, resulting in an ICUR of 10,593€/QALY and 6,142€/QALY from the government and healthcare perspectives, respectively.</w:t>
      </w:r>
    </w:p>
    <w:p w14:paraId="4BA6D311" w14:textId="77777777" w:rsidR="00BE3BFE" w:rsidRPr="00BE3BFE" w:rsidRDefault="00BE3BFE" w:rsidP="00F9097B">
      <w:pPr>
        <w:spacing w:line="480" w:lineRule="auto"/>
        <w:jc w:val="both"/>
        <w:rPr>
          <w:rFonts w:ascii="Times New Roman" w:hAnsi="Times New Roman" w:cs="Times New Roman"/>
          <w:lang w:val="en-US"/>
        </w:rPr>
      </w:pPr>
      <w:r w:rsidRPr="00BE3BFE">
        <w:rPr>
          <w:rFonts w:ascii="Times New Roman" w:hAnsi="Times New Roman" w:cs="Times New Roman"/>
          <w:lang w:val="en-US"/>
        </w:rPr>
        <w:t xml:space="preserve">Concerning cost-effectiveness planes, similar results were observed from both perspectives, with most of the cost-effectiveness pairs in the north-east quadrant (76.5% from the government perspective and 77% from the health-care perspective). Antidepressants had a 72.6% and 86.1% probability of being more cost-effective than </w:t>
      </w:r>
      <w:r w:rsidR="00B20112">
        <w:rPr>
          <w:rFonts w:ascii="Times New Roman" w:hAnsi="Times New Roman" w:cs="Times New Roman"/>
          <w:lang w:val="en-US"/>
        </w:rPr>
        <w:t>AM</w:t>
      </w:r>
      <w:r w:rsidRPr="00BE3BFE">
        <w:rPr>
          <w:rFonts w:ascii="Times New Roman" w:hAnsi="Times New Roman" w:cs="Times New Roman"/>
          <w:lang w:val="en-US"/>
        </w:rPr>
        <w:t xml:space="preserve"> if WTP was 25,000€ from the government and healthcare perspectives, respectively (Figure 3).</w:t>
      </w:r>
    </w:p>
    <w:p w14:paraId="59FC121C" w14:textId="197BD1CB" w:rsidR="00BE3BFE" w:rsidRPr="00BE3BFE" w:rsidRDefault="00464E67" w:rsidP="00F76044">
      <w:pPr>
        <w:pStyle w:val="Heading3"/>
        <w:rPr>
          <w:rFonts w:ascii="Times New Roman" w:hAnsi="Times New Roman"/>
          <w:lang w:val="en-US"/>
        </w:rPr>
      </w:pPr>
      <w:r>
        <w:rPr>
          <w:rFonts w:ascii="Times New Roman" w:hAnsi="Times New Roman"/>
          <w:lang w:val="en-US"/>
        </w:rPr>
        <w:t>Sensitivity A</w:t>
      </w:r>
      <w:r w:rsidR="00BE3BFE" w:rsidRPr="00BE3BFE">
        <w:rPr>
          <w:rFonts w:ascii="Times New Roman" w:hAnsi="Times New Roman"/>
          <w:lang w:val="en-US"/>
        </w:rPr>
        <w:t>nalys</w:t>
      </w:r>
      <w:r w:rsidR="00096D36">
        <w:rPr>
          <w:rFonts w:ascii="Times New Roman" w:hAnsi="Times New Roman"/>
          <w:lang w:val="en-US"/>
        </w:rPr>
        <w:t>e</w:t>
      </w:r>
      <w:r w:rsidR="00BE3BFE" w:rsidRPr="00BE3BFE">
        <w:rPr>
          <w:rFonts w:ascii="Times New Roman" w:hAnsi="Times New Roman"/>
          <w:lang w:val="en-US"/>
        </w:rPr>
        <w:t>s</w:t>
      </w:r>
    </w:p>
    <w:p w14:paraId="364F9B55" w14:textId="77777777" w:rsidR="00BE3BFE" w:rsidRPr="00BE3BFE" w:rsidRDefault="00BE3BFE" w:rsidP="00BE3BFE">
      <w:pPr>
        <w:spacing w:line="480" w:lineRule="auto"/>
        <w:jc w:val="both"/>
        <w:rPr>
          <w:rFonts w:ascii="Times New Roman" w:hAnsi="Times New Roman" w:cs="Times New Roman"/>
          <w:lang w:val="en-US"/>
        </w:rPr>
      </w:pPr>
      <w:r w:rsidRPr="00BE3BFE">
        <w:rPr>
          <w:rFonts w:ascii="Times New Roman" w:hAnsi="Times New Roman" w:cs="Times New Roman"/>
          <w:lang w:val="en-US"/>
        </w:rPr>
        <w:t>All five sensitivity analyses showed mostly consistent results with small differences in costs and effects between groups both at six and twelve-month follow-up. These results were in line with the findings of the main analyses.  Statistically significant differences in QALYs were seen at 6 and/or 12 months in favor of antidepressants in the sensitivity analysis using generalized linear models without propensity score correction and when only those patients with major depression according to DSM-IV criteria were included.</w:t>
      </w:r>
    </w:p>
    <w:p w14:paraId="2706D995" w14:textId="55E7B90A" w:rsidR="00BE3BFE" w:rsidRPr="00BE3BFE" w:rsidRDefault="00BE3BFE" w:rsidP="00BE3BFE">
      <w:pPr>
        <w:spacing w:line="480" w:lineRule="auto"/>
        <w:jc w:val="both"/>
        <w:rPr>
          <w:rFonts w:ascii="Times New Roman" w:hAnsi="Times New Roman" w:cs="Times New Roman"/>
          <w:lang w:val="en-US"/>
        </w:rPr>
      </w:pPr>
      <w:r w:rsidRPr="00BE3BFE">
        <w:rPr>
          <w:rFonts w:ascii="Times New Roman" w:hAnsi="Times New Roman" w:cs="Times New Roman"/>
          <w:lang w:val="en-US"/>
        </w:rPr>
        <w:lastRenderedPageBreak/>
        <w:t xml:space="preserve">At 6 months, differences in costs ranged from -548.3€ to 137.6€ while differences in QALY ranged between 0.01 and 0.03. In three scenarios (patients with a DSM-IV diagnosis of depression, </w:t>
      </w:r>
      <w:r w:rsidR="00F76044">
        <w:rPr>
          <w:rFonts w:ascii="Times New Roman" w:hAnsi="Times New Roman" w:cs="Times New Roman"/>
          <w:lang w:val="en-US"/>
        </w:rPr>
        <w:t>PP</w:t>
      </w:r>
      <w:r w:rsidRPr="00BE3BFE">
        <w:rPr>
          <w:rFonts w:ascii="Times New Roman" w:hAnsi="Times New Roman" w:cs="Times New Roman"/>
          <w:lang w:val="en-US"/>
        </w:rPr>
        <w:t xml:space="preserve"> analysis and completers’ analysis) antidepressants dominated </w:t>
      </w:r>
      <w:r w:rsidR="00B20112">
        <w:rPr>
          <w:rFonts w:ascii="Times New Roman" w:hAnsi="Times New Roman" w:cs="Times New Roman"/>
          <w:lang w:val="en-US"/>
        </w:rPr>
        <w:t>AM</w:t>
      </w:r>
      <w:r w:rsidRPr="00BE3BFE">
        <w:rPr>
          <w:rFonts w:ascii="Times New Roman" w:hAnsi="Times New Roman" w:cs="Times New Roman"/>
          <w:lang w:val="en-US"/>
        </w:rPr>
        <w:t xml:space="preserve">. In the other analyses, the highest ICUR was 10,226€/QALY. Cost differences at 12 months varied from -162€ to 688€ while effect differences were 0.03 to 0.08. In the </w:t>
      </w:r>
      <w:r w:rsidR="00F76044">
        <w:rPr>
          <w:rFonts w:ascii="Times New Roman" w:hAnsi="Times New Roman" w:cs="Times New Roman"/>
          <w:lang w:val="en-US"/>
        </w:rPr>
        <w:t>PP</w:t>
      </w:r>
      <w:r w:rsidRPr="00BE3BFE">
        <w:rPr>
          <w:rFonts w:ascii="Times New Roman" w:hAnsi="Times New Roman" w:cs="Times New Roman"/>
          <w:lang w:val="en-US"/>
        </w:rPr>
        <w:t xml:space="preserve"> analysis, antidepressants dominated </w:t>
      </w:r>
      <w:r w:rsidR="00B20112">
        <w:rPr>
          <w:rFonts w:ascii="Times New Roman" w:hAnsi="Times New Roman" w:cs="Times New Roman"/>
          <w:lang w:val="en-US"/>
        </w:rPr>
        <w:t>AM</w:t>
      </w:r>
      <w:r w:rsidRPr="00BE3BFE">
        <w:rPr>
          <w:rFonts w:ascii="Times New Roman" w:hAnsi="Times New Roman" w:cs="Times New Roman"/>
          <w:lang w:val="en-US"/>
        </w:rPr>
        <w:t>. In the remaining analyses, the ICUR ranged from 690 to 27,092€/QALY.</w:t>
      </w:r>
    </w:p>
    <w:p w14:paraId="4CD5EA77" w14:textId="77777777" w:rsidR="00BE3BFE" w:rsidRPr="00F76044" w:rsidRDefault="00464E67" w:rsidP="00F76044">
      <w:pPr>
        <w:spacing w:line="480" w:lineRule="auto"/>
        <w:rPr>
          <w:rFonts w:ascii="Times New Roman" w:hAnsi="Times New Roman"/>
          <w:i/>
          <w:lang w:val="en-US"/>
        </w:rPr>
      </w:pPr>
      <w:r w:rsidRPr="00F76044">
        <w:rPr>
          <w:rFonts w:ascii="Times New Roman" w:hAnsi="Times New Roman"/>
          <w:i/>
          <w:lang w:val="en-US"/>
        </w:rPr>
        <w:t>Remission of S</w:t>
      </w:r>
      <w:r w:rsidR="00BE3BFE" w:rsidRPr="00F76044">
        <w:rPr>
          <w:rFonts w:ascii="Times New Roman" w:hAnsi="Times New Roman"/>
          <w:i/>
          <w:lang w:val="en-US"/>
        </w:rPr>
        <w:t>ymptoms</w:t>
      </w:r>
    </w:p>
    <w:p w14:paraId="4590C00E" w14:textId="4D62EDF0" w:rsidR="00BE3BFE" w:rsidRPr="00BE3BFE" w:rsidRDefault="00BE3BFE" w:rsidP="00BE3BFE">
      <w:pPr>
        <w:spacing w:line="480" w:lineRule="auto"/>
        <w:jc w:val="both"/>
        <w:rPr>
          <w:rFonts w:ascii="Times New Roman" w:hAnsi="Times New Roman" w:cs="Times New Roman"/>
          <w:lang w:val="en-US"/>
        </w:rPr>
      </w:pPr>
      <w:r w:rsidRPr="00BE3BFE">
        <w:rPr>
          <w:rFonts w:ascii="Times New Roman" w:hAnsi="Times New Roman" w:cs="Times New Roman"/>
          <w:lang w:val="en-US"/>
        </w:rPr>
        <w:t xml:space="preserve">Supplementary </w:t>
      </w:r>
      <w:r w:rsidR="00944713">
        <w:rPr>
          <w:rFonts w:ascii="Times New Roman" w:hAnsi="Times New Roman" w:cs="Times New Roman"/>
          <w:lang w:val="en-US"/>
        </w:rPr>
        <w:t>table 2</w:t>
      </w:r>
      <w:r w:rsidRPr="00BE3BFE">
        <w:rPr>
          <w:rFonts w:ascii="Times New Roman" w:hAnsi="Times New Roman" w:cs="Times New Roman"/>
          <w:lang w:val="en-US"/>
        </w:rPr>
        <w:t xml:space="preserve"> show the results of the cost-effectiveness analysis in terms of remission of depressive symptoms after 6 and 12-month follow-up for the base-case and all the sensitivity analyses. No statistically significant differences between groups were observed in either difference of costs or remission of symptoms at any follow-up point or sensitivity analysis.  At 6-month follow-up, the antidepressants arm generated higher costs and effects in the main analysis and most sensitivity analyses. Antidepressants dominated </w:t>
      </w:r>
      <w:r w:rsidR="00B20112">
        <w:rPr>
          <w:rFonts w:ascii="Times New Roman" w:hAnsi="Times New Roman" w:cs="Times New Roman"/>
          <w:lang w:val="en-US"/>
        </w:rPr>
        <w:t>AM</w:t>
      </w:r>
      <w:r w:rsidRPr="00BE3BFE">
        <w:rPr>
          <w:rFonts w:ascii="Times New Roman" w:hAnsi="Times New Roman" w:cs="Times New Roman"/>
          <w:lang w:val="en-US"/>
        </w:rPr>
        <w:t xml:space="preserve"> in the </w:t>
      </w:r>
      <w:r w:rsidR="00F76044">
        <w:rPr>
          <w:rFonts w:ascii="Times New Roman" w:hAnsi="Times New Roman" w:cs="Times New Roman"/>
          <w:lang w:val="en-US"/>
        </w:rPr>
        <w:t>PP</w:t>
      </w:r>
      <w:r w:rsidRPr="00BE3BFE">
        <w:rPr>
          <w:rFonts w:ascii="Times New Roman" w:hAnsi="Times New Roman" w:cs="Times New Roman"/>
          <w:lang w:val="en-US"/>
        </w:rPr>
        <w:t xml:space="preserve"> and completers’ analyses. At 12 months, antidepressants generated higher costs and had a lower probability of leading to a remission of symptoms in most of the analyses.</w:t>
      </w:r>
    </w:p>
    <w:p w14:paraId="5D24B758" w14:textId="5D44E398" w:rsidR="00BE3BFE" w:rsidRDefault="00BE3BFE" w:rsidP="00F76044">
      <w:pPr>
        <w:pStyle w:val="Heading1"/>
        <w:rPr>
          <w:rFonts w:ascii="Times New Roman" w:hAnsi="Times New Roman"/>
          <w:lang w:val="en-US"/>
        </w:rPr>
      </w:pPr>
      <w:r w:rsidRPr="00BE3BFE">
        <w:rPr>
          <w:rFonts w:ascii="Times New Roman" w:hAnsi="Times New Roman"/>
          <w:lang w:val="en-US"/>
        </w:rPr>
        <w:t>Discussion</w:t>
      </w:r>
    </w:p>
    <w:p w14:paraId="682F30DD" w14:textId="54C65718" w:rsidR="00D8004B" w:rsidRDefault="00BE3BFE" w:rsidP="00F0545A">
      <w:pPr>
        <w:spacing w:line="480" w:lineRule="auto"/>
        <w:jc w:val="both"/>
        <w:rPr>
          <w:rStyle w:val="Ninguno"/>
          <w:rFonts w:ascii="Times New Roman" w:hAnsi="Times New Roman" w:cs="Times New Roman"/>
          <w:lang w:val="en-GB"/>
        </w:rPr>
      </w:pPr>
      <w:r w:rsidRPr="00BE3BFE">
        <w:rPr>
          <w:rStyle w:val="Ninguno"/>
          <w:rFonts w:ascii="Times New Roman" w:hAnsi="Times New Roman" w:cs="Times New Roman"/>
          <w:lang w:val="en-GB"/>
        </w:rPr>
        <w:t xml:space="preserve">Although many </w:t>
      </w:r>
      <w:r w:rsidR="003D171B">
        <w:rPr>
          <w:rStyle w:val="Ninguno"/>
          <w:rFonts w:ascii="Times New Roman" w:hAnsi="Times New Roman" w:cs="Times New Roman"/>
          <w:lang w:val="en-GB"/>
        </w:rPr>
        <w:t>CPG</w:t>
      </w:r>
      <w:r w:rsidRPr="00BE3BFE">
        <w:rPr>
          <w:rStyle w:val="Ninguno"/>
          <w:rFonts w:ascii="Times New Roman" w:hAnsi="Times New Roman" w:cs="Times New Roman"/>
          <w:lang w:val="en-GB"/>
        </w:rPr>
        <w:t xml:space="preserve"> recommend </w:t>
      </w:r>
      <w:r w:rsidR="00B20112">
        <w:rPr>
          <w:rStyle w:val="Ninguno"/>
          <w:rFonts w:ascii="Times New Roman" w:hAnsi="Times New Roman" w:cs="Times New Roman"/>
          <w:lang w:val="en-GB"/>
        </w:rPr>
        <w:t>AM</w:t>
      </w:r>
      <w:r w:rsidRPr="00BE3BFE">
        <w:rPr>
          <w:rStyle w:val="Ninguno"/>
          <w:rFonts w:ascii="Times New Roman" w:hAnsi="Times New Roman" w:cs="Times New Roman"/>
          <w:lang w:val="en-GB"/>
        </w:rPr>
        <w:t xml:space="preserve"> for the treatment of mild-to-moderate major depression in primary care</w:t>
      </w:r>
      <w:r w:rsidR="006B7A9E">
        <w:rPr>
          <w:rStyle w:val="Ninguno"/>
          <w:rFonts w:ascii="Times New Roman" w:hAnsi="Times New Roman" w:cs="Times New Roman"/>
          <w:lang w:val="en-GB"/>
        </w:rPr>
        <w:t xml:space="preserve"> </w:t>
      </w:r>
      <w:r w:rsidR="00773EB1">
        <w:rPr>
          <w:rStyle w:val="Ninguno"/>
          <w:rFonts w:ascii="Times New Roman" w:hAnsi="Times New Roman" w:cs="Times New Roman"/>
          <w:lang w:val="en-GB"/>
        </w:rPr>
        <w:fldChar w:fldCharType="begin" w:fldLock="1"/>
      </w:r>
      <w:r w:rsidR="006B7A9E">
        <w:rPr>
          <w:rStyle w:val="Ninguno"/>
          <w:rFonts w:ascii="Times New Roman" w:hAnsi="Times New Roman" w:cs="Times New Roman"/>
          <w:lang w:val="en-GB"/>
        </w:rPr>
        <w:instrText>ADDIN CSL_CITATION { "citationItems" : [ { "id" : "ITEM-1", "itemData" : { "author" : [ { "dropping-particle" : "", "family" : "Anderson, I., Pilling, S., Barnes, A., Bayliss, L., Bird, V., Burbeck, R., Chew-Graham, C., Clarke, J., Dyer, M., Flanagan, E., Harris, C., Hopkins, S., Kenwright, M., Kuyken, W., Lewis, A., Lewis, G., Li, R., Masterson, B., Meader, N., Meudell, A., Mitch", "given" : "J.", "non-dropping-particle" : "", "parse-names" : false, "suffix" : "" } ], "container-title" : "Clinical guideline of depression in adult", "id" : "ITEM-1", "issue" : "October", "issued" : { "date-parts" : [ [ "2009" ] ] }, "page" : "63", "title" : "Depression in adults : recognition and management", "type" : "article-journal" }, "uris" : [ "http://www.mendeley.com/documents/?uuid=1ea371fe-6205-40d6-9267-20c2dd7b3d3d", "http://www.mendeley.com/documents/?uuid=778b24c8-67e8-4133-8c33-f1893cbc5954", "http://www.mendeley.com/documents/?uuid=658323b4-09a8-4812-b4b8-f99c01b1d3ae" ] }, { "id" : "ITEM-2", "itemData" : { "author" : [ { "dropping-particle" : "", "family" : "Departament de Salut", "given" : "", "non-dropping-particle" : "", "parse-names" : false, "suffix" : "" } ], "id" : "ITEM-2", "issued" : { "date-parts" : [ [ "2010" ] ] }, "publisher-place" : "Barcelona: Ag\u00e8ncia d'Informaci\u00f3, Avaluaci\u00f3 i Qualitat en Salut. Pla director de salut mental i addictions", "title" : "[Adaptaci\u00f3 al model sanitari catal\u00e0 de la guia de pr\u00e0ctica cl\u00ednica sobre el maneig de la depressi\u00f3 major en l'adult]", "type" : "report" }, "uris" : [ "http://www.mendeley.com/documents/?uuid=799b5feb-879d-4113-b5d1-357beb96cecb" ] } ], "mendeley" : { "formattedCitation" : "[1, 2]", "plainTextFormattedCitation" : "[1, 2]", "previouslyFormattedCitation" : "&lt;sup&gt;1,2&lt;/sup&gt;" }, "properties" : { "noteIndex" : 0 }, "schema" : "https://github.com/citation-style-language/schema/raw/master/csl-citation.json" }</w:instrText>
      </w:r>
      <w:r w:rsidR="00773EB1">
        <w:rPr>
          <w:rStyle w:val="Ninguno"/>
          <w:rFonts w:ascii="Times New Roman" w:hAnsi="Times New Roman" w:cs="Times New Roman"/>
          <w:lang w:val="en-GB"/>
        </w:rPr>
        <w:fldChar w:fldCharType="separate"/>
      </w:r>
      <w:r w:rsidR="006B7A9E" w:rsidRPr="006B7A9E">
        <w:rPr>
          <w:rStyle w:val="Ninguno"/>
          <w:rFonts w:ascii="Times New Roman" w:hAnsi="Times New Roman" w:cs="Times New Roman"/>
          <w:noProof/>
          <w:lang w:val="en-GB"/>
        </w:rPr>
        <w:t>[1, 2]</w:t>
      </w:r>
      <w:r w:rsidR="00773EB1">
        <w:rPr>
          <w:rStyle w:val="Ninguno"/>
          <w:rFonts w:ascii="Times New Roman" w:hAnsi="Times New Roman" w:cs="Times New Roman"/>
          <w:lang w:val="en-GB"/>
        </w:rPr>
        <w:fldChar w:fldCharType="end"/>
      </w:r>
      <w:r w:rsidR="006B7A9E">
        <w:rPr>
          <w:rStyle w:val="Ninguno"/>
          <w:rFonts w:ascii="Times New Roman" w:hAnsi="Times New Roman" w:cs="Times New Roman"/>
          <w:lang w:val="en-GB"/>
        </w:rPr>
        <w:t>,</w:t>
      </w:r>
      <w:r w:rsidRPr="00BE3BFE">
        <w:rPr>
          <w:rStyle w:val="Ninguno"/>
          <w:rFonts w:ascii="Times New Roman" w:hAnsi="Times New Roman" w:cs="Times New Roman"/>
          <w:lang w:val="en-GB"/>
        </w:rPr>
        <w:t xml:space="preserve"> evidence regarding its effectiveness and efficiency is scarce and contradictory</w:t>
      </w:r>
      <w:r w:rsidR="006B7A9E">
        <w:rPr>
          <w:rStyle w:val="Ninguno"/>
          <w:rFonts w:ascii="Times New Roman" w:hAnsi="Times New Roman" w:cs="Times New Roman"/>
          <w:lang w:val="en-GB"/>
        </w:rPr>
        <w:t xml:space="preserve"> </w:t>
      </w:r>
      <w:r w:rsidR="0017361A">
        <w:rPr>
          <w:rStyle w:val="Ninguno"/>
          <w:rFonts w:ascii="Times New Roman" w:hAnsi="Times New Roman" w:cs="Times New Roman"/>
          <w:lang w:val="en-GB"/>
        </w:rPr>
        <w:fldChar w:fldCharType="begin" w:fldLock="1"/>
      </w:r>
      <w:r w:rsidR="006B7A9E">
        <w:rPr>
          <w:rStyle w:val="Ninguno"/>
          <w:rFonts w:ascii="Times New Roman" w:hAnsi="Times New Roman" w:cs="Times New Roman"/>
          <w:lang w:val="en-GB"/>
        </w:rPr>
        <w:instrText>ADDIN CSL_CITATION { "citationItems" : [ { "id" : "ITEM-1", "itemData" : { "DOI" : "10.1186/1741-7015-5-36", "ISSN" : "1741-7015", "abstract" : "Minor and mild-major depression are highly prevalent in primary care. There is insufficient evidence for the effectiveness of antidepressants in the treatment of minor and mild-major depression. We compared the effectiveness of usual primary care treatment, with or without antidepressants, in minor and mild-major depression. A pragmatic patient-randomized equivalence trial with 52 weeks follow-up was conducted in The Netherlands. In total, 59 primary care physicians (PCPs) recruited and treated 181 adult patients with minor or mild-major depression. Patients were randomized to four consultations within 3 months of usual care plus antidepressants (UCandAD) or usual care alone (UCnoAD). The Montgomery \u00c5sberg Depression Rating Scale (MADRS) was used to assess changes in severity of depressive symptoms. The predefined equivalence margin was set at five points. Multilevel analysis was used to analyze the data. Secondary outcome measures were the Short-Form 36 (SF-36), and the Client Satisfaction Questionnaire (CSQ-8). Patients received on average 3.0 (SD 1.4) 15-min consultations within 3 months with (n = 85) or without paroxetine (n = 96). Equivalence of UCandAD and UCnoAD was demonstrated in the intention-to-treat analyses as well as the per-protocol analysis after 6 weeks, but not at 13, 26 and 52 weeks follow-up. No statistical differences in effectiveness between treatment groups were found in the intention-to-treat analysis. No differences in the physical and mental functioning (SF-36) were found between the treatment groups. Patients allocated to UCandAD were slightly more satisfied with their treatment at 13 weeks follow-up (but not at 52 weeks follow-up) than patients allocated to UCnoAD. Preliminary analyses suggested that subgroups such as patients with mild-major (instead of a minor) depression might benefit from antidepressant treatment. Patients who were assigned to their preferred treatment (in particular to UCnoAD) were more often compliant and had better clinical outcomes. UCandAD was as effective as UCnoAD over the first 6 weeks, but not at 13, 26, and 52 weeks. However, superiority of either treatment could not be demonstrated either. The question whether antidepressants add any clinical effect to usual care remains unresolved. We recommend future studies to look for subgroups of patients who may benefit from antidepressants. Dutch Trial Registry ISRCN03007807.", "author" : [ { "dropping-particle" : "", "family" : "Hermens", "given" : "Marleen LM", "non-dropping-particle" : "", "parse-names" : false, "suffix" : "" }, { "dropping-particle" : "", "family" : "Hout", "given" : "Hein PJ", "non-dropping-particle" : "van", "parse-names" : false, "suffix" : "" }, { "dropping-particle" : "", "family" : "Terluin", "given" : "Berend", "non-dropping-particle" : "", "parse-names" : false, "suffix" : "" }, { "dropping-particle" : "", "family" : "Ad\u00e8r", "given" : "Herman J", "non-dropping-particle" : "", "parse-names" : false, "suffix" : "" }, { "dropping-particle" : "", "family" : "Penninx", "given" : "Brenda WJH", "non-dropping-particle" : "", "parse-names" : false, "suffix" : "" }, { "dropping-particle" : "", "family" : "Marwijk", "given" : "Harm WJ", "non-dropping-particle" : "van", "parse-names" : false, "suffix" : "" }, { "dropping-particle" : "", "family" : "Bosmans", "given" : "Judith E", "non-dropping-particle" : "", "parse-names" : false, "suffix" : "" }, { "dropping-particle" : "", "family" : "Dyck", "given" : "Richard", "non-dropping-particle" : "van", "parse-names" : false, "suffix" : "" }, { "dropping-particle" : "", "family" : "Haan", "given" : "Marten", "non-dropping-particle" : "de", "parse-names" : false, "suffix" : "" }, { "dropping-particle" : "", "family" : "Katon", "given" : "W", "non-dropping-particle" : "", "parse-names" : false, "suffix" : "" }, { "dropping-particle" : "", "family" : "Schulberg", "given" : "H", "non-dropping-particle" : "", "parse-names" : false, "suffix" : "" }, { "dropping-particle" : "", "family" : "Ackermann", "given" : "RT", "non-dropping-particle" : "", "parse-names" : false, "suffix" : "" }, { "dropping-particle" : "", "family" : "Williams", "given" : "JW", "non-dropping-particle" : "", "parse-names" : false, "suffix" : "" }, { "dropping-particle" : "", "family" : "Doogan", "given" : "DP", "non-dropping-particle" : "", "parse-names" : false, "suffix" : "" }, { "dropping-particle" : "", "family" : "Langdon", "given" : "CJ", "non-dropping-particle" : "", "parse-names" : false, "suffix" : "" }, { "dropping-particle" : "", "family" : "Elkin", "given" : "I", "non-dropping-particle" : "", "parse-names" : false, "suffix" : "" }, { "dropping-particle" : "", "family" : "Shea", "given" : "MT", "non-dropping-particle" : "", "parse-names" : false, "suffix" : "" }, { "dropping-particle" : "", "family" : "Watkins", "given" : "JT", "non-dropping-particle" : "", "parse-names" : false, "suffix" : "" }, { "dropping-particle" : "", "family" : "Imber", "given" : "SD", "non-dropping-particle" : "", "parse-names" : false, "suffix" : "" }, { "dropping-particle" : "", "family" : "Sotsky", "given" : "SM", "non-dropping-particle" : "", "parse-names" : false, "suffix" : "" }, { "dropping-particle" : "", "family" : "Collins", "given" : "JF", "non-dropping-particle" : "", "parse-names" : false, "suffix" : "" }, { "dropping-particle" : "", "family" : "Glass", "given" : "DR", "non-dropping-particle" : "", "parse-names" : false, "suffix" : "" }, { "dropping-particle" : "", "family" : "Pilkonis", "given" : "PA", "non-dropping-particle" : "", "parse-names" : false, "suffix" : "" }, { "dropping-particle" : "", "family" : "Leber", "given" : "WR", "non-dropping-particle" : "", "parse-names" : false, "suffix" : "" }, { "dropping-particle" : "", "family" : "Docherty", "given" : "JP", "non-dropping-particle" : "", "parse-names" : false, "suffix" : "" }, { "dropping-particle" : "", "family" : "Middleton", "given" : "H", "non-dropping-particle" : "", "parse-names" : false, "suffix" : "" }, { "dropping-particle" : "", "family" : "Shaw", "given" : "I", "non-dropping-particle" : "", "parse-names" : false, "suffix" : "" }, { "dropping-particle" : "", "family" : "Hull", "given" : "S", "non-dropping-particle" : "", "parse-names" : false, "suffix" : "" }, { "dropping-particle" : "", "family" : "Feder", "given" : "G", "non-dropping-particle" : "", "parse-names" : false, "suffix" : "" }, { "dropping-particle" : "", "family" : "Oxman", "given" : "TE", "non-dropping-particle" : "", "parse-names" : false, "suffix" : "" }, { "dropping-particle" : "", "family" : "Sengupta", "given" : "A", "non-dropping-particle" : "", "parse-names" : false, "suffix" : "" }, { "dropping-particle" : "De", "family" : "Waal", "given" : "MW", "non-dropping-particle" : "", "parse-names" : false, "suffix" : "" }, { "dropping-particle" : "", "family" : "Stolk", "given" : "J", "non-dropping-particle" : "", "parse-names" : false, "suffix" : "" }, { "dropping-particle" : "van", "family" : "Marwijk", "given" : "HW", "non-dropping-particle" : "", "parse-names" : false, "suffix" : "" }, { "dropping-particle" : "", "family" : "Springer", "given" : "MP", "non-dropping-particle" : "", "parse-names" : false, "suffix" : "" }, { "dropping-particle" : "", "family" : "Spies", "given" : "T", "non-dropping-particle" : "", "parse-names" : false, "suffix" : "" }, { "dropping-particle" : "", "family" : "Mokkink", "given" : "H", "non-dropping-particle" : "", "parse-names" : false, "suffix" : "" }, { "dropping-particle" : "", "family" : "Robb\u00e9", "given" : "P De Vries", "non-dropping-particle" : "", "parse-names" : false, "suffix" : "" }, { "dropping-particle" : "", "family" : "Grol", "given" : "R", "non-dropping-particle" : "", "parse-names" : false, "suffix" : "" }, { "dropping-particle" : "Van", "family" : "Marwijk", "given" : "HWJ", "non-dropping-particle" : "", "parse-names" : false, "suffix" : "" }, { "dropping-particle" : "", "family" : "Grundmeijer", "given" : "HGLM", "non-dropping-particle" : "", "parse-names" : false, "suffix" : "" }, { "dropping-particle" : "", "family" : "Brueren", "given" : "MM", "non-dropping-particle" : "", "parse-names" : false, "suffix" : "" }, { "dropping-particle" : "", "family" : "Sigling", "given" : "HOHJ", "non-dropping-particle" : "", "parse-names" : false, "suffix" : "" }, { "dropping-particle" : "", "family" : "Stolk", "given" : "J", "non-dropping-particle" : "", "parse-names" : false, "suffix" : "" }, { "dropping-particle" : "Van", "family" : "Gelderen", "given" : "MG", "non-dropping-particle" : "", "parse-names" : false, "suffix" : "" }, { "dropping-particle" : "", "family" : "Vintges", "given" : "M", "non-dropping-particle" : "", "parse-names" : false, "suffix" : "" }, { "dropping-particle" : "", "family" : "Eizenga", "given" : "WH", "non-dropping-particle" : "", "parse-names" : false, "suffix" : "" }, { "dropping-particle" : "", "family" : "Burgers", "given" : "JS", "non-dropping-particle" : "", "parse-names" : false, "suffix" : "" }, { "dropping-particle" : "Van", "family" : "Marwijk", "given" : "HW", "non-dropping-particle" : "", "parse-names" : false, "suffix" : "" }, { "dropping-particle" : "", "family" : "Bijl", "given" : "D", "non-dropping-particle" : "", "parse-names" : false, "suffix" : "" }, { "dropping-particle" : "", "family" : "Ader", "given" : "HJ", "non-dropping-particle" : "", "parse-names" : false, "suffix" : "" }, { "dropping-particle" : "De", "family" : "Haan", "given" : "M", "non-dropping-particle" : "", "parse-names" : false, "suffix" : "" }, { "dropping-particle" : "", "family" : "MacGillivray", "given" : "S", "non-dropping-particle" : "", "parse-names" : false, "suffix" : "" }, { "dropping-particle" : "", "family" : "Arroll", "given" : "B", "non-dropping-particle" : "", "parse-names" : false, "suffix" : "" }, { "dropping-particle" : "", "family" : "Hatcher", "given" : "S", "non-dropping-particle" : "", "parse-names" : false, "suffix" : "" }, { "dropping-particle" : "", "family" : "Ogston", "given" : "S", "non-dropping-particle" : "", "parse-names" : false, "suffix" : "" }, { "dropping-particle" : "", "family" : "Reid", "given" : "I", "non-dropping-particle" : "", "parse-names" : false, "suffix" : "" }, { "dropping-particle" : "", "family" : "Sullivan", "given" : "F", "non-dropping-particle" : "", "parse-names" : false, "suffix" : "" }, { "dropping-particle" : "", "family" : "Williams", "given" : "B", "non-dropping-particle" : "", "parse-names" : false, "suffix" : "" }, { "dropping-particle" : "", "family" : "Crombie", "given" : "I", "non-dropping-particle" : "", "parse-names" : false, "suffix" : "" }, { "dropping-particle" : "", "family" : "Brugha", "given" : "TS", "non-dropping-particle" : "", "parse-names" : false, "suffix" : "" }, { "dropping-particle" : "", "family" : "Cragg", "given" : "D", "non-dropping-particle" : "", "parse-names" : false, "suffix" : "" }, { "dropping-particle" : "", "family" : "Costa", "given" : "PP", "non-dropping-particle" : "", "parse-names" : false, "suffix" : "" }, { "dropping-particle" : "", "family" : "McCrae", "given" : "RR", "non-dropping-particle" : "", "parse-names" : false, "suffix" : "" }, { "dropping-particle" : "", "family" : "Andrews", "given" : "G", "non-dropping-particle" : "", "parse-names" : false, "suffix" : "" }, { "dropping-particle" : "", "family" : "Peters", "given" : "L", "non-dropping-particle" : "", "parse-names" : false, "suffix" : "" }, { "dropping-particle" : "", "family" : "Montgomery", "given" : "SA", "non-dropping-particle" : "", "parse-names" : false, "suffix" : "" }, { "dropping-particle" : "", "family" : "Asberg", "given" : "M", "non-dropping-particle" : "", "parse-names" : false, "suffix" : "" }, { "dropping-particle" : "", "family" : "Hermens", "given" : "ML", "non-dropping-particle" : "", "parse-names" : false, "suffix" : "" }, { "dropping-particle" : "", "family" : "Ad\u00e8r", "given" : "HJ", "non-dropping-particle" : "", "parse-names" : false, "suffix" : "" }, { "dropping-particle" : "van", "family" : "Hout", "given" : "HP", "non-dropping-particle" : "", "parse-names" : false, "suffix" : "" }, { "dropping-particle" : "", "family" : "Terluin", "given" : "B", "non-dropping-particle" : "", "parse-names" : false, "suffix" : "" }, { "dropping-particle" : "van", "family" : "Dyck", "given" : "R", "non-dropping-particle" : "", "parse-names" : false, "suffix" : "" }, { "dropping-particle" : "de", "family" : "Haan", "given" : "M", "non-dropping-particle" : "", "parse-names" : false, "suffix" : "" }, { "dropping-particle" : "", "family" : "Ware", "given" : "JE", "non-dropping-particle" : "", "parse-names" : false, "suffix" : "" }, { "dropping-particle" : "", "family" : "Sherbourne", "given" : "CD", "non-dropping-particle" : "", "parse-names" : false, "suffix" : "" }, { "dropping-particle" : "", "family" : "Ware", "given" : "JE", "non-dropping-particle" : "", "parse-names" : false, "suffix" : "" }, { "dropping-particle" : "", "family" : "Koshinski", "given" : "M", "non-dropping-particle" : "", "parse-names" : false, "suffix" : "" }, { "dropping-particle" : "", "family" : "Keller", "given" : "SD", "non-dropping-particle" : "", "parse-names" : false, "suffix" : "" }, { "dropping-particle" : "", "family" : "Larsen", "given" : "DL", "non-dropping-particle" : "", "parse-names" : false, "suffix" : "" }, { "dropping-particle" : "", "family" : "Attkisson", "given" : "CC", "non-dropping-particle" : "", "parse-names" : false, "suffix" : "" }, { "dropping-particle" : "", "family" : "Hargreaves", "given" : "WA", "non-dropping-particle" : "", "parse-names" : false, "suffix" : "" }, { "dropping-particle" : "", "family" : "Nguyen", "given" : "TD", "non-dropping-particle" : "", "parse-names" : false, "suffix" : "" }, { "dropping-particle" : "", "family" : "Malt", "given" : "UF", "non-dropping-particle" : "", "parse-names" : false, "suffix" : "" }, { "dropping-particle" : "", "family" : "Robak", "given" : "OH", "non-dropping-particle" : "", "parse-names" : false, "suffix" : "" }, { "dropping-particle" : "", "family" : "Madsbu", "given" : "HP", "non-dropping-particle" : "", "parse-names" : false, "suffix" : "" }, { "dropping-particle" : "", "family" : "Bakke", "given" : "O", "non-dropping-particle" : "", "parse-names" : false, "suffix" : "" }, { "dropping-particle" : "", "family" : "Loeb", "given" : "M", "non-dropping-particle" : "", "parse-names" : false, "suffix" : "" }, { "dropping-particle" : "", "family" : "Cohen", "given" : "J", "non-dropping-particle" : "", "parse-names" : false, "suffix" : "" }, { "dropping-particle" : "", "family" : "Jones", "given" : "B", "non-dropping-particle" : "", "parse-names" : false, "suffix" : "" }, { "dropping-particle" : "", "family" : "Jarvis", "given" : "P", "non-dropping-particle" : "", "parse-names" : false, "suffix" : "" }, { "dropping-particle" : "", "family" : "Lewis", "given" : "JA", "non-dropping-particle" : "", "parse-names" : false, "suffix" : "" }, { "dropping-particle" : "", "family" : "Ebbutt", "given" : "AF", "non-dropping-particle" : "", "parse-names" : false, "suffix" : "" }, { "dropping-particle" : "", "family" : "Rasbash", "given" : "J", "non-dropping-particle" : "", "parse-names" : false, "suffix" : "" }, { "dropping-particle" : "", "family" : "Browne", "given" : "W", "non-dropping-particle" : "", "parse-names" : false, "suffix" : "" }, { "dropping-particle" : "", "family" : "Goldstein", "given" : "H", "non-dropping-particle" : "", "parse-names" : false, "suffix" : "" }, { "dropping-particle" : "", "family" : "Yang", "given" : "M", "non-dropping-particle" : "", "parse-names" : false, "suffix" : "" }, { "dropping-particle" : "", "family" : "Woodhouse", "given" : "G", "non-dropping-particle" : "", "parse-names" : false, "suffix" : "" }, { "dropping-particle" : "", "family" : "Healy", "given" : "M", "non-dropping-particle" : "", "parse-names" : false, "suffix" : "" }, { "dropping-particle" : "", "family" : "Hauck", "given" : "W", "non-dropping-particle" : "", "parse-names" : false, "suffix" : "" }, { "dropping-particle" : "", "family" : "Anderson", "given" : "S", "non-dropping-particle" : "", "parse-names" : false, "suffix" : "" }, { "dropping-particle" : "van", "family" : "Schaik", "given" : "DJ", "non-dropping-particle" : "", "parse-names" : false, "suffix" : "" }, { "dropping-particle" : "", "family" : "Klijn", "given" : "AF", "non-dropping-particle" : "", "parse-names" : false, "suffix" : "" }, { "dropping-particle" : "van", "family" : "Hout", "given" : "HP", "non-dropping-particle" : "", "parse-names" : false, "suffix" : "" }, { "dropping-particle" : "van", "family" : "Marwijk", "given" : "HW", "non-dropping-particle" : "", "parse-names" : false, "suffix" : "" }, { "dropping-particle" : "", "family" : "Beekman", "given" : "AT", "non-dropping-particle" : "", "parse-names" : false, "suffix" : "" }, { "dropping-particle" : "De", "family" : "Haan", "given" : "M", "non-dropping-particle" : "", "parse-names" : false, "suffix" : "" }, { "dropping-particle" : "van", "family" : "Dyck", "given" : "R", "non-dropping-particle" : "", "parse-names" : false, "suffix" : "" }, { "dropping-particle" : "", "family" : "Piaggio", "given" : "G", "non-dropping-particle" : "", "parse-names" : false, "suffix" : "" }, { "dropping-particle" : "", "family" : "Elbourne", "given" : "DR", "non-dropping-particle" : "", "parse-names" : false, "suffix" : "" }, { "dropping-particle" : "", "family" : "Altman", "given" : "DG", "non-dropping-particle" : "", "parse-names" : false, "suffix" : "" }, { "dropping-particle" : "", "family" : "Pocock", "given" : "SJ", "non-dropping-particle" : "", "parse-names" : false, "suffix" : "" }, { "dropping-particle" : "", "family" : "Evans", "given" : "SJ", "non-dropping-particle" : "", "parse-names" : false, "suffix" : "" }, { "dropping-particle" : "", "family" : "Barrett", "given" : "JE", "non-dropping-particle" : "", "parse-names" : false, "suffix" : "" }, { "dropping-particle" : "", "family" : "Williams", "given" : "JW", "non-dropping-particle" : "", "parse-names" : false, "suffix" : "" }, { "dropping-particle" : "", "family" : "Oxman", "given" : "TE", "non-dropping-particle" : "", "parse-names" : false, "suffix" : "" }, { "dropping-particle" : "", "family" : "Frank", "given" : "E", "non-dropping-particle" : "", "parse-names" : false, "suffix" : "" }, { "dropping-particle" : "", "family" : "Katon", "given" : "W", "non-dropping-particle" : "", "parse-names" : false, "suffix" : "" }, { "dropping-particle" : "", "family" : "Sullivan", "given" : "M", "non-dropping-particle" : "", "parse-names" : false, "suffix" : "" }, { "dropping-particle" : "", "family" : "Hegel", "given" : "MT", "non-dropping-particle" : "", "parse-names" : false, "suffix" : "" }, { "dropping-particle" : "", "family" : "Cornell", "given" : "JF", "non-dropping-particle" : "", "parse-names" : false, "suffix" : "" }, { "dropping-particle" : "", "family" : "Sengupta", "given" : "AS", "non-dropping-particle" : "", "parse-names" : false, "suffix" : "" }, { "dropping-particle" : "", "family" : "Paykel", "given" : "ES", "non-dropping-particle" : "", "parse-names" : false, "suffix" : "" }, { "dropping-particle" : "", "family" : "Hollyman", "given" : "JA", "non-dropping-particle" : "", "parse-names" : false, "suffix" : "" }, { "dropping-particle" : "", "family" : "Freeling", "given" : "P", "non-dropping-particle" : "", "parse-names" : false, "suffix" : "" }, { "dropping-particle" : "", "family" : "Sedgwick", "given" : "P", "non-dropping-particle" : "", "parse-names" : false, "suffix" : "" }, { "dropping-particle" : "", "family" : "Bedi", "given" : "N", "non-dropping-particle" : "", "parse-names" : false, "suffix" : "" }, { "dropping-particle" : "", "family" : "Chilvers", "given" : "C", "non-dropping-particle" : "", "parse-names" : false, "suffix" : "" }, { "dropping-particle" : "", "family" : "Churchill", "given" : "R", "non-dropping-particle" : "", "parse-names" : false, "suffix" : "" }, { "dropping-particle" : "", "family" : "Dewey", "given" : "M", "non-dropping-particle" : "", "parse-names" : false, "suffix" : "" }, { "dropping-particle" : "", "family" : "Duggan", "given" : "C", "non-dropping-particle" : "", "parse-names" : false, "suffix" : "" }, { "dropping-particle" : "", "family" : "Fielding", "given" : "K", "non-dropping-particle" : "", "parse-names" : false, "suffix" : "" }, { "dropping-particle" : "", "family" : "Gretton", "given" : "V", "non-dropping-particle" : "", "parse-names" : false, "suffix" : "" }, { "dropping-particle" : "", "family" : "Miller", "given" : "P", "non-dropping-particle" : "", "parse-names" : false, "suffix" : "" }, { "dropping-particle" : "", "family" : "Harrison", "given" : "G", "non-dropping-particle" : "", "parse-names" : false, "suffix" : "" }, { "dropping-particle" : "", "family" : "Lee", "given" : "A", "non-dropping-particle" : "", "parse-names" : false, "suffix" : "" }, { "dropping-particle" : "", "family" : "Williams", "given" : "I", "non-dropping-particle" : "", "parse-names" : false, "suffix" : "" }, { "dropping-particle" : "", "family" : "Chilvers", "given" : "C", "non-dropping-particle" : "", "parse-names" : false, "suffix" : "" }, { "dropping-particle" : "", "family" : "Dewey", "given" : "M", "non-dropping-particle" : "", "parse-names" : false, "suffix" : "" }, { "dropping-particle" : "", "family" : "Fielding", "given" : "K", "non-dropping-particle" : "", "parse-names" : false, "suffix" : "" }, { "dropping-particle" : "", "family" : "Gretton", "given" : "V", "non-dropping-particle" : "", "parse-names" : false, "suffix" : "" }, { "dropping-particle" : "", "family" : "Miller", "given" : "P", "non-dropping-particle" : "", "parse-names" : false, "suffix" : "" }, { "dropping-particle" : "", "family" : "Palmer", "given" : "B", "non-dropping-particle" : "", "parse-names" : false, "suffix" : "" }, { "dropping-particle" : "", "family" : "Weller", "given" : "D", "non-dropping-particle" : "", "parse-names" : false, "suffix" : "" }, { "dropping-particle" : "", "family" : "Churchill", "given" : "R", "non-dropping-particle" : "", "parse-names" : false, "suffix" : "" }, { "dropping-particle" : "", "family" : "Williams", "given" : "I", "non-dropping-particle" : "", "parse-names" : false, "suffix" : "" }, { "dropping-particle" : "", "family" : "Bedi", "given" : "N", "non-dropping-particle" : "", "parse-names" : false, "suffix" : "" }, { "dropping-particle" : "", "family" : "Duggan", "given" : "C", "non-dropping-particle" : "", "parse-names" : false, "suffix" : "" }, { "dropping-particle" : "", "family" : "Lee", "given" : "A", "non-dropping-particle" : "", "parse-names" : false, "suffix" : "" }, { "dropping-particle" : "", "family" : "Harrison", "given" : "G", "non-dropping-particle" : "", "parse-names" : false, "suffix" : "" }, { "dropping-particle" : "", "family" : "Mynors-Wallis", "given" : "LM", "non-dropping-particle" : "", "parse-names" : false, "suffix" : "" }, { "dropping-particle" : "", "family" : "Gath", "given" : "DH", "non-dropping-particle" : "", "parse-names" : false, "suffix" : "" }, { "dropping-particle" : "", "family" : "Day", "given" : "A", "non-dropping-particle" : "", "parse-names" : false, "suffix" : "" }, { "dropping-particle" : "", "family" : "Baker", "given" : "F", "non-dropping-particle" : "", "parse-names" : false, "suffix" : "" }, { "dropping-particle" : "van", "family" : "Marwijk", "given" : "H", "non-dropping-particle" : "", "parse-names" : false, "suffix" : "" } ], "container-title" : "BMC Medicine", "id" : "ITEM-1", "issue" : "1", "issued" : { "date-parts" : [ [ "2007", "12" ] ] }, "page" : "36", "publisher" : "BioMed Central", "title" : "Clinical effectiveness of usual care with or without antidepressant medication for primary care patients with minor or mild-major depression: a randomized equivalence trial", "type" : "article-journal", "volume" : "5" }, "uris" : [ "http://www.mendeley.com/documents/?uuid=4036ed36-f283-40ad-bb36-7de172175a68" ] }, { "id" : "ITEM-2", "itemData" : { "DOI" : "10.1017/S0033291714000701", "ISSN" : "1469-8978", "PMID" : "25065653", "abstract" : "BACKGROUND In stepped care models patients typically start with a low-intensity evidence-based treatment. Progress is monitored systematically and those patients who do not respond adequately step up to a subsequent treatment of higher intensity. Despite the fact that many guidelines have endorsed this stepped care principle it is not clear if stepped care really delivers similar or better patient outcomes against lower costs compared with other systems. We performed a systematic review and meta-analysis of all randomized trials on stepped care for depression. METHOD We carried out a comprehensive literature search. Selection of studies, evaluation of study quality and extraction of data were performed independently by two authors. RESULTS A total of 14 studies were included and 10 were used in the meta-analyses (4580 patients). All studies used screening to identify possible patients and care as usual as a comparator. Study quality was relatively high. Stepped care had a moderate effect on depression (pooled 6-month between-group effect size Cohen's d was 0.34; 95% confidence interval 0.20-0.48). The stepped care interventions varied greatly in number and duration of treatment steps, treatments offered, professionals involved, and criteria to step up. CONCLUSIONS There is currently only limited evidence to suggest that stepped care should be the dominant model of treatment organization. Evidence on (cost-) effectiveness compared with high-intensity psychological therapy alone, as well as with matched care, is required.", "author" : [ { "dropping-particle" : "", "family" : "Straten", "given" : "A", "non-dropping-particle" : "van", "parse-names" : false, "suffix" : "" }, { "dropping-particle" : "", "family" : "Hill", "given" : "J", "non-dropping-particle" : "", "parse-names" : false, "suffix" : "" }, { "dropping-particle" : "", "family" : "Richards", "given" : "D A", "non-dropping-particle" : "", "parse-names" : false, "suffix" : "" }, { "dropping-particle" : "", "family" : "Cuijpers", "given" : "P", "non-dropping-particle" : "", "parse-names" : false, "suffix" : "" } ], "container-title" : "Psychological medicine", "id" : "ITEM-2", "issue" : "2", "issued" : { "date-parts" : [ [ "2015", "1" ] ] }, "page" : "231-46", "title" : "Stepped care treatment delivery for depression: a systematic review and meta-analysis.", "type" : "article-journal", "volume" : "45" }, "uris" : [ "http://www.mendeley.com/documents/?uuid=9575a699-caaf-4b3f-9cb3-f4aba05ecaae" ] } ], "mendeley" : { "formattedCitation" : "[29, 30]", "plainTextFormattedCitation" : "[29, 30]", "previouslyFormattedCitation" : "&lt;sup&gt;29,30&lt;/sup&gt;" }, "properties" : { "noteIndex" : 0 }, "schema" : "https://github.com/citation-style-language/schema/raw/master/csl-citation.json" }</w:instrText>
      </w:r>
      <w:r w:rsidR="0017361A">
        <w:rPr>
          <w:rStyle w:val="Ninguno"/>
          <w:rFonts w:ascii="Times New Roman" w:hAnsi="Times New Roman" w:cs="Times New Roman"/>
          <w:lang w:val="en-GB"/>
        </w:rPr>
        <w:fldChar w:fldCharType="separate"/>
      </w:r>
      <w:r w:rsidR="006B7A9E" w:rsidRPr="006B7A9E">
        <w:rPr>
          <w:rStyle w:val="Ninguno"/>
          <w:rFonts w:ascii="Times New Roman" w:hAnsi="Times New Roman" w:cs="Times New Roman"/>
          <w:noProof/>
          <w:lang w:val="en-GB"/>
        </w:rPr>
        <w:t>[29, 30]</w:t>
      </w:r>
      <w:r w:rsidR="0017361A">
        <w:rPr>
          <w:rStyle w:val="Ninguno"/>
          <w:rFonts w:ascii="Times New Roman" w:hAnsi="Times New Roman" w:cs="Times New Roman"/>
          <w:lang w:val="en-GB"/>
        </w:rPr>
        <w:fldChar w:fldCharType="end"/>
      </w:r>
      <w:r w:rsidR="006B7A9E">
        <w:rPr>
          <w:rStyle w:val="Ninguno"/>
          <w:rFonts w:ascii="Times New Roman" w:hAnsi="Times New Roman" w:cs="Times New Roman"/>
          <w:lang w:val="en-GB"/>
        </w:rPr>
        <w:t>.</w:t>
      </w:r>
      <w:r w:rsidRPr="00BE3BFE">
        <w:rPr>
          <w:rStyle w:val="Ninguno"/>
          <w:rFonts w:ascii="Times New Roman" w:hAnsi="Times New Roman" w:cs="Times New Roman"/>
          <w:lang w:val="en-GB"/>
        </w:rPr>
        <w:t xml:space="preserve"> Results from our </w:t>
      </w:r>
      <w:r w:rsidR="00494B89">
        <w:rPr>
          <w:rStyle w:val="Ninguno"/>
          <w:rFonts w:ascii="Times New Roman" w:hAnsi="Times New Roman" w:cs="Times New Roman"/>
          <w:lang w:val="en-GB"/>
        </w:rPr>
        <w:t xml:space="preserve">non-randomized </w:t>
      </w:r>
      <w:r w:rsidRPr="00BE3BFE">
        <w:rPr>
          <w:rStyle w:val="Ninguno"/>
          <w:rFonts w:ascii="Times New Roman" w:hAnsi="Times New Roman" w:cs="Times New Roman"/>
          <w:lang w:val="en-GB"/>
        </w:rPr>
        <w:t xml:space="preserve">study </w:t>
      </w:r>
      <w:r w:rsidR="00096D36">
        <w:rPr>
          <w:rStyle w:val="Ninguno"/>
          <w:rFonts w:ascii="Times New Roman" w:hAnsi="Times New Roman" w:cs="Times New Roman"/>
          <w:lang w:val="en-GB"/>
        </w:rPr>
        <w:t>show that</w:t>
      </w:r>
      <w:r w:rsidR="00096D36" w:rsidRPr="00BE3BFE">
        <w:rPr>
          <w:rStyle w:val="Ninguno"/>
          <w:rFonts w:ascii="Times New Roman" w:hAnsi="Times New Roman" w:cs="Times New Roman"/>
          <w:lang w:val="en-GB"/>
        </w:rPr>
        <w:t xml:space="preserve"> </w:t>
      </w:r>
      <w:r w:rsidR="000324E0">
        <w:rPr>
          <w:rStyle w:val="Ninguno"/>
          <w:rFonts w:ascii="Times New Roman" w:hAnsi="Times New Roman" w:cs="Times New Roman"/>
          <w:lang w:val="en-GB"/>
        </w:rPr>
        <w:t>i</w:t>
      </w:r>
      <w:r w:rsidR="000324E0" w:rsidRPr="000324E0">
        <w:rPr>
          <w:rStyle w:val="Ninguno"/>
          <w:rFonts w:ascii="Times New Roman" w:hAnsi="Times New Roman" w:cs="Times New Roman"/>
          <w:lang w:val="en-GB"/>
        </w:rPr>
        <w:t xml:space="preserve">ncremental cost-utility ratios favor </w:t>
      </w:r>
      <w:r w:rsidR="000324E0">
        <w:rPr>
          <w:rStyle w:val="Ninguno"/>
          <w:rFonts w:ascii="Times New Roman" w:hAnsi="Times New Roman" w:cs="Times New Roman"/>
          <w:lang w:val="en-GB"/>
        </w:rPr>
        <w:t>antidepressants</w:t>
      </w:r>
      <w:r w:rsidR="000324E0" w:rsidRPr="000324E0">
        <w:rPr>
          <w:rStyle w:val="Ninguno"/>
          <w:rFonts w:ascii="Times New Roman" w:hAnsi="Times New Roman" w:cs="Times New Roman"/>
          <w:lang w:val="en-GB"/>
        </w:rPr>
        <w:t xml:space="preserve"> as a first-line approach for patients with mild-moderate major depressive disorder</w:t>
      </w:r>
      <w:r w:rsidR="000324E0">
        <w:rPr>
          <w:rStyle w:val="Ninguno"/>
          <w:rFonts w:ascii="Times New Roman" w:hAnsi="Times New Roman" w:cs="Times New Roman"/>
          <w:lang w:val="en-GB"/>
        </w:rPr>
        <w:t xml:space="preserve"> over </w:t>
      </w:r>
      <w:r w:rsidR="00096D36">
        <w:rPr>
          <w:rStyle w:val="Ninguno"/>
          <w:rFonts w:ascii="Times New Roman" w:hAnsi="Times New Roman" w:cs="Times New Roman"/>
          <w:lang w:val="en-GB"/>
        </w:rPr>
        <w:t>the active monitoring (</w:t>
      </w:r>
      <w:r w:rsidR="00B20112">
        <w:rPr>
          <w:rStyle w:val="Ninguno"/>
          <w:rFonts w:ascii="Times New Roman" w:hAnsi="Times New Roman" w:cs="Times New Roman"/>
          <w:lang w:val="en-GB"/>
        </w:rPr>
        <w:t>AM</w:t>
      </w:r>
      <w:r w:rsidR="00096D36">
        <w:rPr>
          <w:rStyle w:val="Ninguno"/>
          <w:rFonts w:ascii="Times New Roman" w:hAnsi="Times New Roman" w:cs="Times New Roman"/>
          <w:lang w:val="en-GB"/>
        </w:rPr>
        <w:t>)</w:t>
      </w:r>
      <w:r w:rsidRPr="00BE3BFE">
        <w:rPr>
          <w:rStyle w:val="Ninguno"/>
          <w:rFonts w:ascii="Times New Roman" w:hAnsi="Times New Roman" w:cs="Times New Roman"/>
          <w:lang w:val="en-GB"/>
        </w:rPr>
        <w:t xml:space="preserve"> approach, </w:t>
      </w:r>
      <w:r w:rsidR="00096D36">
        <w:rPr>
          <w:rStyle w:val="Ninguno"/>
          <w:rFonts w:ascii="Times New Roman" w:hAnsi="Times New Roman" w:cs="Times New Roman"/>
          <w:lang w:val="en-GB"/>
        </w:rPr>
        <w:t xml:space="preserve">in particular during the first </w:t>
      </w:r>
      <w:r w:rsidRPr="00BE3BFE">
        <w:rPr>
          <w:rStyle w:val="Ninguno"/>
          <w:rFonts w:ascii="Times New Roman" w:hAnsi="Times New Roman" w:cs="Times New Roman"/>
          <w:lang w:val="en-GB"/>
        </w:rPr>
        <w:t>6-month follow-up</w:t>
      </w:r>
      <w:r w:rsidR="00B5121C">
        <w:rPr>
          <w:rStyle w:val="Ninguno"/>
          <w:rFonts w:ascii="Times New Roman" w:hAnsi="Times New Roman" w:cs="Times New Roman"/>
          <w:lang w:val="en-GB"/>
        </w:rPr>
        <w:t>, although neither differences in costs or benefits were statistically significant</w:t>
      </w:r>
      <w:r w:rsidRPr="00BE3BFE">
        <w:rPr>
          <w:rStyle w:val="Ninguno"/>
          <w:rFonts w:ascii="Times New Roman" w:hAnsi="Times New Roman" w:cs="Times New Roman"/>
          <w:lang w:val="en-GB"/>
        </w:rPr>
        <w:t xml:space="preserve">. </w:t>
      </w:r>
    </w:p>
    <w:p w14:paraId="67A845FA" w14:textId="4A0B00F4" w:rsidR="00D8004B" w:rsidRDefault="00357B09" w:rsidP="00BE3BFE">
      <w:pPr>
        <w:spacing w:line="480" w:lineRule="auto"/>
        <w:jc w:val="both"/>
        <w:rPr>
          <w:rStyle w:val="Ninguno"/>
          <w:rFonts w:ascii="Times New Roman" w:hAnsi="Times New Roman" w:cs="Times New Roman"/>
          <w:lang w:val="en-GB"/>
        </w:rPr>
      </w:pPr>
      <w:r>
        <w:rPr>
          <w:rFonts w:ascii="Times New Roman" w:hAnsi="Times New Roman" w:cs="Times New Roman"/>
          <w:lang w:val="en-GB"/>
        </w:rPr>
        <w:t>D</w:t>
      </w:r>
      <w:r w:rsidR="00BE3BFE" w:rsidRPr="00BE3BFE">
        <w:rPr>
          <w:rFonts w:ascii="Times New Roman" w:hAnsi="Times New Roman" w:cs="Times New Roman"/>
          <w:lang w:val="en-GB"/>
        </w:rPr>
        <w:t xml:space="preserve">ifferences in costs and QALY may not reach statistical significance in the main analyses </w:t>
      </w:r>
      <w:r w:rsidR="004A6C70">
        <w:rPr>
          <w:rFonts w:ascii="Times New Roman" w:hAnsi="Times New Roman" w:cs="Times New Roman"/>
          <w:lang w:val="en-GB"/>
        </w:rPr>
        <w:t>nor in</w:t>
      </w:r>
      <w:r w:rsidR="004A6C70" w:rsidRPr="00BE3BFE">
        <w:rPr>
          <w:rFonts w:ascii="Times New Roman" w:hAnsi="Times New Roman" w:cs="Times New Roman"/>
          <w:lang w:val="en-GB"/>
        </w:rPr>
        <w:t xml:space="preserve"> </w:t>
      </w:r>
      <w:r w:rsidR="00BE3BFE" w:rsidRPr="00BE3BFE">
        <w:rPr>
          <w:rFonts w:ascii="Times New Roman" w:hAnsi="Times New Roman" w:cs="Times New Roman"/>
          <w:lang w:val="en-GB"/>
        </w:rPr>
        <w:t>most of the sensitivity analyses</w:t>
      </w:r>
      <w:r>
        <w:rPr>
          <w:rFonts w:ascii="Times New Roman" w:hAnsi="Times New Roman" w:cs="Times New Roman"/>
          <w:lang w:val="en-GB"/>
        </w:rPr>
        <w:t xml:space="preserve"> but</w:t>
      </w:r>
      <w:r w:rsidR="00BE3BFE" w:rsidRPr="00BE3BFE">
        <w:rPr>
          <w:rFonts w:ascii="Times New Roman" w:hAnsi="Times New Roman" w:cs="Times New Roman"/>
          <w:lang w:val="en-GB"/>
        </w:rPr>
        <w:t xml:space="preserve"> cost-utility acceptability curves show that antidepressants have a higher probability of being more cost-effective than </w:t>
      </w:r>
      <w:r w:rsidR="00B20112">
        <w:rPr>
          <w:rFonts w:ascii="Times New Roman" w:hAnsi="Times New Roman" w:cs="Times New Roman"/>
          <w:lang w:val="en-GB"/>
        </w:rPr>
        <w:t>AM</w:t>
      </w:r>
      <w:r w:rsidR="00BE3BFE" w:rsidRPr="00BE3BFE">
        <w:rPr>
          <w:rFonts w:ascii="Times New Roman" w:hAnsi="Times New Roman" w:cs="Times New Roman"/>
          <w:lang w:val="en-GB"/>
        </w:rPr>
        <w:t xml:space="preserve">, especially from a healthcare perspective and after 6 months of treatment. Nevertheless, </w:t>
      </w:r>
      <w:r w:rsidR="00BE3BFE" w:rsidRPr="00BE3BFE">
        <w:rPr>
          <w:rStyle w:val="Ninguno"/>
          <w:rFonts w:ascii="Times New Roman" w:hAnsi="Times New Roman" w:cs="Times New Roman"/>
          <w:lang w:val="en-GB"/>
        </w:rPr>
        <w:t xml:space="preserve">this difference is not sustained over </w:t>
      </w:r>
      <w:r w:rsidR="00BE3BFE" w:rsidRPr="00BE3BFE">
        <w:rPr>
          <w:rStyle w:val="Ninguno"/>
          <w:rFonts w:ascii="Times New Roman" w:hAnsi="Times New Roman" w:cs="Times New Roman"/>
          <w:lang w:val="en-GB"/>
        </w:rPr>
        <w:lastRenderedPageBreak/>
        <w:t>time, as results at twelve months show a decline in relation to ICUR values that could be due to many factors including the natural remission of the disease</w:t>
      </w:r>
      <w:r w:rsidR="006B7A9E">
        <w:rPr>
          <w:rStyle w:val="Ninguno"/>
          <w:rFonts w:ascii="Times New Roman" w:hAnsi="Times New Roman" w:cs="Times New Roman"/>
          <w:lang w:val="en-GB"/>
        </w:rPr>
        <w:t xml:space="preserve"> </w:t>
      </w:r>
      <w:r w:rsidR="00507A52">
        <w:rPr>
          <w:rStyle w:val="Ninguno"/>
          <w:rFonts w:ascii="Times New Roman" w:hAnsi="Times New Roman" w:cs="Times New Roman"/>
          <w:lang w:val="en-GB"/>
        </w:rPr>
        <w:fldChar w:fldCharType="begin" w:fldLock="1"/>
      </w:r>
      <w:r w:rsidR="006B7A9E">
        <w:rPr>
          <w:rStyle w:val="Ninguno"/>
          <w:rFonts w:ascii="Times New Roman" w:hAnsi="Times New Roman" w:cs="Times New Roman"/>
          <w:lang w:val="en-GB"/>
        </w:rPr>
        <w:instrText>ADDIN CSL_CITATION { "citationItems" : [ { "id" : "ITEM-1", "itemData" : { "ISSN" : "0165-0327", "PMID" : "11578666", "abstract" : "INTRODUCTION While the short-term response rates to antidepressant medication and placebo are well established, very little is known about the short-term course of untreated depression. Knowledge of the course of untreated depression can serve as a benchmark for assessing the true benefits of active treatment. METHOD A meta-analysis was performed analyzing the outcomes of all psychotherapy studies that randomized adult outpatients with major depressive disorder to a wait-list control group. RESULTS Nineteen studies involving 221 subjects were reviewed. The mean decrease in Hamilton Rating Scale for Depression scores over 2-20 weeks was 11.9%, while the mean decrease in Beck Depression Inventory scores was 15.7%. Using a subsample of studies that reported individual outcomes, we estimated that 15 of 76 subjects (19.7%) improved to a degree comparable to what would be considered a positive response in antidepressant trials. CONCLUSIONS In the short-term, depressive symptomatology can be expected to decrease by about 10-15% on average without treatment. As many as 20% of subjects who participate in a short-term antidepressant trial may experience a spontaneous remission.", "author" : [ { "dropping-particle" : "", "family" : "Posternak", "given" : "M A", "non-dropping-particle" : "", "parse-names" : false, "suffix" : "" }, { "dropping-particle" : "", "family" : "Miller", "given" : "I", "non-dropping-particle" : "", "parse-names" : false, "suffix" : "" } ], "container-title" : "Journal of affective disorders", "id" : "ITEM-1", "issue" : "2-3", "issued" : { "date-parts" : [ [ "2001", "10" ] ] }, "page" : "139-46", "title" : "Untreated short-term course of major depression: a meta-analysis of outcomes from studies using wait-list control groups.", "type" : "article-journal", "volume" : "66" }, "uris" : [ "http://www.mendeley.com/documents/?uuid=e7c79ea8-9a34-410b-8480-117aafaa8fe6" ] } ], "mendeley" : { "formattedCitation" : "[31]", "plainTextFormattedCitation" : "[31]", "previouslyFormattedCitation" : "&lt;sup&gt;31&lt;/sup&gt;" }, "properties" : { "noteIndex" : 0 }, "schema" : "https://github.com/citation-style-language/schema/raw/master/csl-citation.json" }</w:instrText>
      </w:r>
      <w:r w:rsidR="00507A52">
        <w:rPr>
          <w:rStyle w:val="Ninguno"/>
          <w:rFonts w:ascii="Times New Roman" w:hAnsi="Times New Roman" w:cs="Times New Roman"/>
          <w:lang w:val="en-GB"/>
        </w:rPr>
        <w:fldChar w:fldCharType="separate"/>
      </w:r>
      <w:r w:rsidR="006B7A9E" w:rsidRPr="006B7A9E">
        <w:rPr>
          <w:rStyle w:val="Ninguno"/>
          <w:rFonts w:ascii="Times New Roman" w:hAnsi="Times New Roman" w:cs="Times New Roman"/>
          <w:noProof/>
          <w:lang w:val="en-GB"/>
        </w:rPr>
        <w:t>[31]</w:t>
      </w:r>
      <w:r w:rsidR="00507A52">
        <w:rPr>
          <w:rStyle w:val="Ninguno"/>
          <w:rFonts w:ascii="Times New Roman" w:hAnsi="Times New Roman" w:cs="Times New Roman"/>
          <w:lang w:val="en-GB"/>
        </w:rPr>
        <w:fldChar w:fldCharType="end"/>
      </w:r>
      <w:r w:rsidR="006B7A9E">
        <w:rPr>
          <w:rStyle w:val="Ninguno"/>
          <w:rFonts w:ascii="Times New Roman" w:hAnsi="Times New Roman" w:cs="Times New Roman"/>
          <w:lang w:val="en-GB"/>
        </w:rPr>
        <w:t>.</w:t>
      </w:r>
      <w:r w:rsidR="00BE3BFE" w:rsidRPr="00BE3BFE">
        <w:rPr>
          <w:rStyle w:val="Ninguno"/>
          <w:rFonts w:ascii="Times New Roman" w:hAnsi="Times New Roman" w:cs="Times New Roman"/>
          <w:lang w:val="en-GB"/>
        </w:rPr>
        <w:t xml:space="preserve"> As a consequence, conclusions might be difficult to draw after one year.</w:t>
      </w:r>
    </w:p>
    <w:p w14:paraId="02795FF6" w14:textId="2D0D0875" w:rsidR="00BE3BFE" w:rsidRPr="00BE3BFE" w:rsidRDefault="00D8004B" w:rsidP="00BE3BFE">
      <w:pPr>
        <w:spacing w:line="480" w:lineRule="auto"/>
        <w:jc w:val="both"/>
        <w:rPr>
          <w:rStyle w:val="Ninguno"/>
          <w:rFonts w:ascii="Times New Roman" w:hAnsi="Times New Roman" w:cs="Times New Roman"/>
          <w:lang w:val="en-GB"/>
        </w:rPr>
      </w:pPr>
      <w:r w:rsidRPr="00BE3BFE">
        <w:rPr>
          <w:rFonts w:ascii="Times New Roman" w:hAnsi="Times New Roman" w:cs="Times New Roman"/>
          <w:lang w:val="en-GB"/>
        </w:rPr>
        <w:t>Incremental cost-utility ratios for the main analyses and the sensitivity analyses at both follow-up points are below the recently published limits for Spain (20,000€-25,000€/QALY)</w:t>
      </w:r>
      <w:r w:rsidR="006B7A9E">
        <w:rPr>
          <w:rFonts w:ascii="Times New Roman" w:hAnsi="Times New Roman" w:cs="Times New Roman"/>
          <w:lang w:val="en-GB"/>
        </w:rPr>
        <w:t xml:space="preserve"> </w:t>
      </w:r>
      <w:r>
        <w:rPr>
          <w:rFonts w:ascii="Times New Roman" w:hAnsi="Times New Roman" w:cs="Times New Roman"/>
          <w:lang w:val="en-GB"/>
        </w:rPr>
        <w:fldChar w:fldCharType="begin" w:fldLock="1"/>
      </w:r>
      <w:r w:rsidR="006B7A9E">
        <w:rPr>
          <w:rFonts w:ascii="Times New Roman" w:hAnsi="Times New Roman" w:cs="Times New Roman"/>
          <w:lang w:val="en-GB"/>
        </w:rPr>
        <w:instrText>ADDIN CSL_CITATION { "citationItems" : [ { "id" : "ITEM-1", "itemData" : { "author" : [ { "dropping-particle" : "", "family" : "Vallejo-Torres", "given" : "L", "non-dropping-particle" : "", "parse-names" : false, "suffix" : "" }, { "dropping-particle" : "", "family" : "Garc\u00eda-Lorenzo", "given" : "B", "non-dropping-particle" : "", "parse-names" : false, "suffix" : "" }, { "dropping-particle" : "", "family" : "Castilla", "given" : "I", "non-dropping-particle" : "", "parse-names" : false, "suffix" : "" }, { "dropping-particle" : "", "family" : "Valc\u00e1rcel Nazco", "given" : "C", "non-dropping-particle" : "", "parse-names" : false, "suffix" : "" }, { "dropping-particle" : "", "family" : "Garc\u00eda-P\u00e9rez", "given" : "L", "non-dropping-particle" : "", "parse-names" : false, "suffix" : "" }, { "dropping-particle" : "", "family" : "Linertov\u00e1", "given" : "R", "non-dropping-particle" : "", "parse-names" : false, "suffix" : "" }, { "dropping-particle" : "", "family" : "Serrano-Aguilar", "given" : "P", "non-dropping-particle" : "", "parse-names" : false, "suffix" : "" } ], "id" : "ITEM-1", "issued" : { "date-parts" : [ [ "2015" ] ] }, "title" : "Valor Monetario de un A\u00f1o de Vida Ajustado por Calidad: Estimaci\u00f3n emp\u00edrica del coste de oportunidad en el Sistema Nacional de Salud.", "type" : "report" }, "uris" : [ "http://www.mendeley.com/documents/?uuid=9286c00b-aeee-49b1-9235-e3253e60bad7" ] } ], "mendeley" : { "formattedCitation" : "[32]", "plainTextFormattedCitation" : "[32]", "previouslyFormattedCitation" : "&lt;sup&gt;32&lt;/sup&gt;" }, "properties" : { "noteIndex" : 0 }, "schema" : "https://github.com/citation-style-language/schema/raw/master/csl-citation.json" }</w:instrText>
      </w:r>
      <w:r>
        <w:rPr>
          <w:rFonts w:ascii="Times New Roman" w:hAnsi="Times New Roman" w:cs="Times New Roman"/>
          <w:lang w:val="en-GB"/>
        </w:rPr>
        <w:fldChar w:fldCharType="separate"/>
      </w:r>
      <w:r w:rsidR="006B7A9E" w:rsidRPr="006B7A9E">
        <w:rPr>
          <w:rFonts w:ascii="Times New Roman" w:hAnsi="Times New Roman" w:cs="Times New Roman"/>
          <w:noProof/>
          <w:lang w:val="en-GB"/>
        </w:rPr>
        <w:t>[32]</w:t>
      </w:r>
      <w:r>
        <w:rPr>
          <w:rFonts w:ascii="Times New Roman" w:hAnsi="Times New Roman" w:cs="Times New Roman"/>
          <w:lang w:val="en-GB"/>
        </w:rPr>
        <w:fldChar w:fldCharType="end"/>
      </w:r>
      <w:r w:rsidRPr="00BE3BFE">
        <w:rPr>
          <w:rFonts w:ascii="Times New Roman" w:hAnsi="Times New Roman" w:cs="Times New Roman"/>
          <w:lang w:val="en-GB"/>
        </w:rPr>
        <w:t xml:space="preserve"> and well below values in other European countries</w:t>
      </w:r>
      <w:r w:rsidR="006B7A9E">
        <w:rPr>
          <w:rFonts w:ascii="Times New Roman" w:hAnsi="Times New Roman" w:cs="Times New Roman"/>
          <w:lang w:val="en-GB"/>
        </w:rPr>
        <w:t xml:space="preserve"> </w:t>
      </w:r>
      <w:r>
        <w:rPr>
          <w:rFonts w:ascii="Times New Roman" w:hAnsi="Times New Roman" w:cs="Times New Roman"/>
          <w:lang w:val="en-GB"/>
        </w:rPr>
        <w:fldChar w:fldCharType="begin" w:fldLock="1"/>
      </w:r>
      <w:r w:rsidR="006B7A9E">
        <w:rPr>
          <w:rFonts w:ascii="Times New Roman" w:hAnsi="Times New Roman" w:cs="Times New Roman"/>
          <w:lang w:val="en-GB"/>
        </w:rPr>
        <w:instrText>ADDIN CSL_CITATION { "citationItems" : [ { "id" : "ITEM-1", "itemData" : { "DOI" : "10.1002/hec.1481", "ISSN" : "10579230", "author" : [ { "dropping-particle" : "", "family" : "Shiroiwa", "given" : "Takeru", "non-dropping-particle" : "", "parse-names" : false, "suffix" : "" }, { "dropping-particle" : "", "family" : "Sung", "given" : "Yoon-Kyoung", "non-dropping-particle" : "", "parse-names" : false, "suffix" : "" }, { "dropping-particle" : "", "family" : "Fukuda", "given" : "Takashi", "non-dropping-particle" : "", "parse-names" : false, "suffix" : "" }, { "dropping-particle" : "", "family" : "Lang", "given" : "Hui-Chu", "non-dropping-particle" : "", "parse-names" : false, "suffix" : "" }, { "dropping-particle" : "", "family" : "Bae", "given" : "Sang-Cheol", "non-dropping-particle" : "", "parse-names" : false, "suffix" : "" }, { "dropping-particle" : "", "family" : "Tsutani", "given" : "Kiichiro", "non-dropping-particle" : "", "parse-names" : false, "suffix" : "" } ], "container-title" : "Health Economics", "id" : "ITEM-1", "issue" : "4", "issued" : { "date-parts" : [ [ "2010", "4" ] ] }, "page" : "422-437", "title" : "International survey on willingness-to-pay (WTP) for one additional QALY gained: what is the threshold of cost effectiveness?", "type" : "article-journal", "volume" : "19" }, "uris" : [ "http://www.mendeley.com/documents/?uuid=e40a324f-d45e-3766-91a4-0309c1efe5c2" ] } ], "mendeley" : { "formattedCitation" : "[33]", "plainTextFormattedCitation" : "[33]", "previouslyFormattedCitation" : "&lt;sup&gt;33&lt;/sup&gt;" }, "properties" : { "noteIndex" : 0 }, "schema" : "https://github.com/citation-style-language/schema/raw/master/csl-citation.json" }</w:instrText>
      </w:r>
      <w:r>
        <w:rPr>
          <w:rFonts w:ascii="Times New Roman" w:hAnsi="Times New Roman" w:cs="Times New Roman"/>
          <w:lang w:val="en-GB"/>
        </w:rPr>
        <w:fldChar w:fldCharType="separate"/>
      </w:r>
      <w:r w:rsidR="006B7A9E" w:rsidRPr="006B7A9E">
        <w:rPr>
          <w:rFonts w:ascii="Times New Roman" w:hAnsi="Times New Roman" w:cs="Times New Roman"/>
          <w:noProof/>
          <w:lang w:val="en-GB"/>
        </w:rPr>
        <w:t>[33]</w:t>
      </w:r>
      <w:r>
        <w:rPr>
          <w:rFonts w:ascii="Times New Roman" w:hAnsi="Times New Roman" w:cs="Times New Roman"/>
          <w:lang w:val="en-GB"/>
        </w:rPr>
        <w:fldChar w:fldCharType="end"/>
      </w:r>
      <w:r w:rsidR="006B7A9E">
        <w:rPr>
          <w:rFonts w:ascii="Times New Roman" w:hAnsi="Times New Roman" w:cs="Times New Roman"/>
          <w:lang w:val="en-GB"/>
        </w:rPr>
        <w:t>.</w:t>
      </w:r>
      <w:r>
        <w:rPr>
          <w:rFonts w:ascii="Times New Roman" w:hAnsi="Times New Roman" w:cs="Times New Roman"/>
          <w:lang w:val="en-GB"/>
        </w:rPr>
        <w:t xml:space="preserve"> </w:t>
      </w:r>
      <w:r w:rsidRPr="00BE3BFE">
        <w:rPr>
          <w:rStyle w:val="Ninguno"/>
          <w:rFonts w:ascii="Times New Roman" w:hAnsi="Times New Roman" w:cs="Times New Roman"/>
          <w:lang w:val="en-GB"/>
        </w:rPr>
        <w:t xml:space="preserve">Although the aim of this study was to shed light on whether </w:t>
      </w:r>
      <w:r>
        <w:rPr>
          <w:rStyle w:val="Ninguno"/>
          <w:rFonts w:ascii="Times New Roman" w:hAnsi="Times New Roman" w:cs="Times New Roman"/>
          <w:lang w:val="en-GB"/>
        </w:rPr>
        <w:t>AM</w:t>
      </w:r>
      <w:r w:rsidRPr="00BE3BFE">
        <w:rPr>
          <w:rStyle w:val="Ninguno"/>
          <w:rFonts w:ascii="Times New Roman" w:hAnsi="Times New Roman" w:cs="Times New Roman"/>
          <w:lang w:val="en-GB"/>
        </w:rPr>
        <w:t xml:space="preserve"> in mild-moderate MDD could be a feasible and cost-effective alternative to pharmacological interventions in current PC practice, the results are inconclusive and difficult to interpret. </w:t>
      </w:r>
      <w:r w:rsidR="00BE3BFE" w:rsidRPr="00BE3BFE">
        <w:rPr>
          <w:rStyle w:val="Ninguno"/>
          <w:rFonts w:ascii="Times New Roman" w:hAnsi="Times New Roman" w:cs="Times New Roman"/>
          <w:lang w:val="en-GB"/>
        </w:rPr>
        <w:t xml:space="preserve">Literature from other European countries also underlines difficulties in supporting a full </w:t>
      </w:r>
      <w:r w:rsidR="00B20112">
        <w:rPr>
          <w:rStyle w:val="Ninguno"/>
          <w:rFonts w:ascii="Times New Roman" w:hAnsi="Times New Roman" w:cs="Times New Roman"/>
          <w:lang w:val="en-GB"/>
        </w:rPr>
        <w:t>AM</w:t>
      </w:r>
      <w:r w:rsidR="00BE3BFE" w:rsidRPr="00BE3BFE">
        <w:rPr>
          <w:rStyle w:val="Ninguno"/>
          <w:rFonts w:ascii="Times New Roman" w:hAnsi="Times New Roman" w:cs="Times New Roman"/>
          <w:lang w:val="en-GB"/>
        </w:rPr>
        <w:t xml:space="preserve"> approach for the treatment of mild- to-moderate MDD. The THREAD study</w:t>
      </w:r>
      <w:r w:rsidR="006B7A9E">
        <w:rPr>
          <w:rStyle w:val="Ninguno"/>
          <w:rFonts w:ascii="Times New Roman" w:hAnsi="Times New Roman" w:cs="Times New Roman"/>
          <w:lang w:val="en-GB"/>
        </w:rPr>
        <w:t xml:space="preserve"> </w:t>
      </w:r>
      <w:r w:rsidR="00507A52">
        <w:rPr>
          <w:rStyle w:val="Ninguno"/>
          <w:rFonts w:ascii="Times New Roman" w:hAnsi="Times New Roman" w:cs="Times New Roman"/>
          <w:lang w:val="en-GB"/>
        </w:rPr>
        <w:fldChar w:fldCharType="begin" w:fldLock="1"/>
      </w:r>
      <w:r w:rsidR="006B7A9E">
        <w:rPr>
          <w:rStyle w:val="Ninguno"/>
          <w:rFonts w:ascii="Times New Roman" w:hAnsi="Times New Roman" w:cs="Times New Roman"/>
          <w:lang w:val="en-GB"/>
        </w:rPr>
        <w:instrText>ADDIN CSL_CITATION { "citationItems" : [ { "id" : "ITEM-1", "itemData" : { "DOI" : "10.3310/hta13220", "author" : [ { "dropping-particle" : "", "family" : "Kendrick", "given" : "T", "non-dropping-particle" : "", "parse-names" : false, "suffix" : "" }, { "dropping-particle" : "", "family" : "Chatwin", "given" : "J", "non-dropping-particle" : "", "parse-names" : false, "suffix" : "" }, { "dropping-particle" : "", "family" : "Dowrick", "given" : "C", "non-dropping-particle" : "", "parse-names" : false, "suffix" : "" }, { "dropping-particle" : "", "family" : "Tylee", "given" : "A", "non-dropping-particle" : "", "parse-names" : false, "suffix" : "" }, { "dropping-particle" : "", "family" : "Morriss", "given" : "R", "non-dropping-particle" : "", "parse-names" : false, "suffix" : "" }, { "dropping-particle" : "", "family" : "Peveler", "given" : "R", "non-dropping-particle" : "", "parse-names" : false, "suffix" : "" }, { "dropping-particle" : "", "family" : "Leese", "given" : "M", "non-dropping-particle" : "", "parse-names" : false, "suffix" : "" }, { "dropping-particle" : "", "family" : "McCrone", "given" : "P", "non-dropping-particle" : "", "parse-names" : false, "suffix" : "" }, { "dropping-particle" : "", "family" : "Harris", "given" : "T", "non-dropping-particle" : "", "parse-names" : false, "suffix" : "" }, { "dropping-particle" : "", "family" : "Moore", "given" : "M", "non-dropping-particle" : "", "parse-names" : false, "suffix" : "" }, { "dropping-particle" : "", "family" : "Byng", "given" : "R", "non-dropping-particle" : "", "parse-names" : false, "suffix" : "" }, { "dropping-particle" : "", "family" : "Brown", "given" : "G", "non-dropping-particle" : "", "parse-names" : false, "suffix" : "" }, { "dropping-particle" : "", "family" : "Barthel", "given" : "S", "non-dropping-particle" : "", "parse-names" : false, "suffix" : "" }, { "dropping-particle" : "", "family" : "Mander", "given" : "H", "non-dropping-particle" : "", "parse-names" : false, "suffix" : "" }, { "dropping-particle" : "", "family" : "Ring", "given" : "A", "non-dropping-particle" : "", "parse-names" : false, "suffix" : "" }, { "dropping-particle" : "", "family" : "Kelly", "given" : "V", "non-dropping-particle" : "", "parse-names" : false, "suffix" : "" }, { "dropping-particle" : "", "family" : "Wallace", "given" : "V", "non-dropping-particle" : "", "parse-names" : false, "suffix" : "" }, { "dropping-particle" : "", "family" : "Gabbay", "given" : "M", "non-dropping-particle" : "", "parse-names" : false, "suffix" : "" }, { "dropping-particle" : "", "family" : "Craig", "given" : "T", "non-dropping-particle" : "", "parse-names" : false, "suffix" : "" }, { "dropping-particle" : "", "family" : "Mann", "given" : "A", "non-dropping-particle" : "", "parse-names" : false, "suffix" : "" } ], "container-title" : "Health technology assessment (Winchester, England)", "id" : "ITEM-1", "issue" : "22", "issued" : { "date-parts" : [ [ "2009" ] ] }, "note" : "Leese, Morven/E-4195-2010; Tylee, Andre/D-8468-2010\n0", "page" : "iii-iv, ix-xi, 1-159", "title" : "Randomised controlled trial to determine the clinical effectiveness and cost-effectiveness of selective serotonin reuptake inhibitors plus supportive care, versus supportive care alone, for mild to moderate depression with somatic symptoms in primary care", "type" : "article-journal", "volume" : "13" }, "uris" : [ "http://www.mendeley.com/documents/?uuid=cce26339-eaae-4a01-a72b-6679b354a6ce" ] } ], "mendeley" : { "formattedCitation" : "[13]", "plainTextFormattedCitation" : "[13]", "previouslyFormattedCitation" : "&lt;sup&gt;13&lt;/sup&gt;" }, "properties" : { "noteIndex" : 0 }, "schema" : "https://github.com/citation-style-language/schema/raw/master/csl-citation.json" }</w:instrText>
      </w:r>
      <w:r w:rsidR="00507A52">
        <w:rPr>
          <w:rStyle w:val="Ninguno"/>
          <w:rFonts w:ascii="Times New Roman" w:hAnsi="Times New Roman" w:cs="Times New Roman"/>
          <w:lang w:val="en-GB"/>
        </w:rPr>
        <w:fldChar w:fldCharType="separate"/>
      </w:r>
      <w:r w:rsidR="006B7A9E" w:rsidRPr="006B7A9E">
        <w:rPr>
          <w:rStyle w:val="Ninguno"/>
          <w:rFonts w:ascii="Times New Roman" w:hAnsi="Times New Roman" w:cs="Times New Roman"/>
          <w:noProof/>
          <w:lang w:val="en-GB"/>
        </w:rPr>
        <w:t>[13]</w:t>
      </w:r>
      <w:r w:rsidR="00507A52">
        <w:rPr>
          <w:rStyle w:val="Ninguno"/>
          <w:rFonts w:ascii="Times New Roman" w:hAnsi="Times New Roman" w:cs="Times New Roman"/>
          <w:lang w:val="en-GB"/>
        </w:rPr>
        <w:fldChar w:fldCharType="end"/>
      </w:r>
      <w:r w:rsidR="00BE3BFE" w:rsidRPr="00BE3BFE">
        <w:rPr>
          <w:rStyle w:val="Ninguno"/>
          <w:rFonts w:ascii="Times New Roman" w:hAnsi="Times New Roman" w:cs="Times New Roman"/>
          <w:lang w:val="en-GB"/>
        </w:rPr>
        <w:t xml:space="preserve"> claimed that adding an antidepressant seemed to be more efficient although they only followed patients up for 6 months and the probability of the intervention being cost-effective dropped from 3 to 6 months, when it </w:t>
      </w:r>
      <w:r w:rsidR="00BE3BFE" w:rsidRPr="00BE3BFE">
        <w:rPr>
          <w:rFonts w:ascii="Times New Roman" w:hAnsi="Times New Roman" w:cs="Times New Roman"/>
          <w:color w:val="000000"/>
          <w:shd w:val="clear" w:color="auto" w:fill="FFFFFF"/>
          <w:lang w:val="en-GB"/>
        </w:rPr>
        <w:t xml:space="preserve">was only 75% for a WTP of £30,000 per QALY. </w:t>
      </w:r>
      <w:r w:rsidR="00BE3BFE" w:rsidRPr="00BE3BFE">
        <w:rPr>
          <w:rStyle w:val="Ninguno"/>
          <w:rFonts w:ascii="Times New Roman" w:hAnsi="Times New Roman" w:cs="Times New Roman"/>
          <w:lang w:val="en-GB"/>
        </w:rPr>
        <w:t>Bosmans et al. 2008 followed up 89 patients for 12 months and found no differences between patients in the antidepressants group and the non-pharmacological group. However, they pointed out that the limited sample size and drop-outs could have limited their capacity to detect differences</w:t>
      </w:r>
      <w:r w:rsidR="006B7A9E">
        <w:rPr>
          <w:rStyle w:val="Ninguno"/>
          <w:rFonts w:ascii="Times New Roman" w:hAnsi="Times New Roman" w:cs="Times New Roman"/>
          <w:lang w:val="en-GB"/>
        </w:rPr>
        <w:t xml:space="preserve"> </w:t>
      </w:r>
      <w:r w:rsidR="00507A52">
        <w:rPr>
          <w:rStyle w:val="Ninguno"/>
          <w:rFonts w:ascii="Times New Roman" w:hAnsi="Times New Roman" w:cs="Times New Roman"/>
          <w:lang w:val="en-GB"/>
        </w:rPr>
        <w:fldChar w:fldCharType="begin" w:fldLock="1"/>
      </w:r>
      <w:r w:rsidR="006B7A9E">
        <w:rPr>
          <w:rStyle w:val="Ninguno"/>
          <w:rFonts w:ascii="Times New Roman" w:hAnsi="Times New Roman" w:cs="Times New Roman"/>
          <w:lang w:val="en-GB"/>
        </w:rPr>
        <w:instrText>ADDIN CSL_CITATION { "citationItems" : [ { "id" : "ITEM-1", "itemData" : { "PMID" : "18342952", "abstract" : "Background: Minor depression is common in primary care and associated with increased health care costs. Many mildly depressed patients are prescribed antidepressants, although there is insufficient information on the cost-effectiveness of antidepressants for these patients. The objective of this study was to evaluate whether usual care without antidepressants is equivalent to (i.e. as effective as and as expensive as) usual care with antidepressants in patients with minor or mild-major depression. Methods: Severity of depression was measured using the Montgomery Asberg Depression Rating Scale (MADRS) and quality-adjusted life-years (QALYs) using the EuroQol. Resource use was measured from a societal perspective using cost diaries. Bootstrapping was used to analyze the cost-effectiveness data. Results: Equivalence could not be shown for improvement in MADRS score or QALYs gained at 52??weeks. The mean (95% CI) difference in total costs between usual care without antidepressants and usual care with antidepressants was - ???751 (- 3601; 1522). Using an equivalence margin of ???500 equivalence in costs could not be shown. In the cost-effectiveness analyses equivalence also could not be shown. Limitations: This study was underpowered for economic outcomes. Another limitation was the loss-to-follow-up. Conclusions: Although equivalence could not be shown in the costs and cost-effectiveness analyses, 95% confidence intervals also did not show that usual care without antidepressants was vastly superior or inferior to usual care with antidepressants. Therefore, we recommend general practitioners to show restraint when prescribing antidepressants to mildly depressed patients. ?? 2008 Elsevier B.V. All rights reserved.", "author" : [ { "dropping-particle" : "", "family" : "Bosmans", "given" : "Judith E.", "non-dropping-particle" : "", "parse-names" : false, "suffix" : "" }, { "dropping-particle" : "", "family" : "Hermens", "given" : "M. L M", "non-dropping-particle" : "", "parse-names" : false, "suffix" : "" }, { "dropping-particle" : "", "family" : "Bruijne", "given" : "Martine C.", "non-dropping-particle" : "de", "parse-names" : false, "suffix" : "" }, { "dropping-particle" : "", "family" : "Hout", "given" : "H. P J", "non-dropping-particle" : "van", "parse-names" : false, "suffix" : "" }, { "dropping-particle" : "", "family" : "Terluin", "given" : "Berend", "non-dropping-particle" : "", "parse-names" : false, "suffix" : "" }, { "dropping-particle" : "", "family" : "Bouter", "given" : "Lex M.", "non-dropping-particle" : "", "parse-names" : false, "suffix" : "" }, { "dropping-particle" : "", "family" : "Stalman", "given" : "W. A B", "non-dropping-particle" : "", "parse-names" : false, "suffix" : "" }, { "dropping-particle" : "", "family" : "Tulder", "given" : "Maurits W.", "non-dropping-particle" : "van", "parse-names" : false, "suffix" : "" } ], "container-title" : "Journal of Affective Disorders", "id" : "ITEM-1", "issue" : "1", "issued" : { "date-parts" : [ [ "2008" ] ] }, "page" : "106-112", "title" : "Cost-effectiveness of usual general practitioner care with or without antidepressant medication for patients with minor or mild-major depression", "type" : "article-journal", "volume" : "111" }, "uris" : [ "http://www.mendeley.com/documents/?uuid=15694c84-e69b-4903-b01a-1bd5c1f3eae5" ] } ], "mendeley" : { "formattedCitation" : "[12]", "plainTextFormattedCitation" : "[12]", "previouslyFormattedCitation" : "&lt;sup&gt;12&lt;/sup&gt;" }, "properties" : { "noteIndex" : 0 }, "schema" : "https://github.com/citation-style-language/schema/raw/master/csl-citation.json" }</w:instrText>
      </w:r>
      <w:r w:rsidR="00507A52">
        <w:rPr>
          <w:rStyle w:val="Ninguno"/>
          <w:rFonts w:ascii="Times New Roman" w:hAnsi="Times New Roman" w:cs="Times New Roman"/>
          <w:lang w:val="en-GB"/>
        </w:rPr>
        <w:fldChar w:fldCharType="separate"/>
      </w:r>
      <w:r w:rsidR="006B7A9E" w:rsidRPr="006B7A9E">
        <w:rPr>
          <w:rStyle w:val="Ninguno"/>
          <w:rFonts w:ascii="Times New Roman" w:hAnsi="Times New Roman" w:cs="Times New Roman"/>
          <w:noProof/>
          <w:lang w:val="en-GB"/>
        </w:rPr>
        <w:t>[12]</w:t>
      </w:r>
      <w:r w:rsidR="00507A52">
        <w:rPr>
          <w:rStyle w:val="Ninguno"/>
          <w:rFonts w:ascii="Times New Roman" w:hAnsi="Times New Roman" w:cs="Times New Roman"/>
          <w:lang w:val="en-GB"/>
        </w:rPr>
        <w:fldChar w:fldCharType="end"/>
      </w:r>
      <w:r w:rsidR="006B7A9E">
        <w:rPr>
          <w:rStyle w:val="Ninguno"/>
          <w:rFonts w:ascii="Times New Roman" w:hAnsi="Times New Roman" w:cs="Times New Roman"/>
          <w:lang w:val="en-GB"/>
        </w:rPr>
        <w:t>.</w:t>
      </w:r>
    </w:p>
    <w:p w14:paraId="056311E6" w14:textId="4EEA6412" w:rsidR="00BE3BFE" w:rsidRPr="00BE3BFE" w:rsidRDefault="00E91738" w:rsidP="00BE3BFE">
      <w:pPr>
        <w:spacing w:line="480" w:lineRule="auto"/>
        <w:jc w:val="both"/>
        <w:rPr>
          <w:rFonts w:ascii="Times New Roman" w:hAnsi="Times New Roman" w:cs="Times New Roman"/>
          <w:lang w:val="en-GB"/>
        </w:rPr>
      </w:pPr>
      <w:r w:rsidRPr="008F6976">
        <w:rPr>
          <w:rStyle w:val="Ninguno"/>
          <w:rFonts w:ascii="Times New Roman" w:hAnsi="Times New Roman" w:cs="Times New Roman"/>
          <w:lang w:val="en-GB"/>
        </w:rPr>
        <w:t xml:space="preserve">The sensitivity analyses showed small variations in the results. In all cases, the results favoured antidepressants, with ICUR below the willingness to pay threshold in Spain (25000 €/QALY) in all the sensitivity analysis with the exception of the one that used the average absenteeism salary for sick leave (ICUR = 27092 €/QALY). </w:t>
      </w:r>
      <w:r w:rsidR="00BE3BFE" w:rsidRPr="00BE3BFE">
        <w:rPr>
          <w:rStyle w:val="Ninguno"/>
          <w:rFonts w:ascii="Times New Roman" w:hAnsi="Times New Roman" w:cs="Times New Roman"/>
          <w:lang w:val="en-GB"/>
        </w:rPr>
        <w:t xml:space="preserve">The antidepressants groups dominated the </w:t>
      </w:r>
      <w:r w:rsidR="00B20112">
        <w:rPr>
          <w:rStyle w:val="Ninguno"/>
          <w:rFonts w:ascii="Times New Roman" w:hAnsi="Times New Roman" w:cs="Times New Roman"/>
          <w:lang w:val="en-GB"/>
        </w:rPr>
        <w:t>AM</w:t>
      </w:r>
      <w:r w:rsidR="00BE3BFE" w:rsidRPr="00BE3BFE">
        <w:rPr>
          <w:rStyle w:val="Ninguno"/>
          <w:rFonts w:ascii="Times New Roman" w:hAnsi="Times New Roman" w:cs="Times New Roman"/>
          <w:lang w:val="en-GB"/>
        </w:rPr>
        <w:t xml:space="preserve"> approach in the </w:t>
      </w:r>
      <w:r w:rsidR="00F76044">
        <w:rPr>
          <w:rStyle w:val="Ninguno"/>
          <w:rFonts w:ascii="Times New Roman" w:hAnsi="Times New Roman" w:cs="Times New Roman"/>
          <w:lang w:val="en-GB"/>
        </w:rPr>
        <w:t>PP</w:t>
      </w:r>
      <w:r w:rsidR="00BE3BFE" w:rsidRPr="00BE3BFE">
        <w:rPr>
          <w:rStyle w:val="Ninguno"/>
          <w:rFonts w:ascii="Times New Roman" w:hAnsi="Times New Roman" w:cs="Times New Roman"/>
          <w:lang w:val="en-GB"/>
        </w:rPr>
        <w:t xml:space="preserve"> analysis and when patients with MDD according to DSM-IV criteria were examined. Although conclusions should be considered with caution, mainly due to limited sample size and follow-up duration, it seems that patients meeting diagnostic criteria for MDD and those who adhere to the interventions have a better response to the pharmacological treatment. It is increasingly recognized that the majority of patients who attend a PC practice present sub-threshold depressive symptoms, which do not meet the full diagnostic criteria for MDD but can be very disabling with respect to everyday life functionality</w:t>
      </w:r>
      <w:r w:rsidR="006B7A9E">
        <w:rPr>
          <w:rStyle w:val="Ninguno"/>
          <w:rFonts w:ascii="Times New Roman" w:hAnsi="Times New Roman" w:cs="Times New Roman"/>
          <w:lang w:val="en-GB"/>
        </w:rPr>
        <w:t xml:space="preserve"> </w:t>
      </w:r>
      <w:r w:rsidR="00507A52">
        <w:rPr>
          <w:rStyle w:val="Ninguno"/>
          <w:rFonts w:ascii="Times New Roman" w:hAnsi="Times New Roman" w:cs="Times New Roman"/>
          <w:lang w:val="en-GB"/>
        </w:rPr>
        <w:fldChar w:fldCharType="begin" w:fldLock="1"/>
      </w:r>
      <w:r w:rsidR="006B7A9E">
        <w:rPr>
          <w:rStyle w:val="Ninguno"/>
          <w:rFonts w:ascii="Times New Roman" w:hAnsi="Times New Roman" w:cs="Times New Roman"/>
          <w:lang w:val="en-GB"/>
        </w:rPr>
        <w:instrText>ADDIN CSL_CITATION { "citationItems" : [ { "id" : "ITEM-1", "itemData" : { "author" : [ { "dropping-particle" : "", "family" : "Anderson, I., Pilling, S., Barnes, A., Bayliss, L., Bird, V., Burbeck, R., Chew-Graham, C., Clarke, J., Dyer, M., Flanagan, E., Harris, C., Hopkins, S., Kenwright, M., Kuyken, W., Lewis, A., Lewis, G., Li, R., Masterson, B., Meader, N., Meudell, A., Mitch", "given" : "J.", "non-dropping-particle" : "", "parse-names" : false, "suffix" : "" } ], "container-title" : "Clinical guideline of depression in adult", "id" : "ITEM-1", "issue" : "October", "issued" : { "date-parts" : [ [ "2009" ] ] }, "page" : "63", "title" : "Depression in adults : recognition and management", "type" : "article-journal" }, "uris" : [ "http://www.mendeley.com/documents/?uuid=1ea371fe-6205-40d6-9267-20c2dd7b3d3d", "http://www.mendeley.com/documents/?uuid=778b24c8-67e8-4133-8c33-f1893cbc5954", "http://www.mendeley.com/documents/?uuid=658323b4-09a8-4812-b4b8-f99c01b1d3ae" ] } ], "mendeley" : { "formattedCitation" : "[1]", "plainTextFormattedCitation" : "[1]", "previouslyFormattedCitation" : "&lt;sup&gt;1&lt;/sup&gt;" }, "properties" : { "noteIndex" : 0 }, "schema" : "https://github.com/citation-style-language/schema/raw/master/csl-citation.json" }</w:instrText>
      </w:r>
      <w:r w:rsidR="00507A52">
        <w:rPr>
          <w:rStyle w:val="Ninguno"/>
          <w:rFonts w:ascii="Times New Roman" w:hAnsi="Times New Roman" w:cs="Times New Roman"/>
          <w:lang w:val="en-GB"/>
        </w:rPr>
        <w:fldChar w:fldCharType="separate"/>
      </w:r>
      <w:r w:rsidR="006B7A9E" w:rsidRPr="006B7A9E">
        <w:rPr>
          <w:rStyle w:val="Ninguno"/>
          <w:rFonts w:ascii="Times New Roman" w:hAnsi="Times New Roman" w:cs="Times New Roman"/>
          <w:noProof/>
          <w:lang w:val="en-GB"/>
        </w:rPr>
        <w:t>[1]</w:t>
      </w:r>
      <w:r w:rsidR="00507A52">
        <w:rPr>
          <w:rStyle w:val="Ninguno"/>
          <w:rFonts w:ascii="Times New Roman" w:hAnsi="Times New Roman" w:cs="Times New Roman"/>
          <w:lang w:val="en-GB"/>
        </w:rPr>
        <w:fldChar w:fldCharType="end"/>
      </w:r>
      <w:r w:rsidR="006B7A9E">
        <w:rPr>
          <w:rStyle w:val="Ninguno"/>
          <w:rFonts w:ascii="Times New Roman" w:hAnsi="Times New Roman" w:cs="Times New Roman"/>
          <w:lang w:val="en-GB"/>
        </w:rPr>
        <w:t>.</w:t>
      </w:r>
      <w:r w:rsidR="00E4598C">
        <w:rPr>
          <w:rStyle w:val="Ninguno"/>
          <w:rFonts w:ascii="Times New Roman" w:hAnsi="Times New Roman" w:cs="Times New Roman"/>
          <w:lang w:val="en-GB"/>
        </w:rPr>
        <w:t xml:space="preserve"> </w:t>
      </w:r>
      <w:r w:rsidR="00BE3BFE" w:rsidRPr="00BE3BFE">
        <w:rPr>
          <w:rStyle w:val="Ninguno"/>
          <w:rFonts w:ascii="Times New Roman" w:hAnsi="Times New Roman" w:cs="Times New Roman"/>
          <w:lang w:val="en-GB"/>
        </w:rPr>
        <w:t xml:space="preserve">As a consequence, and bearing </w:t>
      </w:r>
      <w:r w:rsidR="00BE3BFE" w:rsidRPr="00BE3BFE">
        <w:rPr>
          <w:rStyle w:val="Ninguno"/>
          <w:rFonts w:ascii="Times New Roman" w:hAnsi="Times New Roman" w:cs="Times New Roman"/>
          <w:lang w:val="en-GB"/>
        </w:rPr>
        <w:lastRenderedPageBreak/>
        <w:t>in mind the naturalistic aim of the study, these results must be interpreted carefully when choosing the best treatment approach for depressed patients in a PC setting. Sensitivity analyses of this type were not conducted in previous studies and need to be explored in the future.</w:t>
      </w:r>
    </w:p>
    <w:p w14:paraId="44B25A81" w14:textId="77777777" w:rsidR="00BE3BFE" w:rsidRPr="00F76044" w:rsidRDefault="00BE3BFE" w:rsidP="00F76044">
      <w:pPr>
        <w:spacing w:line="480" w:lineRule="auto"/>
        <w:rPr>
          <w:i/>
        </w:rPr>
      </w:pPr>
      <w:r w:rsidRPr="00F76044">
        <w:rPr>
          <w:i/>
        </w:rPr>
        <w:t>Strengths and limitations</w:t>
      </w:r>
    </w:p>
    <w:p w14:paraId="1A67F196" w14:textId="5AB5DDF8" w:rsidR="00F76044" w:rsidRDefault="00BE3BFE" w:rsidP="00BE3BFE">
      <w:pPr>
        <w:spacing w:line="480" w:lineRule="auto"/>
        <w:jc w:val="both"/>
        <w:rPr>
          <w:rStyle w:val="Ninguno"/>
          <w:rFonts w:ascii="Times New Roman" w:hAnsi="Times New Roman" w:cs="Times New Roman"/>
          <w:lang w:val="en-GB"/>
        </w:rPr>
      </w:pPr>
      <w:r w:rsidRPr="00BE3BFE">
        <w:rPr>
          <w:rStyle w:val="Ninguno"/>
          <w:rFonts w:ascii="Times New Roman" w:hAnsi="Times New Roman" w:cs="Times New Roman"/>
          <w:u w:color="0070C0"/>
          <w:lang w:val="en-GB"/>
        </w:rPr>
        <w:t xml:space="preserve">This is the study with the largest sample size and longest follow-up period to compare the cost-effectiveness of antidepressants and </w:t>
      </w:r>
      <w:r w:rsidR="00B20112">
        <w:rPr>
          <w:rStyle w:val="Ninguno"/>
          <w:rFonts w:ascii="Times New Roman" w:hAnsi="Times New Roman" w:cs="Times New Roman"/>
          <w:u w:color="0070C0"/>
          <w:lang w:val="en-GB"/>
        </w:rPr>
        <w:t>AM</w:t>
      </w:r>
      <w:r w:rsidR="008A258A">
        <w:rPr>
          <w:rStyle w:val="Ninguno"/>
          <w:rFonts w:ascii="Times New Roman" w:hAnsi="Times New Roman" w:cs="Times New Roman"/>
          <w:u w:color="0070C0"/>
          <w:lang w:val="en-GB"/>
        </w:rPr>
        <w:t xml:space="preserve"> [29, 30]</w:t>
      </w:r>
      <w:r w:rsidRPr="00BE3BFE">
        <w:rPr>
          <w:rStyle w:val="Ninguno"/>
          <w:rFonts w:ascii="Times New Roman" w:hAnsi="Times New Roman" w:cs="Times New Roman"/>
          <w:u w:color="0070C0"/>
          <w:lang w:val="en-GB"/>
        </w:rPr>
        <w:t xml:space="preserve">. </w:t>
      </w:r>
      <w:r w:rsidR="00F76044" w:rsidRPr="00F76044">
        <w:rPr>
          <w:rStyle w:val="Ninguno"/>
          <w:rFonts w:ascii="Times New Roman" w:hAnsi="Times New Roman" w:cs="Times New Roman"/>
          <w:lang w:val="en-GB"/>
        </w:rPr>
        <w:t xml:space="preserve"> </w:t>
      </w:r>
      <w:r w:rsidR="00F76044">
        <w:rPr>
          <w:rStyle w:val="Ninguno"/>
          <w:rFonts w:ascii="Times New Roman" w:hAnsi="Times New Roman" w:cs="Times New Roman"/>
          <w:lang w:val="en-GB"/>
        </w:rPr>
        <w:t>Furthermore</w:t>
      </w:r>
      <w:r w:rsidR="00F76044" w:rsidRPr="00BE3BFE">
        <w:rPr>
          <w:rStyle w:val="Ninguno"/>
          <w:rFonts w:ascii="Times New Roman" w:hAnsi="Times New Roman" w:cs="Times New Roman"/>
          <w:lang w:val="en-GB"/>
        </w:rPr>
        <w:t>, the naturalistic aim of the study and the participation of PCHCs from very different parts of the city and surroundings areas of Barcelona increase the external validity of the results.</w:t>
      </w:r>
      <w:r w:rsidR="00F76044">
        <w:rPr>
          <w:rStyle w:val="Ninguno"/>
          <w:rFonts w:ascii="Times New Roman" w:hAnsi="Times New Roman" w:cs="Times New Roman"/>
          <w:lang w:val="en-GB"/>
        </w:rPr>
        <w:t xml:space="preserve"> </w:t>
      </w:r>
      <w:r w:rsidRPr="00BE3BFE">
        <w:rPr>
          <w:rStyle w:val="Ninguno"/>
          <w:rFonts w:ascii="Times New Roman" w:hAnsi="Times New Roman" w:cs="Times New Roman"/>
          <w:u w:color="0070C0"/>
          <w:lang w:val="en-GB"/>
        </w:rPr>
        <w:t>However, t</w:t>
      </w:r>
      <w:r w:rsidRPr="00BE3BFE">
        <w:rPr>
          <w:rStyle w:val="Ninguno"/>
          <w:rFonts w:ascii="Times New Roman" w:hAnsi="Times New Roman" w:cs="Times New Roman"/>
          <w:lang w:val="en-GB"/>
        </w:rPr>
        <w:t xml:space="preserve">he study has a series of limitations that must be considered when interpreting its results. </w:t>
      </w:r>
      <w:r w:rsidR="000324E0">
        <w:rPr>
          <w:rStyle w:val="Ninguno"/>
          <w:rFonts w:ascii="Times New Roman" w:hAnsi="Times New Roman" w:cs="Times New Roman"/>
          <w:lang w:val="en-GB"/>
        </w:rPr>
        <w:t xml:space="preserve">Although this was the study with the largest sample size evaluating this topic, it may have been underpowered to detect differences in cost-effectiveness. </w:t>
      </w:r>
      <w:r w:rsidRPr="00BE3BFE">
        <w:rPr>
          <w:rStyle w:val="Ninguno"/>
          <w:rFonts w:ascii="Times New Roman" w:hAnsi="Times New Roman" w:cs="Times New Roman"/>
          <w:lang w:val="en-GB"/>
        </w:rPr>
        <w:t>The naturalistic nature of the study implies the use of wide inclusion criteria, non-randomized group assignment and lack of blinding for physicians and participants and could have introduced bias.</w:t>
      </w:r>
      <w:r w:rsidR="00480840">
        <w:rPr>
          <w:rStyle w:val="Ninguno"/>
          <w:rFonts w:ascii="Times New Roman" w:hAnsi="Times New Roman" w:cs="Times New Roman"/>
          <w:lang w:val="en-GB"/>
        </w:rPr>
        <w:t xml:space="preserve"> I</w:t>
      </w:r>
      <w:r w:rsidRPr="00BE3BFE">
        <w:rPr>
          <w:rStyle w:val="Ninguno"/>
          <w:rFonts w:ascii="Times New Roman" w:hAnsi="Times New Roman" w:cs="Times New Roman"/>
          <w:lang w:val="en-GB"/>
        </w:rPr>
        <w:t xml:space="preserve">t </w:t>
      </w:r>
      <w:r w:rsidR="00480840">
        <w:rPr>
          <w:rStyle w:val="Ninguno"/>
          <w:rFonts w:ascii="Times New Roman" w:hAnsi="Times New Roman" w:cs="Times New Roman"/>
          <w:lang w:val="en-GB"/>
        </w:rPr>
        <w:t>seems</w:t>
      </w:r>
      <w:r w:rsidR="00480840" w:rsidRPr="00BE3BFE">
        <w:rPr>
          <w:rStyle w:val="Ninguno"/>
          <w:rFonts w:ascii="Times New Roman" w:hAnsi="Times New Roman" w:cs="Times New Roman"/>
          <w:lang w:val="en-GB"/>
        </w:rPr>
        <w:t xml:space="preserve"> </w:t>
      </w:r>
      <w:r w:rsidR="00480840">
        <w:rPr>
          <w:rStyle w:val="Ninguno"/>
          <w:rFonts w:ascii="Times New Roman" w:hAnsi="Times New Roman" w:cs="Times New Roman"/>
          <w:lang w:val="en-GB"/>
        </w:rPr>
        <w:t xml:space="preserve">likely </w:t>
      </w:r>
      <w:r w:rsidRPr="00BE3BFE">
        <w:rPr>
          <w:rStyle w:val="Ninguno"/>
          <w:rFonts w:ascii="Times New Roman" w:hAnsi="Times New Roman" w:cs="Times New Roman"/>
          <w:lang w:val="en-GB"/>
        </w:rPr>
        <w:t xml:space="preserve">that </w:t>
      </w:r>
      <w:r w:rsidR="00E63695">
        <w:rPr>
          <w:rStyle w:val="Ninguno"/>
          <w:rFonts w:ascii="Times New Roman" w:hAnsi="Times New Roman" w:cs="Times New Roman"/>
          <w:lang w:val="en-GB"/>
        </w:rPr>
        <w:t>GP</w:t>
      </w:r>
      <w:r w:rsidR="00480840">
        <w:rPr>
          <w:rStyle w:val="Ninguno"/>
          <w:rFonts w:ascii="Times New Roman" w:hAnsi="Times New Roman" w:cs="Times New Roman"/>
          <w:lang w:val="en-GB"/>
        </w:rPr>
        <w:t>s</w:t>
      </w:r>
      <w:r w:rsidRPr="00BE3BFE">
        <w:rPr>
          <w:rStyle w:val="Ninguno"/>
          <w:rFonts w:ascii="Times New Roman" w:hAnsi="Times New Roman" w:cs="Times New Roman"/>
          <w:lang w:val="en-GB"/>
        </w:rPr>
        <w:t xml:space="preserve"> will allocate patients presenting more severe symptoms to the</w:t>
      </w:r>
      <w:r w:rsidR="003D171B">
        <w:rPr>
          <w:rStyle w:val="Ninguno"/>
          <w:rFonts w:ascii="Times New Roman" w:hAnsi="Times New Roman" w:cs="Times New Roman"/>
          <w:lang w:val="en-GB"/>
        </w:rPr>
        <w:t xml:space="preserve"> antidepressants arm, giving it more opportunities for improvement</w:t>
      </w:r>
      <w:r w:rsidR="00480840">
        <w:rPr>
          <w:rStyle w:val="Ninguno"/>
          <w:rFonts w:ascii="Times New Roman" w:hAnsi="Times New Roman" w:cs="Times New Roman"/>
          <w:lang w:val="en-GB"/>
        </w:rPr>
        <w:t xml:space="preserve">. </w:t>
      </w:r>
      <w:r w:rsidR="00561288">
        <w:rPr>
          <w:rStyle w:val="Ninguno"/>
          <w:rFonts w:ascii="Times New Roman" w:hAnsi="Times New Roman" w:cs="Times New Roman"/>
          <w:lang w:val="en-GB"/>
        </w:rPr>
        <w:t>T</w:t>
      </w:r>
      <w:r w:rsidRPr="00BE3BFE">
        <w:rPr>
          <w:rStyle w:val="Ninguno"/>
          <w:rFonts w:ascii="Times New Roman" w:hAnsi="Times New Roman" w:cs="Times New Roman"/>
          <w:lang w:val="en-GB"/>
        </w:rPr>
        <w:t xml:space="preserve">here were no statistically significant differences in the sociodemographic or clinical characteristics between </w:t>
      </w:r>
      <w:r w:rsidR="00480840">
        <w:rPr>
          <w:rStyle w:val="Ninguno"/>
          <w:rFonts w:ascii="Times New Roman" w:hAnsi="Times New Roman" w:cs="Times New Roman"/>
          <w:lang w:val="en-GB"/>
        </w:rPr>
        <w:t>the two treatment arms</w:t>
      </w:r>
      <w:r w:rsidRPr="00BE3BFE">
        <w:rPr>
          <w:rStyle w:val="Ninguno"/>
          <w:rFonts w:ascii="Times New Roman" w:hAnsi="Times New Roman" w:cs="Times New Roman"/>
          <w:lang w:val="en-GB"/>
        </w:rPr>
        <w:t xml:space="preserve"> with the exception of the presence of panic disorder, which was more frequent in the </w:t>
      </w:r>
      <w:r w:rsidR="00B20112">
        <w:rPr>
          <w:rStyle w:val="Ninguno"/>
          <w:rFonts w:ascii="Times New Roman" w:hAnsi="Times New Roman" w:cs="Times New Roman"/>
          <w:lang w:val="en-GB"/>
        </w:rPr>
        <w:t>AM</w:t>
      </w:r>
      <w:r w:rsidRPr="00BE3BFE">
        <w:rPr>
          <w:rStyle w:val="Ninguno"/>
          <w:rFonts w:ascii="Times New Roman" w:hAnsi="Times New Roman" w:cs="Times New Roman"/>
          <w:lang w:val="en-GB"/>
        </w:rPr>
        <w:t xml:space="preserve"> group, </w:t>
      </w:r>
      <w:r w:rsidR="005D74AF">
        <w:rPr>
          <w:rStyle w:val="Ninguno"/>
          <w:rFonts w:ascii="Times New Roman" w:hAnsi="Times New Roman" w:cs="Times New Roman"/>
          <w:lang w:val="en-GB"/>
        </w:rPr>
        <w:t xml:space="preserve">which is likely </w:t>
      </w:r>
      <w:r w:rsidRPr="00BE3BFE">
        <w:rPr>
          <w:rStyle w:val="Ninguno"/>
          <w:rFonts w:ascii="Times New Roman" w:hAnsi="Times New Roman" w:cs="Times New Roman"/>
          <w:lang w:val="en-GB"/>
        </w:rPr>
        <w:t xml:space="preserve">a spurious result. </w:t>
      </w:r>
      <w:r w:rsidR="005D74AF">
        <w:rPr>
          <w:rStyle w:val="Ninguno"/>
          <w:rFonts w:ascii="Times New Roman" w:hAnsi="Times New Roman" w:cs="Times New Roman"/>
          <w:lang w:val="en-GB"/>
        </w:rPr>
        <w:t>Also, f</w:t>
      </w:r>
      <w:r w:rsidRPr="00BE3BFE">
        <w:rPr>
          <w:rStyle w:val="Ninguno"/>
          <w:rFonts w:ascii="Times New Roman" w:hAnsi="Times New Roman" w:cs="Times New Roman"/>
          <w:lang w:val="en-GB"/>
        </w:rPr>
        <w:t xml:space="preserve">actors determining the use of pharmacological or non-pharmacological interventions are likely to be related to patient preferences, </w:t>
      </w:r>
      <w:r w:rsidR="00E63695">
        <w:rPr>
          <w:rStyle w:val="Ninguno"/>
          <w:rFonts w:ascii="Times New Roman" w:hAnsi="Times New Roman" w:cs="Times New Roman"/>
          <w:lang w:val="en-GB"/>
        </w:rPr>
        <w:t>GP</w:t>
      </w:r>
      <w:r w:rsidRPr="00BE3BFE">
        <w:rPr>
          <w:rStyle w:val="Ninguno"/>
          <w:rFonts w:ascii="Times New Roman" w:hAnsi="Times New Roman" w:cs="Times New Roman"/>
          <w:lang w:val="en-GB"/>
        </w:rPr>
        <w:t>s’ habits and PC centre traditions (biomedical vs biopsychosocial models) and confidence in the use of antidepressants and/or brief psychological interventions. In order to reduce bias from the lack of randomization, propensity score techniques were used to balance groups. These techniques have previously been used in quasi-experimental studies and economic evaluations to limit the impact of non-randomization</w:t>
      </w:r>
      <w:r w:rsidR="006B7A9E">
        <w:rPr>
          <w:rStyle w:val="Ninguno"/>
          <w:rFonts w:ascii="Times New Roman" w:hAnsi="Times New Roman" w:cs="Times New Roman"/>
          <w:lang w:val="en-GB"/>
        </w:rPr>
        <w:t xml:space="preserve"> </w:t>
      </w:r>
      <w:r w:rsidR="00095EDF">
        <w:rPr>
          <w:rStyle w:val="Ninguno"/>
          <w:rFonts w:ascii="Times New Roman" w:hAnsi="Times New Roman" w:cs="Times New Roman"/>
          <w:lang w:val="en-GB"/>
        </w:rPr>
        <w:fldChar w:fldCharType="begin" w:fldLock="1"/>
      </w:r>
      <w:r w:rsidR="006B7A9E">
        <w:rPr>
          <w:rStyle w:val="Ninguno"/>
          <w:rFonts w:ascii="Times New Roman" w:hAnsi="Times New Roman" w:cs="Times New Roman"/>
          <w:lang w:val="en-GB"/>
        </w:rPr>
        <w:instrText>ADDIN CSL_CITATION { "citationItems" : [ { "id" : "ITEM-1", "itemData" : { "DOI" : "10.1111/add.13658", "ISSN" : "09652140", "author" : [ { "dropping-particle" : "", "family" : "Barbosa", "given" : "Carolina", "non-dropping-particle" : "", "parse-names" : false, "suffix" : "" }, { "dropping-particle" : "", "family" : "Cowell", "given" : "Alexander", "non-dropping-particle" : "", "parse-names" : false, "suffix" : "" }, { "dropping-particle" : "", "family" : "Dowd", "given" : "William", "non-dropping-particle" : "", "parse-names" : false, "suffix" : "" }, { "dropping-particle" : "", "family" : "Landwehr", "given" : "Justin", "non-dropping-particle" : "", "parse-names" : false, "suffix" : "" }, { "dropping-particle" : "", "family" : "Aldridge", "given" : "Arnie", "non-dropping-particle" : "", "parse-names" : false, "suffix" : "" }, { "dropping-particle" : "", "family" : "Bray", "given" : "Jeremy", "non-dropping-particle" : "", "parse-names" : false, "suffix" : "" } ], "container-title" : "Addiction", "id" : "ITEM-1", "issue" : "S2", "issued" : { "date-parts" : [ [ "2017", "2" ] ] }, "page" : "73-81", "title" : "The cost-effectiveness of brief intervention versus brief treatment of Screening, Brief Intervention and Referral to Treatment (SBIRT) in the United States", "type" : "article-journal", "volume" : "112" }, "uris" : [ "http://www.mendeley.com/documents/?uuid=8e9af1a6-c190-3660-b4bf-262ea7c898df" ] }, { "id" : "ITEM-2", "itemData" : { "DOI" : "10.1371/journal.pone.0160908", "ISSN" : "1932-6203", "PMID" : "27655234", "abstract" : "OBJECTIVES The objective of this article was to compare the costs and cost-effectiveness of the two most prominent types of case management in the Netherlands (intensive case management and linkage models) against no access to case management (control group) for people with already diagnosed dementia and their informal caregivers. METHODS The economic evaluation was conducted from a societal perspective embedded within a two year prospective, observational, controlled, cohort study with 521 informal caregivers and community-dwelling persons with dementia. Case management provided within one care organization (intensive case management model, ICMM), case management where care was provided by different care organizations within one region (Linkage model, LM), and a group with no access to case management (control) were compared. The economic evaluation related incremental costs to incremental effects regarding neuropsychiatric symptoms (NPI), psychological health of the informal caregiver (GHQ-12), and quality adjusted life years (QALY) of the person with dementia and informal caregiver. RESULTS Inverse-propensity-score-weighted models showed no significant differences in clinical or total cost outcomes between the three groups. Informal care costs were significantly lower in the ICMM group compared to both other groups. Day center costs were significantly lower in the ICMM group compared to the control group. For all outcomes, the probability that the ICMM was cost-effective in comparison with LM and the control group was larger than 0.97 at a threshold ratio of 0 \u20ac/incremental unit of effect. CONCLUSION This study provides preliminary evidence that the ICMM is cost-effective compared to the control group and the LM. However, the findings should be interpreted with caution since this study was not a randomized controlled trial.", "author" : [ { "dropping-particle" : "", "family" : "MacNeil Vroomen", "given" : "Janet", "non-dropping-particle" : "", "parse-names" : false, "suffix" : "" }, { "dropping-particle" : "", "family" : "Bosmans", "given" : "Judith E.", "non-dropping-particle" : "", "parse-names" : false, "suffix" : "" }, { "dropping-particle" : "", "family" : "Eekhout", "given" : "Iris", "non-dropping-particle" : "", "parse-names" : false, "suffix" : "" }, { "dropping-particle" : "", "family" : "Joling", "given" : "Karlijn J.", "non-dropping-particle" : "", "parse-names" : false, "suffix" : "" }, { "dropping-particle" : "", "family" : "Mierlo", "given" : "Lisa D.", "non-dropping-particle" : "van", "parse-names" : false, "suffix" : "" }, { "dropping-particle" : "", "family" : "Meiland", "given" : "Franka J. M.", "non-dropping-particle" : "", "parse-names" : false, "suffix" : "" }, { "dropping-particle" : "", "family" : "Hout", "given" : "Hein P. J.", "non-dropping-particle" : "van", "parse-names" : false, "suffix" : "" }, { "dropping-particle" : "", "family" : "Rooij", "given" : "Sophia E.", "non-dropping-particle" : "de", "parse-names" : false, "suffix" : "" } ], "container-title" : "PLOS ONE", "editor" : [ { "dropping-particle" : "", "family" : "Mihalopoulos", "given" : "Cathy", "non-dropping-particle" : "", "parse-names" : false, "suffix" : "" } ], "id" : "ITEM-2", "issue" : "9", "issued" : { "date-parts" : [ [ "2016", "9", "21" ] ] }, "page" : "e0160908", "title" : "The Cost-Effectiveness of Two Forms of Case Management Compared to a Control Group for Persons with Dementia and Their Informal Caregivers from a Societal Perspective", "type" : "article-journal", "volume" : "11" }, "uris" : [ "http://www.mendeley.com/documents/?uuid=572d077e-b665-3191-a3d7-1144142bf1b6" ] }, { "id" : "ITEM-3", "itemData" : { "DOI" : "10.1016/j.jad.2016.12.027", "ISSN" : "1573-2517", "PMID" : "28033519", "abstract" : "Chronic use (&gt;90 Days) of opioid analgesics significantly increases the risk of development of new depression episodes (NDE). It is unclear whether depression that develops in this manner is similar to or different from NDE in persons not exposed to opioid analgesic use (OAU). METHODS VA patients were classified into two groups, those who did not receive an opioid and developed depression (non-OAU+NDE, n=4314) and those that had &gt;90 days OAU and developed NDE (OAU+NDE, n=444). OAU+NDE patients were compared to non-OAU+NDE in terms of depression severity (PHQ-9 scores), incidence of PTSD, other anxiety disorders and substance use disorders after NDE, receipt of acute phase antidepressant treatment, dual antidepressant treatment, mood stabilizers and atypical antipsychotics. Prior to computing bivariate analysis, the prevalence of pain conditions and average maximum pain scores were equalized between the two groups using propensity scores and inverse probability of treatment weighting. RESULTS Controlling for pain, OAU+NDE patients had more depression symptoms (p=.012), more incident PTSD (p=.04) and opioid abuse/dependence and were more likely to receive 12 weeks of antidepressant treatment (p&lt;.0001). Last, non-OAU+NDE were more likely to have incident diagnoses for any other anxiety disorder (p=.014). CONCLUSIONS Within the limitations of electronic medical record data, results indicate OAU+NDE patients have more depression symptoms, greater treatment adherence and different comorbid psychiatric conditions compared to non-OAU+NDE, independent of pain. Overall OAU related depression is as severe as non-OAU related depression and repeated depression screening in chronic opioid therapy may be warranted for pain patients, regardless of pain severity.", "author" : [ { "dropping-particle" : "", "family" : "Scherrer", "given" : "Jeffrey F", "non-dropping-particle" : "", "parse-names" : false, "suffix" : "" }, { "dropping-particle" : "", "family" : "Salas", "given" : "Joanne", "non-dropping-particle" : "", "parse-names" : false, "suffix" : "" }, { "dropping-particle" : "", "family" : "Schneider", "given" : "F David", "non-dropping-particle" : "", "parse-names" : false, "suffix" : "" }, { "dropping-particle" : "", "family" : "Bucholz", "given" : "Kathleen K", "non-dropping-particle" : "", "parse-names" : false, "suffix" : "" }, { "dropping-particle" : "", "family" : "Sullivan", "given" : "Mark D", "non-dropping-particle" : "", "parse-names" : false, "suffix" : "" }, { "dropping-particle" : "", "family" : "Copeland", "given" : "Laurel A", "non-dropping-particle" : "", "parse-names" : false, "suffix" : "" }, { "dropping-particle" : "", "family" : "Ahmedani", "given" : "Brian K", "non-dropping-particle" : "", "parse-names" : false, "suffix" : "" }, { "dropping-particle" : "", "family" : "Burroughs", "given" : "Thomas", "non-dropping-particle" : "", "parse-names" : false, "suffix" : "" }, { "dropping-particle" : "", "family" : "Lustman", "given" : "Patrick J", "non-dropping-particle" : "", "parse-names" : false, "suffix" : "" } ], "container-title" : "Journal of affective disorders", "id" : "ITEM-3", "issued" : { "date-parts" : [ [ "2017", "3", "1" ] ] }, "page" : "125-129", "title" : "Characteristics of new depression diagnoses in patients with and without prior chronic opioid use.", "type" : "article-journal", "volume" : "210" }, "uris" : [ "http://www.mendeley.com/documents/?uuid=9ec08764-eb68-38de-81c8-ad7e33fb5d2e" ] }, { "id" : "ITEM-4", "itemData" : { "DOI" : "10.1016/j.jad.2015.08.072", "ISSN" : "01650327", "PMID" : "26433763", "abstract" : "BACKGROUND The efficacy of cognitive behavioral therapy (CBT) for the treatment of depressive disorders has been demonstrated in many randomized controlled trials (RCTs). This study investigated whether for CBT similar effects can be expected under routine care conditions when the patients are comparable to those examined in RCTs. METHOD N=574 CBT patients from an outpatient clinic were stepwise matched to the patients undergoing CBT in the National Institute of Mental Health Treatment of Depression Collaborative Research Program (TDCRP). First, the exclusion criteria of the RCT were applied to the naturalistic sample of the outpatient clinic. Second, propensity score matching (PSM) was used to adjust the remaining naturalistic sample on the basis of baseline covariate distributions. Matched samples were then compared regarding treatment effects using effect sizes, average treatment effect on the treated (ATT) and recovery rates. RESULTS CBT in the adjusted naturalistic subsample was as effective as in the RCT. However, treatments lasted significantly longer under routine care conditions. LIMITATIONS The samples included only a limited amount of common predictor variables and stemmed from different countries. There might be additional covariates, which could potentially further improve the matching between the samples. CONCLUSIONS CBT for depression in clinical practice might be equally effective as manual-based treatments in RCTs when they are applied to comparable patients. The fact that similar effects under routine conditions were reached with more sessions, however, points to the potential to optimize treatments in clinical practice with respect to their efficiency.", "author" : [ { "dropping-particle" : "", "family" : "Lutz", "given" : "Wolfgang", "non-dropping-particle" : "", "parse-names" : false, "suffix" : "" }, { "dropping-particle" : "", "family" : "Schiefele", "given" : "Anne-Katharina", "non-dropping-particle" : "", "parse-names" : false, "suffix" : "" }, { "dropping-particle" : "", "family" : "Wucherpfennig", "given" : "Felix", "non-dropping-particle" : "", "parse-names" : false, "suffix" : "" }, { "dropping-particle" : "", "family" : "Rubel", "given" : "Julian", "non-dropping-particle" : "", "parse-names" : false, "suffix" : "" }, { "dropping-particle" : "", "family" : "Stulz", "given" : "Niklaus", "non-dropping-particle" : "", "parse-names" : false, "suffix" : "" } ], "container-title" : "Journal of Affective Disorders", "id" : "ITEM-4", "issued" : { "date-parts" : [ [ "2016", "1", "1" ] ] }, "page" : "150-158", "title" : "Clinical effectiveness of cognitive behavioral therapy for depression in routine care: A propensity score based comparison between randomized controlled trials and clinical practice", "type" : "article-journal", "volume" : "189" }, "uris" : [ "http://www.mendeley.com/documents/?uuid=233b587b-cd22-3a1d-ba06-1dc8e51dc64b" ] } ], "mendeley" : { "formattedCitation" : "[34\u201337]", "plainTextFormattedCitation" : "[34\u201337]", "previouslyFormattedCitation" : "&lt;sup&gt;34\u201337&lt;/sup&gt;" }, "properties" : { "noteIndex" : 0 }, "schema" : "https://github.com/citation-style-language/schema/raw/master/csl-citation.json" }</w:instrText>
      </w:r>
      <w:r w:rsidR="00095EDF">
        <w:rPr>
          <w:rStyle w:val="Ninguno"/>
          <w:rFonts w:ascii="Times New Roman" w:hAnsi="Times New Roman" w:cs="Times New Roman"/>
          <w:lang w:val="en-GB"/>
        </w:rPr>
        <w:fldChar w:fldCharType="separate"/>
      </w:r>
      <w:r w:rsidR="006B7A9E" w:rsidRPr="006B7A9E">
        <w:rPr>
          <w:rStyle w:val="Ninguno"/>
          <w:rFonts w:ascii="Times New Roman" w:hAnsi="Times New Roman" w:cs="Times New Roman"/>
          <w:noProof/>
          <w:lang w:val="en-GB"/>
        </w:rPr>
        <w:t>[34–37]</w:t>
      </w:r>
      <w:r w:rsidR="00095EDF">
        <w:rPr>
          <w:rStyle w:val="Ninguno"/>
          <w:rFonts w:ascii="Times New Roman" w:hAnsi="Times New Roman" w:cs="Times New Roman"/>
          <w:lang w:val="en-GB"/>
        </w:rPr>
        <w:fldChar w:fldCharType="end"/>
      </w:r>
      <w:r w:rsidR="006B7A9E">
        <w:rPr>
          <w:rStyle w:val="Ninguno"/>
          <w:rFonts w:ascii="Times New Roman" w:hAnsi="Times New Roman" w:cs="Times New Roman"/>
          <w:lang w:val="en-GB"/>
        </w:rPr>
        <w:t>.</w:t>
      </w:r>
      <w:r w:rsidR="00561288">
        <w:rPr>
          <w:rStyle w:val="Ninguno"/>
          <w:rFonts w:ascii="Times New Roman" w:hAnsi="Times New Roman" w:cs="Times New Roman"/>
          <w:lang w:val="en-GB"/>
        </w:rPr>
        <w:t xml:space="preserve"> However, </w:t>
      </w:r>
      <w:r w:rsidR="00F95897">
        <w:rPr>
          <w:rStyle w:val="Ninguno"/>
          <w:rFonts w:ascii="Times New Roman" w:hAnsi="Times New Roman" w:cs="Times New Roman"/>
          <w:lang w:val="en-GB"/>
        </w:rPr>
        <w:t xml:space="preserve">it is possible that observed differences are due to unmeasured confounders. This is a particular issue in this case since the differences in costs and effects are small so it would only take a small confounding effect to alter the results. </w:t>
      </w:r>
    </w:p>
    <w:p w14:paraId="0E84A5B2" w14:textId="4A899F7F" w:rsidR="00BE3BFE" w:rsidRPr="00BE3BFE" w:rsidRDefault="00F76044" w:rsidP="00BE3BFE">
      <w:pPr>
        <w:spacing w:line="480" w:lineRule="auto"/>
        <w:jc w:val="both"/>
        <w:rPr>
          <w:rStyle w:val="Ninguno"/>
          <w:rFonts w:ascii="Times New Roman" w:hAnsi="Times New Roman" w:cs="Times New Roman"/>
          <w:u w:color="0070C0"/>
          <w:lang w:val="en-GB"/>
        </w:rPr>
      </w:pPr>
      <w:r>
        <w:rPr>
          <w:rStyle w:val="Ninguno"/>
          <w:rFonts w:ascii="Times New Roman" w:hAnsi="Times New Roman" w:cs="Times New Roman"/>
          <w:lang w:val="en-GB"/>
        </w:rPr>
        <w:lastRenderedPageBreak/>
        <w:t>Participants reported that GP</w:t>
      </w:r>
      <w:r w:rsidRPr="00BE3BFE">
        <w:rPr>
          <w:rStyle w:val="Ninguno"/>
          <w:rFonts w:ascii="Times New Roman" w:hAnsi="Times New Roman" w:cs="Times New Roman"/>
          <w:lang w:val="en-GB"/>
        </w:rPr>
        <w:t>s</w:t>
      </w:r>
      <w:r>
        <w:rPr>
          <w:rStyle w:val="Ninguno"/>
          <w:rFonts w:ascii="Times New Roman" w:hAnsi="Times New Roman" w:cs="Times New Roman"/>
          <w:lang w:val="en-GB"/>
        </w:rPr>
        <w:t xml:space="preserve"> applied</w:t>
      </w:r>
      <w:r w:rsidRPr="00BE3BFE">
        <w:rPr>
          <w:rStyle w:val="Ninguno"/>
          <w:rFonts w:ascii="Times New Roman" w:hAnsi="Times New Roman" w:cs="Times New Roman"/>
          <w:lang w:val="en-GB"/>
        </w:rPr>
        <w:t xml:space="preserve"> </w:t>
      </w:r>
      <w:r w:rsidR="00BE3BFE" w:rsidRPr="00BE3BFE">
        <w:rPr>
          <w:rStyle w:val="Ninguno"/>
          <w:rFonts w:ascii="Times New Roman" w:hAnsi="Times New Roman" w:cs="Times New Roman"/>
          <w:lang w:val="en-GB"/>
        </w:rPr>
        <w:t xml:space="preserve">very few interventions by in relation to the depressive episode. Around 50% of participants reported receiving active listening but among the interventions recommended by the CPG, the only differences between groups were for </w:t>
      </w:r>
      <w:r w:rsidR="00F9097B">
        <w:rPr>
          <w:rStyle w:val="Ninguno"/>
          <w:rFonts w:ascii="Times New Roman" w:hAnsi="Times New Roman" w:cs="Times New Roman"/>
          <w:lang w:val="en-GB"/>
        </w:rPr>
        <w:t>PST</w:t>
      </w:r>
      <w:r w:rsidR="00BE3BFE" w:rsidRPr="00BE3BFE">
        <w:rPr>
          <w:rStyle w:val="Ninguno"/>
          <w:rFonts w:ascii="Times New Roman" w:hAnsi="Times New Roman" w:cs="Times New Roman"/>
          <w:lang w:val="en-GB"/>
        </w:rPr>
        <w:t xml:space="preserve"> and only 15% of patients had received it in the </w:t>
      </w:r>
      <w:r w:rsidR="00B20112">
        <w:rPr>
          <w:rStyle w:val="Ninguno"/>
          <w:rFonts w:ascii="Times New Roman" w:hAnsi="Times New Roman" w:cs="Times New Roman"/>
          <w:lang w:val="en-GB"/>
        </w:rPr>
        <w:t>AM</w:t>
      </w:r>
      <w:r w:rsidR="00BE3BFE" w:rsidRPr="00BE3BFE">
        <w:rPr>
          <w:rStyle w:val="Ninguno"/>
          <w:rFonts w:ascii="Times New Roman" w:hAnsi="Times New Roman" w:cs="Times New Roman"/>
          <w:lang w:val="en-GB"/>
        </w:rPr>
        <w:t xml:space="preserve"> group. Memory bias could partially explain these low rates of interventions reported. To guarantee naturalistic conditions in the present study, </w:t>
      </w:r>
      <w:r w:rsidR="00E63695">
        <w:rPr>
          <w:rStyle w:val="Ninguno"/>
          <w:rFonts w:ascii="Times New Roman" w:hAnsi="Times New Roman" w:cs="Times New Roman"/>
          <w:lang w:val="en-GB"/>
        </w:rPr>
        <w:t>GP</w:t>
      </w:r>
      <w:r w:rsidR="00BE3BFE" w:rsidRPr="00BE3BFE">
        <w:rPr>
          <w:rStyle w:val="Ninguno"/>
          <w:rFonts w:ascii="Times New Roman" w:hAnsi="Times New Roman" w:cs="Times New Roman"/>
          <w:lang w:val="en-GB"/>
        </w:rPr>
        <w:t xml:space="preserve">s received brief training on </w:t>
      </w:r>
      <w:r w:rsidR="00B20112">
        <w:rPr>
          <w:rStyle w:val="Ninguno"/>
          <w:rFonts w:ascii="Times New Roman" w:hAnsi="Times New Roman" w:cs="Times New Roman"/>
          <w:lang w:val="en-GB"/>
        </w:rPr>
        <w:t>AM</w:t>
      </w:r>
      <w:r w:rsidR="00BE3BFE" w:rsidRPr="00BE3BFE">
        <w:rPr>
          <w:rStyle w:val="Ninguno"/>
          <w:rFonts w:ascii="Times New Roman" w:hAnsi="Times New Roman" w:cs="Times New Roman"/>
          <w:lang w:val="en-GB"/>
        </w:rPr>
        <w:t xml:space="preserve"> principles but no strict intervention protocol was used. Furthermore, non-adherence to antidepressants and </w:t>
      </w:r>
      <w:r w:rsidR="00B20112">
        <w:rPr>
          <w:rStyle w:val="Ninguno"/>
          <w:rFonts w:ascii="Times New Roman" w:hAnsi="Times New Roman" w:cs="Times New Roman"/>
          <w:lang w:val="en-GB"/>
        </w:rPr>
        <w:t>AM</w:t>
      </w:r>
      <w:r w:rsidR="00BE3BFE" w:rsidRPr="00BE3BFE">
        <w:rPr>
          <w:rStyle w:val="Ninguno"/>
          <w:rFonts w:ascii="Times New Roman" w:hAnsi="Times New Roman" w:cs="Times New Roman"/>
          <w:lang w:val="en-GB"/>
        </w:rPr>
        <w:t xml:space="preserve"> could also reduce its effectiveness on the antidepressants group</w:t>
      </w:r>
      <w:r w:rsidR="006B7A9E">
        <w:rPr>
          <w:rStyle w:val="Ninguno"/>
          <w:rFonts w:ascii="Times New Roman" w:hAnsi="Times New Roman" w:cs="Times New Roman"/>
          <w:lang w:val="en-GB"/>
        </w:rPr>
        <w:t xml:space="preserve"> </w:t>
      </w:r>
      <w:r w:rsidR="00095EDF">
        <w:rPr>
          <w:rStyle w:val="Ninguno"/>
          <w:rFonts w:ascii="Times New Roman" w:hAnsi="Times New Roman" w:cs="Times New Roman"/>
          <w:lang w:val="en-GB"/>
        </w:rPr>
        <w:fldChar w:fldCharType="begin" w:fldLock="1"/>
      </w:r>
      <w:r w:rsidR="006B7A9E">
        <w:rPr>
          <w:rStyle w:val="Ninguno"/>
          <w:rFonts w:ascii="Times New Roman" w:hAnsi="Times New Roman" w:cs="Times New Roman"/>
          <w:lang w:val="en-GB"/>
        </w:rPr>
        <w:instrText>ADDIN CSL_CITATION { "citationItems" : [ { "id" : "ITEM-1", "itemData" : { "DOI" : "10.1016/j.jad.2016.05.035", "ISSN" : "01650327", "PMID" : "27262636", "abstract" : "BACKGROUND Primary health care bears the main responsibility for treating depression in most countries. However, few studies have comprehensively investigated provision of pharmacological and psychosocial treatments, their continuity, or patient attitudes and adherence to treatment in primary care. METHODS In the Vantaa Primary Care Depression Study, 1111 consecutive primary care patients in the City of Vantaa, Finland, were screened for depression with Prime-MD, and 137 were diagnosed with DSM-IV depressive disorders via SCID-I/P and SCID-II interviews. The 100 patients with current major depressive disorder (MDD) or partly remitted MDD at baseline were prospectively followed up to 18 months, and their treatment contacts and the treatments provided were longitudinally followed. RESULTS The median number of patients' visits to a general practitioner during the follow-up was five; of those due to depression two. Antidepressant treatment was offered to 82% of patients, but only 50% commenced treatment and adhered to it adequately. Psychosocial support was offered to 49%, but only 29% adhered to the highly variable interventions. Attributed reasons for poor adherence varied, including negative attitude, side effects, practical obstacles, or no perceived need. About one-quarter (23%) of patients were referred to specialized care at some time-point. LIMITATIONS Moderate sample size. Data collected in 2002-2004. CONCLUSIONS The majority of depressive patients in primary health care had been offered pharmacotherapy, psychotherapeutic support, or both. However, effectiveness of these efforts may have been limited by lack of systematic follow-up and poor adherence to both pharmacotherapy and psychosocial treatment.", "author" : [ { "dropping-particle" : "", "family" : "Vuorilehto", "given" : "Maria S.", "non-dropping-particle" : "", "parse-names" : false, "suffix" : "" }, { "dropping-particle" : "", "family" : "Melartin", "given" : "Tarja K.", "non-dropping-particle" : "", "parse-names" : false, "suffix" : "" }, { "dropping-particle" : "", "family" : "Riihim\u00e4ki", "given" : "Kirsi", "non-dropping-particle" : "", "parse-names" : false, "suffix" : "" }, { "dropping-particle" : "", "family" : "Isomets\u00e4", "given" : "Erkki T.", "non-dropping-particle" : "", "parse-names" : false, "suffix" : "" } ], "container-title" : "Journal of Affective Disorders", "id" : "ITEM-1", "issued" : { "date-parts" : [ [ "2016", "9", "15" ] ] }, "page" : "145-152", "title" : "Pharmacological and psychosocial treatment of depression in primary care: Low intensity and poor adherence and continuity", "type" : "article-journal", "volume" : "202" }, "uris" : [ "http://www.mendeley.com/documents/?uuid=59f40644-7aff-33c3-a768-2ea819a35f75" ] }, { "id" : "ITEM-2", "itemData" : { "DOI" : "10.1016/j.euroneuro.2012.11.006", "ISSN" : "1873-7862", "PMID" : "23219937", "abstract" : "Major depression is associated with high burden, disability and costs. Non-adherence limits the effectiveness of antidepressants. Community pharmacists (CP) are in a privileged position to help patients cope with antidepressant treatment. The aim of the study was to evaluate the impact of a CP intervention on primary care patients who had initiated antidepressant treatment. Newly diagnosed primary care patients were randomised to usual care (UC) (92) or pharmacist intervention (87). Patients were followed up at 6 months and evaluated three times (Baseline, and at 3 and 6 months). Outcome measurements included clinical severity of depression (PHQ-9), health-related quality of life (HRQOL) (Euroqol-5D) and satisfaction with pharmacy care. Adherence was continuously registered from the computerised pharmacy records. Non-adherence was defined as refilling less than 80% of doses or having a medication-free gap of more than 1 month. Patients in the intervention group were more likely to remain adherent at 3 and 6 months follow-up but the difference was not statistically significant. Patients in the intervention group showed greater statistically significant improvement in HRQOL compared with UC patients both in the main analysis and PP analyses. No statistically significant differences were observed in clinical symptoms or satisfaction with the pharmacy service. The results of our study indicate that a brief intervention in community pharmacies does not improve depressed patients' adherence or clinical symptoms. This intervention helped patients to improve their HRQOL, which is an overall measure of patient status.", "author" : [ { "dropping-particle" : "", "family" : "Rubio-Valera", "given" : "Maria", "non-dropping-particle" : "", "parse-names" : false, "suffix" : "" }, { "dropping-particle" : "", "family" : "March Pujol", "given" : "Marian", "non-dropping-particle" : "", "parse-names" : false, "suffix" : "" }, { "dropping-particle" : "", "family" : "Fern\u00e1ndez", "given" : "Ana", "non-dropping-particle" : "", "parse-names" : false, "suffix" : "" }, { "dropping-particle" : "", "family" : "Pe\u00f1arrubia-Mar\u00eda", "given" : "M Teresa", "non-dropping-particle" : "", "parse-names" : false, "suffix" : "" }, { "dropping-particle" : "", "family" : "Trav\u00e9", "given" : "Pere", "non-dropping-particle" : "", "parse-names" : false, "suffix" : "" }, { "dropping-particle" : "", "family" : "L\u00f3pez Del Hoyo", "given" : "Yolanda", "non-dropping-particle" : "", "parse-names" : false, "suffix" : "" }, { "dropping-particle" : "", "family" : "Serrano-Blanco", "given" : "Antoni", "non-dropping-particle" : "", "parse-names" : false, "suffix" : "" } ], "container-title" : "European neuropsychopharmacology : the journal of the European College of Neuropsychopharmacology", "id" : "ITEM-2", "issue" : "9", "issued" : { "date-parts" : [ [ "2013", "10" ] ] }, "page" : "1057-66", "title" : "Evaluation of a pharmacist intervention on patients initiating pharmacological treatment for depression: a randomized controlled superiority trial.", "type" : "article-journal", "volume" : "23" }, "uris" : [ "http://www.mendeley.com/documents/?uuid=1094883b-c038-4941-b4e2-650d48edc5e5" ] } ], "mendeley" : { "formattedCitation" : "[38, 39]", "plainTextFormattedCitation" : "[38, 39]", "previouslyFormattedCitation" : "&lt;sup&gt;38,39&lt;/sup&gt;" }, "properties" : { "noteIndex" : 0 }, "schema" : "https://github.com/citation-style-language/schema/raw/master/csl-citation.json" }</w:instrText>
      </w:r>
      <w:r w:rsidR="00095EDF">
        <w:rPr>
          <w:rStyle w:val="Ninguno"/>
          <w:rFonts w:ascii="Times New Roman" w:hAnsi="Times New Roman" w:cs="Times New Roman"/>
          <w:lang w:val="en-GB"/>
        </w:rPr>
        <w:fldChar w:fldCharType="separate"/>
      </w:r>
      <w:r w:rsidR="006B7A9E" w:rsidRPr="006B7A9E">
        <w:rPr>
          <w:rStyle w:val="Ninguno"/>
          <w:rFonts w:ascii="Times New Roman" w:hAnsi="Times New Roman" w:cs="Times New Roman"/>
          <w:noProof/>
          <w:lang w:val="en-GB"/>
        </w:rPr>
        <w:t>[38, 39]</w:t>
      </w:r>
      <w:r w:rsidR="00095EDF">
        <w:rPr>
          <w:rStyle w:val="Ninguno"/>
          <w:rFonts w:ascii="Times New Roman" w:hAnsi="Times New Roman" w:cs="Times New Roman"/>
          <w:lang w:val="en-GB"/>
        </w:rPr>
        <w:fldChar w:fldCharType="end"/>
      </w:r>
      <w:r w:rsidR="006B7A9E">
        <w:rPr>
          <w:rStyle w:val="Ninguno"/>
          <w:rFonts w:ascii="Times New Roman" w:hAnsi="Times New Roman" w:cs="Times New Roman"/>
          <w:lang w:val="en-GB"/>
        </w:rPr>
        <w:t>.</w:t>
      </w:r>
      <w:r w:rsidR="00BE3BFE" w:rsidRPr="00BE3BFE">
        <w:rPr>
          <w:rStyle w:val="Ninguno"/>
          <w:rFonts w:ascii="Times New Roman" w:hAnsi="Times New Roman" w:cs="Times New Roman"/>
          <w:lang w:val="en-GB"/>
        </w:rPr>
        <w:t xml:space="preserve"> A sensitivity analysis using a </w:t>
      </w:r>
      <w:r>
        <w:rPr>
          <w:rStyle w:val="Ninguno"/>
          <w:rFonts w:ascii="Times New Roman" w:hAnsi="Times New Roman" w:cs="Times New Roman"/>
          <w:lang w:val="en-GB"/>
        </w:rPr>
        <w:t>PP</w:t>
      </w:r>
      <w:r w:rsidR="00BE3BFE" w:rsidRPr="00BE3BFE">
        <w:rPr>
          <w:rStyle w:val="Ninguno"/>
          <w:rFonts w:ascii="Times New Roman" w:hAnsi="Times New Roman" w:cs="Times New Roman"/>
          <w:lang w:val="en-GB"/>
        </w:rPr>
        <w:t xml:space="preserve"> analytical strategy was performed to determine the impact of adherence to the protocol in both the </w:t>
      </w:r>
      <w:r w:rsidR="00B20112">
        <w:rPr>
          <w:rStyle w:val="Ninguno"/>
          <w:rFonts w:ascii="Times New Roman" w:hAnsi="Times New Roman" w:cs="Times New Roman"/>
          <w:lang w:val="en-GB"/>
        </w:rPr>
        <w:t>AM</w:t>
      </w:r>
      <w:r w:rsidR="00BE3BFE" w:rsidRPr="00BE3BFE">
        <w:rPr>
          <w:rStyle w:val="Ninguno"/>
          <w:rFonts w:ascii="Times New Roman" w:hAnsi="Times New Roman" w:cs="Times New Roman"/>
          <w:lang w:val="en-GB"/>
        </w:rPr>
        <w:t xml:space="preserve"> and antidepressants  groups.</w:t>
      </w:r>
    </w:p>
    <w:p w14:paraId="11D564ED" w14:textId="77C5CB21" w:rsidR="00BE3BFE" w:rsidRDefault="00BE3BFE" w:rsidP="00BE3BFE">
      <w:pPr>
        <w:spacing w:line="480" w:lineRule="auto"/>
        <w:jc w:val="both"/>
        <w:rPr>
          <w:rStyle w:val="Ninguno"/>
          <w:rFonts w:ascii="Times New Roman" w:hAnsi="Times New Roman" w:cs="Times New Roman"/>
          <w:u w:color="0070C0"/>
          <w:lang w:val="en-GB"/>
        </w:rPr>
      </w:pPr>
      <w:r w:rsidRPr="00BE3BFE">
        <w:rPr>
          <w:rStyle w:val="Ninguno"/>
          <w:rFonts w:ascii="Times New Roman" w:hAnsi="Times New Roman" w:cs="Times New Roman"/>
          <w:u w:color="0070C0"/>
          <w:lang w:val="en-GB"/>
        </w:rPr>
        <w:t>Almost 26% of participants were lost to follow-up. To minimize this, we used multiple imputation techniques and also cond</w:t>
      </w:r>
      <w:r w:rsidR="00F76044">
        <w:rPr>
          <w:rStyle w:val="Ninguno"/>
          <w:rFonts w:ascii="Times New Roman" w:hAnsi="Times New Roman" w:cs="Times New Roman"/>
          <w:u w:color="0070C0"/>
          <w:lang w:val="en-GB"/>
        </w:rPr>
        <w:t>ucted a complete case analysis.</w:t>
      </w:r>
    </w:p>
    <w:p w14:paraId="1FE959BF" w14:textId="77777777" w:rsidR="008F6976" w:rsidRPr="008F6976" w:rsidRDefault="00E91738" w:rsidP="001D2EDC">
      <w:pPr>
        <w:pStyle w:val="Heading1"/>
        <w:rPr>
          <w:rStyle w:val="Ninguno"/>
          <w:rFonts w:ascii="Times New Roman" w:eastAsiaTheme="minorHAnsi" w:hAnsi="Times New Roman"/>
          <w:b w:val="0"/>
          <w:bCs w:val="0"/>
          <w:sz w:val="22"/>
          <w:szCs w:val="22"/>
          <w:u w:color="0070C0"/>
          <w:lang w:val="en-GB"/>
        </w:rPr>
      </w:pPr>
      <w:r w:rsidRPr="008F6976">
        <w:rPr>
          <w:rStyle w:val="Ninguno"/>
          <w:rFonts w:ascii="Times New Roman" w:eastAsiaTheme="minorHAnsi" w:hAnsi="Times New Roman"/>
          <w:b w:val="0"/>
          <w:bCs w:val="0"/>
          <w:sz w:val="22"/>
          <w:szCs w:val="22"/>
          <w:u w:color="0070C0"/>
          <w:lang w:val="en-GB"/>
        </w:rPr>
        <w:t>The results of this study indicate that adherence to active monitoring is low. Future research should explore the barriers that primary care physicians encounter when trying to conduct active monitoring, taking into account also the patient perspective. The results of these studies would be useful to design strategies to enhance adherence to active monitoring recommendations, improving their effectiveness and their efficiency in the clinical practice. Furthermore, the cost-effectiveness of AM in comparison with antidepressants should be evaluated in patients with different psychiatric diagnosis. The problem of adequate diagnosis of depression in PC not only affects AM. Strategies to improve the adequacy of diagnosis and treatment of depression in PC should be developed and implemented and their impact on the efficiency of AM should be evaluated.</w:t>
      </w:r>
    </w:p>
    <w:p w14:paraId="428D8D1C" w14:textId="5624BC8B" w:rsidR="00BE3BFE" w:rsidRPr="00E4598C" w:rsidRDefault="00BE3BFE" w:rsidP="001D2EDC">
      <w:pPr>
        <w:pStyle w:val="Heading1"/>
        <w:rPr>
          <w:rFonts w:ascii="Times New Roman" w:hAnsi="Times New Roman"/>
          <w:lang w:val="en-US"/>
        </w:rPr>
      </w:pPr>
      <w:r w:rsidRPr="00E4598C">
        <w:rPr>
          <w:rFonts w:ascii="Times New Roman" w:hAnsi="Times New Roman"/>
          <w:lang w:val="en-US"/>
        </w:rPr>
        <w:t>Conclusions</w:t>
      </w:r>
    </w:p>
    <w:p w14:paraId="2BEFDACC" w14:textId="00429F12" w:rsidR="005413E9" w:rsidRPr="003D171B" w:rsidRDefault="00BE3BFE" w:rsidP="003D171B">
      <w:pPr>
        <w:spacing w:line="480" w:lineRule="auto"/>
        <w:jc w:val="both"/>
        <w:rPr>
          <w:rFonts w:ascii="Times New Roman" w:hAnsi="Times New Roman" w:cs="Times New Roman"/>
          <w:u w:color="0070C0"/>
          <w:lang w:val="en-GB"/>
        </w:rPr>
      </w:pPr>
      <w:r w:rsidRPr="00FF2EB7">
        <w:rPr>
          <w:rStyle w:val="Ninguno"/>
          <w:rFonts w:ascii="Times New Roman" w:hAnsi="Times New Roman" w:cs="Times New Roman"/>
          <w:u w:color="0070C0"/>
          <w:lang w:val="en-GB"/>
        </w:rPr>
        <w:t>There is not enough information available to conclude</w:t>
      </w:r>
      <w:r w:rsidRPr="00FF2EB7" w:rsidDel="006E3284">
        <w:rPr>
          <w:rStyle w:val="Ninguno"/>
          <w:rFonts w:ascii="Times New Roman" w:hAnsi="Times New Roman" w:cs="Times New Roman"/>
          <w:u w:color="0070C0"/>
          <w:lang w:val="en-GB"/>
        </w:rPr>
        <w:t xml:space="preserve"> </w:t>
      </w:r>
      <w:r w:rsidRPr="0000273D">
        <w:rPr>
          <w:rStyle w:val="Ninguno"/>
          <w:rFonts w:ascii="Times New Roman" w:hAnsi="Times New Roman" w:cs="Times New Roman"/>
          <w:u w:color="0070C0"/>
          <w:lang w:val="en-GB"/>
        </w:rPr>
        <w:t xml:space="preserve">that </w:t>
      </w:r>
      <w:r w:rsidR="00B20112">
        <w:rPr>
          <w:rStyle w:val="Ninguno"/>
          <w:rFonts w:ascii="Times New Roman" w:hAnsi="Times New Roman" w:cs="Times New Roman"/>
          <w:u w:color="0070C0"/>
          <w:lang w:val="en-GB"/>
        </w:rPr>
        <w:t>AM</w:t>
      </w:r>
      <w:r w:rsidRPr="0000273D">
        <w:rPr>
          <w:rStyle w:val="Ninguno"/>
          <w:rFonts w:ascii="Times New Roman" w:hAnsi="Times New Roman" w:cs="Times New Roman"/>
          <w:u w:color="0070C0"/>
          <w:lang w:val="en-GB"/>
        </w:rPr>
        <w:t xml:space="preserve"> in mild-moderate MDD is a feasible and cost-effective alternative to pharmacological interventions in current PC practice. On the contrary,</w:t>
      </w:r>
      <w:r w:rsidR="0021718D">
        <w:rPr>
          <w:rStyle w:val="Ninguno"/>
          <w:rFonts w:ascii="Times New Roman" w:hAnsi="Times New Roman" w:cs="Times New Roman"/>
          <w:u w:color="0070C0"/>
          <w:lang w:val="en-GB"/>
        </w:rPr>
        <w:t xml:space="preserve"> up to 12-months follow-up,</w:t>
      </w:r>
      <w:r w:rsidRPr="0000273D">
        <w:rPr>
          <w:rStyle w:val="Ninguno"/>
          <w:rFonts w:ascii="Times New Roman" w:hAnsi="Times New Roman" w:cs="Times New Roman"/>
          <w:u w:color="0070C0"/>
          <w:lang w:val="en-GB"/>
        </w:rPr>
        <w:t xml:space="preserve"> it seems that incremental cost-utility ratios favor pharmacological treatment as a first-line approach to improve quality of life in these patients. Due </w:t>
      </w:r>
      <w:r w:rsidRPr="0000273D">
        <w:rPr>
          <w:rStyle w:val="Ninguno"/>
          <w:rFonts w:ascii="Times New Roman" w:hAnsi="Times New Roman" w:cs="Times New Roman"/>
          <w:u w:color="0070C0"/>
          <w:lang w:val="en-GB"/>
        </w:rPr>
        <w:lastRenderedPageBreak/>
        <w:t xml:space="preserve">to the high prevalence of the disease and the impairment generated by it, which is a great burden on the PC setting, efforts should be directed to </w:t>
      </w:r>
      <w:r w:rsidR="002438AF">
        <w:rPr>
          <w:rStyle w:val="Ninguno"/>
          <w:rFonts w:ascii="Times New Roman" w:hAnsi="Times New Roman" w:cs="Times New Roman"/>
          <w:u w:color="0070C0"/>
          <w:lang w:val="en-GB"/>
        </w:rPr>
        <w:t xml:space="preserve">train </w:t>
      </w:r>
      <w:r w:rsidR="00E63695">
        <w:rPr>
          <w:rStyle w:val="Ninguno"/>
          <w:rFonts w:ascii="Times New Roman" w:hAnsi="Times New Roman" w:cs="Times New Roman"/>
          <w:u w:color="0070C0"/>
          <w:lang w:val="en-GB"/>
        </w:rPr>
        <w:t>GP</w:t>
      </w:r>
      <w:r w:rsidR="002438AF">
        <w:rPr>
          <w:rStyle w:val="Ninguno"/>
          <w:rFonts w:ascii="Times New Roman" w:hAnsi="Times New Roman" w:cs="Times New Roman"/>
          <w:u w:color="0070C0"/>
          <w:lang w:val="en-GB"/>
        </w:rPr>
        <w:t xml:space="preserve"> in </w:t>
      </w:r>
      <w:r w:rsidRPr="0000273D">
        <w:rPr>
          <w:rStyle w:val="Ninguno"/>
          <w:rFonts w:ascii="Times New Roman" w:hAnsi="Times New Roman" w:cs="Times New Roman"/>
          <w:u w:color="0070C0"/>
          <w:lang w:val="en-GB"/>
        </w:rPr>
        <w:t>effective and efficient intervention</w:t>
      </w:r>
      <w:r w:rsidR="002438AF">
        <w:rPr>
          <w:rStyle w:val="Ninguno"/>
          <w:rFonts w:ascii="Times New Roman" w:hAnsi="Times New Roman" w:cs="Times New Roman"/>
          <w:u w:color="0070C0"/>
          <w:lang w:val="en-GB"/>
        </w:rPr>
        <w:t>s</w:t>
      </w:r>
      <w:r w:rsidRPr="0000273D">
        <w:rPr>
          <w:rStyle w:val="Ninguno"/>
          <w:rFonts w:ascii="Times New Roman" w:hAnsi="Times New Roman" w:cs="Times New Roman"/>
          <w:u w:color="0070C0"/>
          <w:lang w:val="en-GB"/>
        </w:rPr>
        <w:t>. In view of the results of this and previous studies, CPGs should review the recommendations for mild-moderate major depression so that they reflect available resources in PC while more research is carried out with larger sample sizes and longer follow-up periods</w:t>
      </w:r>
      <w:r w:rsidR="003D171B">
        <w:rPr>
          <w:rStyle w:val="Ninguno"/>
          <w:rFonts w:ascii="Times New Roman" w:hAnsi="Times New Roman" w:cs="Times New Roman"/>
          <w:u w:color="0070C0"/>
          <w:lang w:val="en-GB"/>
        </w:rPr>
        <w:t xml:space="preserve"> and in different countries and contexts</w:t>
      </w:r>
      <w:r w:rsidRPr="0000273D">
        <w:rPr>
          <w:rStyle w:val="Ninguno"/>
          <w:rFonts w:ascii="Times New Roman" w:hAnsi="Times New Roman" w:cs="Times New Roman"/>
          <w:u w:color="0070C0"/>
          <w:lang w:val="en-GB"/>
        </w:rPr>
        <w:t>.</w:t>
      </w:r>
      <w:r w:rsidR="005413E9" w:rsidRPr="00BE3BFE">
        <w:rPr>
          <w:rFonts w:ascii="Times New Roman" w:hAnsi="Times New Roman" w:cs="Times New Roman"/>
          <w:lang w:val="en-GB"/>
        </w:rPr>
        <w:br w:type="page"/>
      </w:r>
    </w:p>
    <w:p w14:paraId="2355E6D0" w14:textId="77777777" w:rsidR="003A6CD4" w:rsidRDefault="003A6CD4" w:rsidP="003A6CD4">
      <w:pPr>
        <w:pStyle w:val="Heading1"/>
        <w:rPr>
          <w:rFonts w:ascii="Times New Roman" w:hAnsi="Times New Roman"/>
          <w:lang w:val="en-US"/>
        </w:rPr>
      </w:pPr>
      <w:r w:rsidRPr="003A6CD4">
        <w:rPr>
          <w:rFonts w:ascii="Times New Roman" w:hAnsi="Times New Roman"/>
          <w:lang w:val="en-US"/>
        </w:rPr>
        <w:lastRenderedPageBreak/>
        <w:t>References</w:t>
      </w:r>
    </w:p>
    <w:p w14:paraId="4A3E6547" w14:textId="2C014309" w:rsidR="006B7A9E" w:rsidRPr="006B7A9E" w:rsidRDefault="00183964" w:rsidP="006B7A9E">
      <w:pPr>
        <w:widowControl w:val="0"/>
        <w:autoSpaceDE w:val="0"/>
        <w:autoSpaceDN w:val="0"/>
        <w:adjustRightInd w:val="0"/>
        <w:spacing w:line="240" w:lineRule="auto"/>
        <w:ind w:left="640" w:hanging="640"/>
        <w:rPr>
          <w:rFonts w:ascii="Calibri" w:hAnsi="Calibri" w:cs="Calibri"/>
          <w:noProof/>
          <w:szCs w:val="24"/>
        </w:rPr>
      </w:pPr>
      <w:r>
        <w:rPr>
          <w:lang w:val="en-US"/>
        </w:rPr>
        <w:fldChar w:fldCharType="begin" w:fldLock="1"/>
      </w:r>
      <w:r>
        <w:rPr>
          <w:lang w:val="en-US"/>
        </w:rPr>
        <w:instrText xml:space="preserve">ADDIN Mendeley Bibliography CSL_BIBLIOGRAPHY </w:instrText>
      </w:r>
      <w:r>
        <w:rPr>
          <w:lang w:val="en-US"/>
        </w:rPr>
        <w:fldChar w:fldCharType="separate"/>
      </w:r>
      <w:r w:rsidR="006B7A9E" w:rsidRPr="006B7A9E">
        <w:rPr>
          <w:rFonts w:ascii="Calibri" w:hAnsi="Calibri" w:cs="Calibri"/>
          <w:noProof/>
          <w:szCs w:val="24"/>
        </w:rPr>
        <w:t xml:space="preserve">1. </w:t>
      </w:r>
      <w:r w:rsidR="006B7A9E" w:rsidRPr="006B7A9E">
        <w:rPr>
          <w:rFonts w:ascii="Calibri" w:hAnsi="Calibri" w:cs="Calibri"/>
          <w:noProof/>
          <w:szCs w:val="24"/>
        </w:rPr>
        <w:tab/>
        <w:t>Anderson, I., Pilling, S., Barnes, A., Bayliss, L., Bird, V., Burbeck, R., Chew-Graham, C., Clarke, J., Dyer, M., Flanagan, E., Harris, C., Hopkins, S., Kenwright, M., Kuyken, W., Lewis, A., Lewis, G., Li, R., Masterson, B., Meader, N., Meudell, A., Mitch, J.: Depression in adults : recognition and management. Clin. Guidel. Depress. adult. 63 (2009)</w:t>
      </w:r>
    </w:p>
    <w:p w14:paraId="56C02E68" w14:textId="77777777" w:rsidR="006B7A9E" w:rsidRPr="006B7A9E" w:rsidRDefault="006B7A9E" w:rsidP="006B7A9E">
      <w:pPr>
        <w:widowControl w:val="0"/>
        <w:autoSpaceDE w:val="0"/>
        <w:autoSpaceDN w:val="0"/>
        <w:adjustRightInd w:val="0"/>
        <w:spacing w:line="240" w:lineRule="auto"/>
        <w:ind w:left="640" w:hanging="640"/>
        <w:rPr>
          <w:rFonts w:ascii="Calibri" w:hAnsi="Calibri" w:cs="Calibri"/>
          <w:noProof/>
          <w:szCs w:val="24"/>
        </w:rPr>
      </w:pPr>
      <w:r w:rsidRPr="006B7A9E">
        <w:rPr>
          <w:rFonts w:ascii="Calibri" w:hAnsi="Calibri" w:cs="Calibri"/>
          <w:noProof/>
          <w:szCs w:val="24"/>
        </w:rPr>
        <w:t xml:space="preserve">2. </w:t>
      </w:r>
      <w:r w:rsidRPr="006B7A9E">
        <w:rPr>
          <w:rFonts w:ascii="Calibri" w:hAnsi="Calibri" w:cs="Calibri"/>
          <w:noProof/>
          <w:szCs w:val="24"/>
        </w:rPr>
        <w:tab/>
        <w:t>Departament de Salut: [Adaptació al model sanitari català de la guia de pràctica clínica sobre el maneig de la depressió major en l’adult]. , Barcelona: Agència d’Informació, Avaluació i Qualitat en Salut. Pla director de salut mental i addictions (2010)</w:t>
      </w:r>
    </w:p>
    <w:p w14:paraId="25C12EEA" w14:textId="77777777" w:rsidR="006B7A9E" w:rsidRPr="006B7A9E" w:rsidRDefault="006B7A9E" w:rsidP="006B7A9E">
      <w:pPr>
        <w:widowControl w:val="0"/>
        <w:autoSpaceDE w:val="0"/>
        <w:autoSpaceDN w:val="0"/>
        <w:adjustRightInd w:val="0"/>
        <w:spacing w:line="240" w:lineRule="auto"/>
        <w:ind w:left="640" w:hanging="640"/>
        <w:rPr>
          <w:rFonts w:ascii="Calibri" w:hAnsi="Calibri" w:cs="Calibri"/>
          <w:noProof/>
          <w:szCs w:val="24"/>
        </w:rPr>
      </w:pPr>
      <w:r w:rsidRPr="006B7A9E">
        <w:rPr>
          <w:rFonts w:ascii="Calibri" w:hAnsi="Calibri" w:cs="Calibri"/>
          <w:noProof/>
          <w:szCs w:val="24"/>
        </w:rPr>
        <w:t xml:space="preserve">3. </w:t>
      </w:r>
      <w:r w:rsidRPr="006B7A9E">
        <w:rPr>
          <w:rFonts w:ascii="Calibri" w:hAnsi="Calibri" w:cs="Calibri"/>
          <w:noProof/>
          <w:szCs w:val="24"/>
        </w:rPr>
        <w:tab/>
        <w:t>King, M., Nazareth, I., Levy, G., Walker, C., Morris, R., Weich, S., Bellón-Saameño, J.A., Moreno, B., Svab, I., Rotar, D., Rifel, J., Maaroos, H.-I., Aluoja, A., Kalda, R., Neeleman, J., Geerlings, M.I., Xavier, M., de Almeida, M.C., Correa, B., Torres-Gonzalez, F.: Prevalence of common mental disorders in general practice attendees across Europe. Br. J. Psychiatry. 192, 362–367 (2008). doi:10.1192/bjp.bp.107.039966</w:t>
      </w:r>
    </w:p>
    <w:p w14:paraId="7F318665" w14:textId="77777777" w:rsidR="006B7A9E" w:rsidRPr="006B7A9E" w:rsidRDefault="006B7A9E" w:rsidP="006B7A9E">
      <w:pPr>
        <w:widowControl w:val="0"/>
        <w:autoSpaceDE w:val="0"/>
        <w:autoSpaceDN w:val="0"/>
        <w:adjustRightInd w:val="0"/>
        <w:spacing w:line="240" w:lineRule="auto"/>
        <w:ind w:left="640" w:hanging="640"/>
        <w:rPr>
          <w:rFonts w:ascii="Calibri" w:hAnsi="Calibri" w:cs="Calibri"/>
          <w:noProof/>
          <w:szCs w:val="24"/>
        </w:rPr>
      </w:pPr>
      <w:r w:rsidRPr="006B7A9E">
        <w:rPr>
          <w:rFonts w:ascii="Calibri" w:hAnsi="Calibri" w:cs="Calibri"/>
          <w:noProof/>
          <w:szCs w:val="24"/>
        </w:rPr>
        <w:t xml:space="preserve">4. </w:t>
      </w:r>
      <w:r w:rsidRPr="006B7A9E">
        <w:rPr>
          <w:rFonts w:ascii="Calibri" w:hAnsi="Calibri" w:cs="Calibri"/>
          <w:noProof/>
          <w:szCs w:val="24"/>
        </w:rPr>
        <w:tab/>
        <w:t>Serrano-Blanco, A., Palao, D.J., Luciano, J. V., Pinto-Meza, A., Luján, L., Fernández, A., Roura, P., Bertsch, J., Mercader, M., Haro, J.M.: Prevalence of mental disorders in primary care: Results from the diagnosis and treatment of mental disorders in primary care study (DASMAP). Soc. Psychiatry Psychiatr. Epidemiol. 45, 201–210 (2010)</w:t>
      </w:r>
    </w:p>
    <w:p w14:paraId="29FDC428" w14:textId="77777777" w:rsidR="006B7A9E" w:rsidRPr="006B7A9E" w:rsidRDefault="006B7A9E" w:rsidP="006B7A9E">
      <w:pPr>
        <w:widowControl w:val="0"/>
        <w:autoSpaceDE w:val="0"/>
        <w:autoSpaceDN w:val="0"/>
        <w:adjustRightInd w:val="0"/>
        <w:spacing w:line="240" w:lineRule="auto"/>
        <w:ind w:left="640" w:hanging="640"/>
        <w:rPr>
          <w:rFonts w:ascii="Calibri" w:hAnsi="Calibri" w:cs="Calibri"/>
          <w:noProof/>
          <w:szCs w:val="24"/>
        </w:rPr>
      </w:pPr>
      <w:r w:rsidRPr="006B7A9E">
        <w:rPr>
          <w:rFonts w:ascii="Calibri" w:hAnsi="Calibri" w:cs="Calibri"/>
          <w:noProof/>
          <w:szCs w:val="24"/>
        </w:rPr>
        <w:t xml:space="preserve">5. </w:t>
      </w:r>
      <w:r w:rsidRPr="006B7A9E">
        <w:rPr>
          <w:rFonts w:ascii="Calibri" w:hAnsi="Calibri" w:cs="Calibri"/>
          <w:noProof/>
          <w:szCs w:val="24"/>
        </w:rPr>
        <w:tab/>
        <w:t>Hegel, M.T., Oxman, T.E., Hull, J.G., Swain, K., Swick, H.: Watchful waiting for minor depression in primary care: remission rates and predictors of improvement. Gen. Hosp. Psychiatry. 28, 205–212 (2006)</w:t>
      </w:r>
    </w:p>
    <w:p w14:paraId="075B08ED" w14:textId="77777777" w:rsidR="006B7A9E" w:rsidRPr="006B7A9E" w:rsidRDefault="006B7A9E" w:rsidP="006B7A9E">
      <w:pPr>
        <w:widowControl w:val="0"/>
        <w:autoSpaceDE w:val="0"/>
        <w:autoSpaceDN w:val="0"/>
        <w:adjustRightInd w:val="0"/>
        <w:spacing w:line="240" w:lineRule="auto"/>
        <w:ind w:left="640" w:hanging="640"/>
        <w:rPr>
          <w:rFonts w:ascii="Calibri" w:hAnsi="Calibri" w:cs="Calibri"/>
          <w:noProof/>
          <w:szCs w:val="24"/>
        </w:rPr>
      </w:pPr>
      <w:r w:rsidRPr="006B7A9E">
        <w:rPr>
          <w:rFonts w:ascii="Calibri" w:hAnsi="Calibri" w:cs="Calibri"/>
          <w:noProof/>
          <w:szCs w:val="24"/>
        </w:rPr>
        <w:t xml:space="preserve">6. </w:t>
      </w:r>
      <w:r w:rsidRPr="006B7A9E">
        <w:rPr>
          <w:rFonts w:ascii="Calibri" w:hAnsi="Calibri" w:cs="Calibri"/>
          <w:noProof/>
          <w:szCs w:val="24"/>
        </w:rPr>
        <w:tab/>
        <w:t>Fournier, J.C., DeRubeis, R.J., Hollon, S.D., Dimidjian, S., Amsterdam, J.D., Shelton, R.C., Fawcett, J.: Antidepressant drug effects and depression severity: a patient-level meta-analysis. JAMA. 303, 47–53 (2010)</w:t>
      </w:r>
    </w:p>
    <w:p w14:paraId="4A723022" w14:textId="77777777" w:rsidR="006B7A9E" w:rsidRPr="006B7A9E" w:rsidRDefault="006B7A9E" w:rsidP="006B7A9E">
      <w:pPr>
        <w:widowControl w:val="0"/>
        <w:autoSpaceDE w:val="0"/>
        <w:autoSpaceDN w:val="0"/>
        <w:adjustRightInd w:val="0"/>
        <w:spacing w:line="240" w:lineRule="auto"/>
        <w:ind w:left="640" w:hanging="640"/>
        <w:rPr>
          <w:rFonts w:ascii="Calibri" w:hAnsi="Calibri" w:cs="Calibri"/>
          <w:noProof/>
          <w:szCs w:val="24"/>
        </w:rPr>
      </w:pPr>
      <w:r w:rsidRPr="006B7A9E">
        <w:rPr>
          <w:rFonts w:ascii="Calibri" w:hAnsi="Calibri" w:cs="Calibri"/>
          <w:noProof/>
          <w:szCs w:val="24"/>
        </w:rPr>
        <w:t xml:space="preserve">7. </w:t>
      </w:r>
      <w:r w:rsidRPr="006B7A9E">
        <w:rPr>
          <w:rFonts w:ascii="Calibri" w:hAnsi="Calibri" w:cs="Calibri"/>
          <w:noProof/>
          <w:szCs w:val="24"/>
        </w:rPr>
        <w:tab/>
        <w:t>Fernández, A., Rubio-Valera, M., Bellón, J. a, Pinto-Meza, A., Luciano, J.V., Mendive, J.M., Haro, J.M., Palao, D.J., Serrano-Blanco, A.: Recognition of anxiety disorders by the general practitioner: results from the DASMAP study. Gen. Hosp. Psychiatry. 34, 227–33 (2012). doi:10.1016/j.genhosppsych.2012.01.012</w:t>
      </w:r>
    </w:p>
    <w:p w14:paraId="19AD5F7F" w14:textId="77777777" w:rsidR="006B7A9E" w:rsidRPr="006B7A9E" w:rsidRDefault="006B7A9E" w:rsidP="006B7A9E">
      <w:pPr>
        <w:widowControl w:val="0"/>
        <w:autoSpaceDE w:val="0"/>
        <w:autoSpaceDN w:val="0"/>
        <w:adjustRightInd w:val="0"/>
        <w:spacing w:line="240" w:lineRule="auto"/>
        <w:ind w:left="640" w:hanging="640"/>
        <w:rPr>
          <w:rFonts w:ascii="Calibri" w:hAnsi="Calibri" w:cs="Calibri"/>
          <w:noProof/>
          <w:szCs w:val="24"/>
        </w:rPr>
      </w:pPr>
      <w:r w:rsidRPr="006B7A9E">
        <w:rPr>
          <w:rFonts w:ascii="Calibri" w:hAnsi="Calibri" w:cs="Calibri"/>
          <w:noProof/>
          <w:szCs w:val="24"/>
        </w:rPr>
        <w:t xml:space="preserve">8. </w:t>
      </w:r>
      <w:r w:rsidRPr="006B7A9E">
        <w:rPr>
          <w:rFonts w:ascii="Calibri" w:hAnsi="Calibri" w:cs="Calibri"/>
          <w:noProof/>
          <w:szCs w:val="24"/>
        </w:rPr>
        <w:tab/>
        <w:t>Fernández, A., Pinto-Meza, A., Bellón, J.A., Roura-Poch, P., Haro, J.M., Autonell, J., Palao, D.J., Peñarrubia, M.T., Fernández, R., Blanco, E., Luciano, J.V., Serrano-Blanco, A.: Is major depression adequately diagnosed and treated by general practitioners? Results from an epidemiological study. Gen. Hosp. Psychiatry. 32, 201–209 (2010)</w:t>
      </w:r>
    </w:p>
    <w:p w14:paraId="2B354821" w14:textId="77777777" w:rsidR="006B7A9E" w:rsidRPr="006B7A9E" w:rsidRDefault="006B7A9E" w:rsidP="006B7A9E">
      <w:pPr>
        <w:widowControl w:val="0"/>
        <w:autoSpaceDE w:val="0"/>
        <w:autoSpaceDN w:val="0"/>
        <w:adjustRightInd w:val="0"/>
        <w:spacing w:line="240" w:lineRule="auto"/>
        <w:ind w:left="640" w:hanging="640"/>
        <w:rPr>
          <w:rFonts w:ascii="Calibri" w:hAnsi="Calibri" w:cs="Calibri"/>
          <w:noProof/>
          <w:szCs w:val="24"/>
        </w:rPr>
      </w:pPr>
      <w:r w:rsidRPr="006B7A9E">
        <w:rPr>
          <w:rFonts w:ascii="Calibri" w:hAnsi="Calibri" w:cs="Calibri"/>
          <w:noProof/>
          <w:szCs w:val="24"/>
        </w:rPr>
        <w:t xml:space="preserve">9. </w:t>
      </w:r>
      <w:r w:rsidRPr="006B7A9E">
        <w:rPr>
          <w:rFonts w:ascii="Calibri" w:hAnsi="Calibri" w:cs="Calibri"/>
          <w:noProof/>
          <w:szCs w:val="24"/>
        </w:rPr>
        <w:tab/>
        <w:t>Rubio-valera, M., Fernández, A., Luciano, J. V., Hughes, C.M., Pinto-meza, A., Moreno-küstner, B., Palao, D.J., Haro, J.M., Serrano-blanco, A.: Psychotropic prescribing in catalonia: Results from an epidemiological study. Fam. Pract. 29, 154–162 (2012)</w:t>
      </w:r>
    </w:p>
    <w:p w14:paraId="361CEE49" w14:textId="77777777" w:rsidR="006B7A9E" w:rsidRPr="006B7A9E" w:rsidRDefault="006B7A9E" w:rsidP="006B7A9E">
      <w:pPr>
        <w:widowControl w:val="0"/>
        <w:autoSpaceDE w:val="0"/>
        <w:autoSpaceDN w:val="0"/>
        <w:adjustRightInd w:val="0"/>
        <w:spacing w:line="240" w:lineRule="auto"/>
        <w:ind w:left="640" w:hanging="640"/>
        <w:rPr>
          <w:rFonts w:ascii="Calibri" w:hAnsi="Calibri" w:cs="Calibri"/>
          <w:noProof/>
          <w:szCs w:val="24"/>
        </w:rPr>
      </w:pPr>
      <w:r w:rsidRPr="006B7A9E">
        <w:rPr>
          <w:rFonts w:ascii="Calibri" w:hAnsi="Calibri" w:cs="Calibri"/>
          <w:noProof/>
          <w:szCs w:val="24"/>
        </w:rPr>
        <w:t xml:space="preserve">10. </w:t>
      </w:r>
      <w:r w:rsidRPr="006B7A9E">
        <w:rPr>
          <w:rFonts w:ascii="Calibri" w:hAnsi="Calibri" w:cs="Calibri"/>
          <w:noProof/>
          <w:szCs w:val="24"/>
        </w:rPr>
        <w:tab/>
        <w:t>Meredith, L.S., Cheng, W.J.Y., Hickey, S.C., Dwight-Johnson, M.: Factors associated with primary care clinicians’ choice of a watchful waiting approach to managing depression. Psychiatr. Serv. 58, 72–78 (2007)</w:t>
      </w:r>
    </w:p>
    <w:p w14:paraId="0EEE2743" w14:textId="77777777" w:rsidR="006B7A9E" w:rsidRPr="006B7A9E" w:rsidRDefault="006B7A9E" w:rsidP="006B7A9E">
      <w:pPr>
        <w:widowControl w:val="0"/>
        <w:autoSpaceDE w:val="0"/>
        <w:autoSpaceDN w:val="0"/>
        <w:adjustRightInd w:val="0"/>
        <w:spacing w:line="240" w:lineRule="auto"/>
        <w:ind w:left="640" w:hanging="640"/>
        <w:rPr>
          <w:rFonts w:ascii="Calibri" w:hAnsi="Calibri" w:cs="Calibri"/>
          <w:noProof/>
          <w:szCs w:val="24"/>
        </w:rPr>
      </w:pPr>
      <w:r w:rsidRPr="006B7A9E">
        <w:rPr>
          <w:rFonts w:ascii="Calibri" w:hAnsi="Calibri" w:cs="Calibri"/>
          <w:noProof/>
          <w:szCs w:val="24"/>
        </w:rPr>
        <w:t xml:space="preserve">11. </w:t>
      </w:r>
      <w:r w:rsidRPr="006B7A9E">
        <w:rPr>
          <w:rFonts w:ascii="Calibri" w:hAnsi="Calibri" w:cs="Calibri"/>
          <w:noProof/>
          <w:szCs w:val="24"/>
        </w:rPr>
        <w:tab/>
        <w:t>Iglesias-González, M., Aznar-Lou, I., Gil-Girbau, M., Moreno-Peral, P., Peñarrubia-María, M.T., Rubio-Valera, M., Serrano-Blanco, A.: Comparing watchful waiting with antidepressants for the management of subclinical depression symptoms to mild–moderate depression in primary care: a systematic review. Fam. Pract. 34, 639–648 (2017). doi:10.1093/fampra/cmx054</w:t>
      </w:r>
    </w:p>
    <w:p w14:paraId="6164E66B" w14:textId="77777777" w:rsidR="006B7A9E" w:rsidRPr="006B7A9E" w:rsidRDefault="006B7A9E" w:rsidP="006B7A9E">
      <w:pPr>
        <w:widowControl w:val="0"/>
        <w:autoSpaceDE w:val="0"/>
        <w:autoSpaceDN w:val="0"/>
        <w:adjustRightInd w:val="0"/>
        <w:spacing w:line="240" w:lineRule="auto"/>
        <w:ind w:left="640" w:hanging="640"/>
        <w:rPr>
          <w:rFonts w:ascii="Calibri" w:hAnsi="Calibri" w:cs="Calibri"/>
          <w:noProof/>
          <w:szCs w:val="24"/>
        </w:rPr>
      </w:pPr>
      <w:r w:rsidRPr="006B7A9E">
        <w:rPr>
          <w:rFonts w:ascii="Calibri" w:hAnsi="Calibri" w:cs="Calibri"/>
          <w:noProof/>
          <w:szCs w:val="24"/>
        </w:rPr>
        <w:t xml:space="preserve">12. </w:t>
      </w:r>
      <w:r w:rsidRPr="006B7A9E">
        <w:rPr>
          <w:rFonts w:ascii="Calibri" w:hAnsi="Calibri" w:cs="Calibri"/>
          <w:noProof/>
          <w:szCs w:val="24"/>
        </w:rPr>
        <w:tab/>
        <w:t xml:space="preserve">Bosmans, J.E., Hermens, M.L.M., de Bruijne, M.C., van Hout, H.P.J., Terluin, B., Bouter, </w:t>
      </w:r>
      <w:r w:rsidRPr="006B7A9E">
        <w:rPr>
          <w:rFonts w:ascii="Calibri" w:hAnsi="Calibri" w:cs="Calibri"/>
          <w:noProof/>
          <w:szCs w:val="24"/>
        </w:rPr>
        <w:lastRenderedPageBreak/>
        <w:t>L.M., Stalman, W.A.B., van Tulder, M.W.: Cost-effectiveness of usual general practitioner care with or without antidepressant medication for patients with minor or mild-major depression. J. Affect. Disord. 111, 106–112 (2008)</w:t>
      </w:r>
    </w:p>
    <w:p w14:paraId="76E86FBC" w14:textId="77777777" w:rsidR="006B7A9E" w:rsidRPr="006B7A9E" w:rsidRDefault="006B7A9E" w:rsidP="006B7A9E">
      <w:pPr>
        <w:widowControl w:val="0"/>
        <w:autoSpaceDE w:val="0"/>
        <w:autoSpaceDN w:val="0"/>
        <w:adjustRightInd w:val="0"/>
        <w:spacing w:line="240" w:lineRule="auto"/>
        <w:ind w:left="640" w:hanging="640"/>
        <w:rPr>
          <w:rFonts w:ascii="Calibri" w:hAnsi="Calibri" w:cs="Calibri"/>
          <w:noProof/>
          <w:szCs w:val="24"/>
        </w:rPr>
      </w:pPr>
      <w:r w:rsidRPr="006B7A9E">
        <w:rPr>
          <w:rFonts w:ascii="Calibri" w:hAnsi="Calibri" w:cs="Calibri"/>
          <w:noProof/>
          <w:szCs w:val="24"/>
        </w:rPr>
        <w:t xml:space="preserve">13. </w:t>
      </w:r>
      <w:r w:rsidRPr="006B7A9E">
        <w:rPr>
          <w:rFonts w:ascii="Calibri" w:hAnsi="Calibri" w:cs="Calibri"/>
          <w:noProof/>
          <w:szCs w:val="24"/>
        </w:rPr>
        <w:tab/>
        <w:t>Kendrick, T., Chatwin, J., Dowrick, C., Tylee, A., Morriss, R., Peveler, R., Leese, M., McCrone, P., Harris, T., Moore, M., Byng, R., Brown, G., Barthel, S., Mander, H., Ring, A., Kelly, V., Wallace, V., Gabbay, M., Craig, T., Mann, A.: Randomised controlled trial to determine the clinical effectiveness and cost-effectiveness of selective serotonin reuptake inhibitors plus supportive care, versus supportive care alone, for mild to moderate depression with somatic symptoms in primary care. Health Technol. Assess. 13, iii–iv, ix–xi, 1–159 (2009). doi:10.3310/hta13220</w:t>
      </w:r>
    </w:p>
    <w:p w14:paraId="4E136978" w14:textId="77777777" w:rsidR="006B7A9E" w:rsidRPr="006B7A9E" w:rsidRDefault="006B7A9E" w:rsidP="006B7A9E">
      <w:pPr>
        <w:widowControl w:val="0"/>
        <w:autoSpaceDE w:val="0"/>
        <w:autoSpaceDN w:val="0"/>
        <w:adjustRightInd w:val="0"/>
        <w:spacing w:line="240" w:lineRule="auto"/>
        <w:ind w:left="640" w:hanging="640"/>
        <w:rPr>
          <w:rFonts w:ascii="Calibri" w:hAnsi="Calibri" w:cs="Calibri"/>
          <w:noProof/>
          <w:szCs w:val="24"/>
        </w:rPr>
      </w:pPr>
      <w:r w:rsidRPr="006B7A9E">
        <w:rPr>
          <w:rFonts w:ascii="Calibri" w:hAnsi="Calibri" w:cs="Calibri"/>
          <w:noProof/>
          <w:szCs w:val="24"/>
        </w:rPr>
        <w:t xml:space="preserve">14. </w:t>
      </w:r>
      <w:r w:rsidRPr="006B7A9E">
        <w:rPr>
          <w:rFonts w:ascii="Calibri" w:hAnsi="Calibri" w:cs="Calibri"/>
          <w:noProof/>
          <w:szCs w:val="24"/>
        </w:rPr>
        <w:tab/>
        <w:t>Rubio-Valera, M., Beneitez, I., Penarrubia-Maria, M.T., Luciano, J. V, Mendive, J.M., McCrone, P., Knapp, M., Sabes-Figuera, R., Kocyan, K., Garcia-Campayo, J., Serrano-Blanco, A.: Cost-effectiveness of active monitoring versus antidepressants for major depression in primary health care: a 12-month non-randomized controlled trial (INFAP study). BMC Psychiatry. 15, 63 (2015). doi:10.1186/s12888-015-0448-3</w:t>
      </w:r>
    </w:p>
    <w:p w14:paraId="59C20944" w14:textId="77777777" w:rsidR="006B7A9E" w:rsidRPr="006B7A9E" w:rsidRDefault="006B7A9E" w:rsidP="006B7A9E">
      <w:pPr>
        <w:widowControl w:val="0"/>
        <w:autoSpaceDE w:val="0"/>
        <w:autoSpaceDN w:val="0"/>
        <w:adjustRightInd w:val="0"/>
        <w:spacing w:line="240" w:lineRule="auto"/>
        <w:ind w:left="640" w:hanging="640"/>
        <w:rPr>
          <w:rFonts w:ascii="Calibri" w:hAnsi="Calibri" w:cs="Calibri"/>
          <w:noProof/>
          <w:szCs w:val="24"/>
        </w:rPr>
      </w:pPr>
      <w:r w:rsidRPr="006B7A9E">
        <w:rPr>
          <w:rFonts w:ascii="Calibri" w:hAnsi="Calibri" w:cs="Calibri"/>
          <w:noProof/>
          <w:szCs w:val="24"/>
        </w:rPr>
        <w:t xml:space="preserve">15. </w:t>
      </w:r>
      <w:r w:rsidRPr="006B7A9E">
        <w:rPr>
          <w:rFonts w:ascii="Calibri" w:hAnsi="Calibri" w:cs="Calibri"/>
          <w:noProof/>
          <w:szCs w:val="24"/>
        </w:rPr>
        <w:tab/>
        <w:t>Mira, J.J., Llinás, G., Gil, V., Orozco, D., Palazón, I., Vitaller, J.: [Validation of an instrument for identifying styles of the professional practice of the primary care doctor]. Aten. Primaria. 21, 14–22 (1998)</w:t>
      </w:r>
    </w:p>
    <w:p w14:paraId="03EA6C65" w14:textId="77777777" w:rsidR="006B7A9E" w:rsidRPr="006B7A9E" w:rsidRDefault="006B7A9E" w:rsidP="006B7A9E">
      <w:pPr>
        <w:widowControl w:val="0"/>
        <w:autoSpaceDE w:val="0"/>
        <w:autoSpaceDN w:val="0"/>
        <w:adjustRightInd w:val="0"/>
        <w:spacing w:line="240" w:lineRule="auto"/>
        <w:ind w:left="640" w:hanging="640"/>
        <w:rPr>
          <w:rFonts w:ascii="Calibri" w:hAnsi="Calibri" w:cs="Calibri"/>
          <w:noProof/>
          <w:szCs w:val="24"/>
        </w:rPr>
      </w:pPr>
      <w:r w:rsidRPr="006B7A9E">
        <w:rPr>
          <w:rFonts w:ascii="Calibri" w:hAnsi="Calibri" w:cs="Calibri"/>
          <w:noProof/>
          <w:szCs w:val="24"/>
        </w:rPr>
        <w:t xml:space="preserve">16. </w:t>
      </w:r>
      <w:r w:rsidRPr="006B7A9E">
        <w:rPr>
          <w:rFonts w:ascii="Calibri" w:hAnsi="Calibri" w:cs="Calibri"/>
          <w:noProof/>
          <w:szCs w:val="24"/>
        </w:rPr>
        <w:tab/>
        <w:t>Chisholm, D., Knapp, M.R.J., Knudsen, H.C., Amaddeo, A., Gaite, L., Van Wijngaarden, B.: Client socio-demographic and service receipt inventory - European version: Development of an instrument for international research. EPSILON study 5. Br. J. Psychiatry. 177, (2000)</w:t>
      </w:r>
    </w:p>
    <w:p w14:paraId="534D0760" w14:textId="77777777" w:rsidR="006B7A9E" w:rsidRPr="006B7A9E" w:rsidRDefault="006B7A9E" w:rsidP="006B7A9E">
      <w:pPr>
        <w:widowControl w:val="0"/>
        <w:autoSpaceDE w:val="0"/>
        <w:autoSpaceDN w:val="0"/>
        <w:adjustRightInd w:val="0"/>
        <w:spacing w:line="240" w:lineRule="auto"/>
        <w:ind w:left="640" w:hanging="640"/>
        <w:rPr>
          <w:rFonts w:ascii="Calibri" w:hAnsi="Calibri" w:cs="Calibri"/>
          <w:noProof/>
          <w:szCs w:val="24"/>
        </w:rPr>
      </w:pPr>
      <w:r w:rsidRPr="006B7A9E">
        <w:rPr>
          <w:rFonts w:ascii="Calibri" w:hAnsi="Calibri" w:cs="Calibri"/>
          <w:noProof/>
          <w:szCs w:val="24"/>
        </w:rPr>
        <w:t xml:space="preserve">17. </w:t>
      </w:r>
      <w:r w:rsidRPr="006B7A9E">
        <w:rPr>
          <w:rFonts w:ascii="Calibri" w:hAnsi="Calibri" w:cs="Calibri"/>
          <w:noProof/>
          <w:szCs w:val="24"/>
        </w:rPr>
        <w:tab/>
        <w:t>Spanish National Institute of Statistics: Minimum wage survey, www.ine.es</w:t>
      </w:r>
    </w:p>
    <w:p w14:paraId="4D20DFEA" w14:textId="77777777" w:rsidR="006B7A9E" w:rsidRPr="006B7A9E" w:rsidRDefault="006B7A9E" w:rsidP="006B7A9E">
      <w:pPr>
        <w:widowControl w:val="0"/>
        <w:autoSpaceDE w:val="0"/>
        <w:autoSpaceDN w:val="0"/>
        <w:adjustRightInd w:val="0"/>
        <w:spacing w:line="240" w:lineRule="auto"/>
        <w:ind w:left="640" w:hanging="640"/>
        <w:rPr>
          <w:rFonts w:ascii="Calibri" w:hAnsi="Calibri" w:cs="Calibri"/>
          <w:noProof/>
          <w:szCs w:val="24"/>
        </w:rPr>
      </w:pPr>
      <w:r w:rsidRPr="006B7A9E">
        <w:rPr>
          <w:rFonts w:ascii="Calibri" w:hAnsi="Calibri" w:cs="Calibri"/>
          <w:noProof/>
          <w:szCs w:val="24"/>
        </w:rPr>
        <w:t xml:space="preserve">18. </w:t>
      </w:r>
      <w:r w:rsidRPr="006B7A9E">
        <w:rPr>
          <w:rFonts w:ascii="Calibri" w:hAnsi="Calibri" w:cs="Calibri"/>
          <w:noProof/>
          <w:szCs w:val="24"/>
        </w:rPr>
        <w:tab/>
        <w:t>Badia, X., Schiaffino, A., Alonso, J., Herdman, M.: Using the EuroQol 5-D in the Catalan general population: Feasibility and construct validity. Qual. Life Res. 7, 311–322 (1998)</w:t>
      </w:r>
    </w:p>
    <w:p w14:paraId="013AFF62" w14:textId="77777777" w:rsidR="006B7A9E" w:rsidRPr="006B7A9E" w:rsidRDefault="006B7A9E" w:rsidP="006B7A9E">
      <w:pPr>
        <w:widowControl w:val="0"/>
        <w:autoSpaceDE w:val="0"/>
        <w:autoSpaceDN w:val="0"/>
        <w:adjustRightInd w:val="0"/>
        <w:spacing w:line="240" w:lineRule="auto"/>
        <w:ind w:left="640" w:hanging="640"/>
        <w:rPr>
          <w:rFonts w:ascii="Calibri" w:hAnsi="Calibri" w:cs="Calibri"/>
          <w:noProof/>
          <w:szCs w:val="24"/>
        </w:rPr>
      </w:pPr>
      <w:r w:rsidRPr="006B7A9E">
        <w:rPr>
          <w:rFonts w:ascii="Calibri" w:hAnsi="Calibri" w:cs="Calibri"/>
          <w:noProof/>
          <w:szCs w:val="24"/>
        </w:rPr>
        <w:t xml:space="preserve">19. </w:t>
      </w:r>
      <w:r w:rsidRPr="006B7A9E">
        <w:rPr>
          <w:rFonts w:ascii="Calibri" w:hAnsi="Calibri" w:cs="Calibri"/>
          <w:noProof/>
          <w:szCs w:val="24"/>
        </w:rPr>
        <w:tab/>
        <w:t>EuroQol Group: EuroQol-a new facility for the measurement of health-related quality of life. Health Policy. 16, 199–208 (1990)</w:t>
      </w:r>
    </w:p>
    <w:p w14:paraId="4F64113E" w14:textId="77777777" w:rsidR="006B7A9E" w:rsidRPr="006B7A9E" w:rsidRDefault="006B7A9E" w:rsidP="006B7A9E">
      <w:pPr>
        <w:widowControl w:val="0"/>
        <w:autoSpaceDE w:val="0"/>
        <w:autoSpaceDN w:val="0"/>
        <w:adjustRightInd w:val="0"/>
        <w:spacing w:line="240" w:lineRule="auto"/>
        <w:ind w:left="640" w:hanging="640"/>
        <w:rPr>
          <w:rFonts w:ascii="Calibri" w:hAnsi="Calibri" w:cs="Calibri"/>
          <w:noProof/>
          <w:szCs w:val="24"/>
        </w:rPr>
      </w:pPr>
      <w:r w:rsidRPr="006B7A9E">
        <w:rPr>
          <w:rFonts w:ascii="Calibri" w:hAnsi="Calibri" w:cs="Calibri"/>
          <w:noProof/>
          <w:szCs w:val="24"/>
        </w:rPr>
        <w:t xml:space="preserve">20. </w:t>
      </w:r>
      <w:r w:rsidRPr="006B7A9E">
        <w:rPr>
          <w:rFonts w:ascii="Calibri" w:hAnsi="Calibri" w:cs="Calibri"/>
          <w:noProof/>
          <w:szCs w:val="24"/>
        </w:rPr>
        <w:tab/>
        <w:t>Glick, H., Doshi, J., Sonrad, S.: Economic Evaluation in Clinical Trials. Oxford University Press (2014)</w:t>
      </w:r>
    </w:p>
    <w:p w14:paraId="4CF64BAB" w14:textId="77777777" w:rsidR="006B7A9E" w:rsidRPr="006B7A9E" w:rsidRDefault="006B7A9E" w:rsidP="006B7A9E">
      <w:pPr>
        <w:widowControl w:val="0"/>
        <w:autoSpaceDE w:val="0"/>
        <w:autoSpaceDN w:val="0"/>
        <w:adjustRightInd w:val="0"/>
        <w:spacing w:line="240" w:lineRule="auto"/>
        <w:ind w:left="640" w:hanging="640"/>
        <w:rPr>
          <w:rFonts w:ascii="Calibri" w:hAnsi="Calibri" w:cs="Calibri"/>
          <w:noProof/>
          <w:szCs w:val="24"/>
        </w:rPr>
      </w:pPr>
      <w:r w:rsidRPr="006B7A9E">
        <w:rPr>
          <w:rFonts w:ascii="Calibri" w:hAnsi="Calibri" w:cs="Calibri"/>
          <w:noProof/>
          <w:szCs w:val="24"/>
        </w:rPr>
        <w:t xml:space="preserve">21. </w:t>
      </w:r>
      <w:r w:rsidRPr="006B7A9E">
        <w:rPr>
          <w:rFonts w:ascii="Calibri" w:hAnsi="Calibri" w:cs="Calibri"/>
          <w:noProof/>
          <w:szCs w:val="24"/>
        </w:rPr>
        <w:tab/>
        <w:t>Diez-Quevedo, C., Rangil, T., Sanchez-Planell, L., Kroenke, K., Spitzer, R.L.: Validation and utility of the patient health questionnaire in diagnosing mental disorders in 1003 general hospital Spanish inpatients. Psychosom. Med. 63, 679–86 (2001)</w:t>
      </w:r>
    </w:p>
    <w:p w14:paraId="1FC1C3C1" w14:textId="77777777" w:rsidR="006B7A9E" w:rsidRPr="006B7A9E" w:rsidRDefault="006B7A9E" w:rsidP="006B7A9E">
      <w:pPr>
        <w:widowControl w:val="0"/>
        <w:autoSpaceDE w:val="0"/>
        <w:autoSpaceDN w:val="0"/>
        <w:adjustRightInd w:val="0"/>
        <w:spacing w:line="240" w:lineRule="auto"/>
        <w:ind w:left="640" w:hanging="640"/>
        <w:rPr>
          <w:rFonts w:ascii="Calibri" w:hAnsi="Calibri" w:cs="Calibri"/>
          <w:noProof/>
          <w:szCs w:val="24"/>
        </w:rPr>
      </w:pPr>
      <w:r w:rsidRPr="006B7A9E">
        <w:rPr>
          <w:rFonts w:ascii="Calibri" w:hAnsi="Calibri" w:cs="Calibri"/>
          <w:noProof/>
          <w:szCs w:val="24"/>
        </w:rPr>
        <w:t xml:space="preserve">22. </w:t>
      </w:r>
      <w:r w:rsidRPr="006B7A9E">
        <w:rPr>
          <w:rFonts w:ascii="Calibri" w:hAnsi="Calibri" w:cs="Calibri"/>
          <w:noProof/>
          <w:szCs w:val="24"/>
        </w:rPr>
        <w:tab/>
        <w:t>Kroenke, K., Spitzer, R.L., Williams, J.B.W.: The PHQ-9: Validity of a brief depression severity measure. J. Gen. Intern. Med. 16, 606–613 (2001)</w:t>
      </w:r>
    </w:p>
    <w:p w14:paraId="677F746A" w14:textId="77777777" w:rsidR="006B7A9E" w:rsidRPr="006B7A9E" w:rsidRDefault="006B7A9E" w:rsidP="006B7A9E">
      <w:pPr>
        <w:widowControl w:val="0"/>
        <w:autoSpaceDE w:val="0"/>
        <w:autoSpaceDN w:val="0"/>
        <w:adjustRightInd w:val="0"/>
        <w:spacing w:line="240" w:lineRule="auto"/>
        <w:ind w:left="640" w:hanging="640"/>
        <w:rPr>
          <w:rFonts w:ascii="Calibri" w:hAnsi="Calibri" w:cs="Calibri"/>
          <w:noProof/>
          <w:szCs w:val="24"/>
        </w:rPr>
      </w:pPr>
      <w:r w:rsidRPr="006B7A9E">
        <w:rPr>
          <w:rFonts w:ascii="Calibri" w:hAnsi="Calibri" w:cs="Calibri"/>
          <w:noProof/>
          <w:szCs w:val="24"/>
        </w:rPr>
        <w:t xml:space="preserve">23. </w:t>
      </w:r>
      <w:r w:rsidRPr="006B7A9E">
        <w:rPr>
          <w:rFonts w:ascii="Calibri" w:hAnsi="Calibri" w:cs="Calibri"/>
          <w:noProof/>
          <w:szCs w:val="24"/>
        </w:rPr>
        <w:tab/>
        <w:t>Spitzer, R.L., Kroenke, K., Williams, J.B.: Validation and utility of a self-report version of PRIME-MD: the PHQ primary care study. Primary Care Evaluation of Mental Disorders. Patient Health Questionnaire. JAMA. 282, 1737–1744 (1999)</w:t>
      </w:r>
    </w:p>
    <w:p w14:paraId="1FA1F448" w14:textId="77777777" w:rsidR="006B7A9E" w:rsidRPr="006B7A9E" w:rsidRDefault="006B7A9E" w:rsidP="006B7A9E">
      <w:pPr>
        <w:widowControl w:val="0"/>
        <w:autoSpaceDE w:val="0"/>
        <w:autoSpaceDN w:val="0"/>
        <w:adjustRightInd w:val="0"/>
        <w:spacing w:line="240" w:lineRule="auto"/>
        <w:ind w:left="640" w:hanging="640"/>
        <w:rPr>
          <w:rFonts w:ascii="Calibri" w:hAnsi="Calibri" w:cs="Calibri"/>
          <w:noProof/>
          <w:szCs w:val="24"/>
        </w:rPr>
      </w:pPr>
      <w:r w:rsidRPr="006B7A9E">
        <w:rPr>
          <w:rFonts w:ascii="Calibri" w:hAnsi="Calibri" w:cs="Calibri"/>
          <w:noProof/>
          <w:szCs w:val="24"/>
        </w:rPr>
        <w:t xml:space="preserve">24. </w:t>
      </w:r>
      <w:r w:rsidRPr="006B7A9E">
        <w:rPr>
          <w:rFonts w:ascii="Calibri" w:hAnsi="Calibri" w:cs="Calibri"/>
          <w:noProof/>
          <w:szCs w:val="24"/>
        </w:rPr>
        <w:tab/>
        <w:t>First, M.B. et, Spitzer, R.L., Gibbon, M., Williams, J.B.W.: Structured Clinical Interview for DSM-IV Axis I Disorders, Clinician Version (SCID-CV). (1997)</w:t>
      </w:r>
    </w:p>
    <w:p w14:paraId="2325259B" w14:textId="77777777" w:rsidR="006B7A9E" w:rsidRPr="006B7A9E" w:rsidRDefault="006B7A9E" w:rsidP="006B7A9E">
      <w:pPr>
        <w:widowControl w:val="0"/>
        <w:autoSpaceDE w:val="0"/>
        <w:autoSpaceDN w:val="0"/>
        <w:adjustRightInd w:val="0"/>
        <w:spacing w:line="240" w:lineRule="auto"/>
        <w:ind w:left="640" w:hanging="640"/>
        <w:rPr>
          <w:rFonts w:ascii="Calibri" w:hAnsi="Calibri" w:cs="Calibri"/>
          <w:noProof/>
          <w:szCs w:val="24"/>
        </w:rPr>
      </w:pPr>
      <w:r w:rsidRPr="006B7A9E">
        <w:rPr>
          <w:rFonts w:ascii="Calibri" w:hAnsi="Calibri" w:cs="Calibri"/>
          <w:noProof/>
          <w:szCs w:val="24"/>
        </w:rPr>
        <w:t xml:space="preserve">25. </w:t>
      </w:r>
      <w:r w:rsidRPr="006B7A9E">
        <w:rPr>
          <w:rFonts w:ascii="Calibri" w:hAnsi="Calibri" w:cs="Calibri"/>
          <w:noProof/>
          <w:szCs w:val="24"/>
        </w:rPr>
        <w:tab/>
        <w:t>Mitra, R., Reiter, J.P.: A comparison of two methods of estimating propensity scores after multiple imputation. Stat. Methods Med. Res. 25, 188–204 (2016). doi:10.1177/0962280212445945</w:t>
      </w:r>
    </w:p>
    <w:p w14:paraId="63206EAB" w14:textId="77777777" w:rsidR="006B7A9E" w:rsidRPr="006B7A9E" w:rsidRDefault="006B7A9E" w:rsidP="006B7A9E">
      <w:pPr>
        <w:widowControl w:val="0"/>
        <w:autoSpaceDE w:val="0"/>
        <w:autoSpaceDN w:val="0"/>
        <w:adjustRightInd w:val="0"/>
        <w:spacing w:line="240" w:lineRule="auto"/>
        <w:ind w:left="640" w:hanging="640"/>
        <w:rPr>
          <w:rFonts w:ascii="Calibri" w:hAnsi="Calibri" w:cs="Calibri"/>
          <w:noProof/>
          <w:szCs w:val="24"/>
        </w:rPr>
      </w:pPr>
      <w:r w:rsidRPr="006B7A9E">
        <w:rPr>
          <w:rFonts w:ascii="Calibri" w:hAnsi="Calibri" w:cs="Calibri"/>
          <w:noProof/>
          <w:szCs w:val="24"/>
        </w:rPr>
        <w:t xml:space="preserve">26. </w:t>
      </w:r>
      <w:r w:rsidRPr="006B7A9E">
        <w:rPr>
          <w:rFonts w:ascii="Calibri" w:hAnsi="Calibri" w:cs="Calibri"/>
          <w:noProof/>
          <w:szCs w:val="24"/>
        </w:rPr>
        <w:tab/>
        <w:t>Rubio-Valera, M., Serrano-Blanco, A., Magdalena-Belío, J., Fernández, A., García-</w:t>
      </w:r>
      <w:r w:rsidRPr="006B7A9E">
        <w:rPr>
          <w:rFonts w:ascii="Calibri" w:hAnsi="Calibri" w:cs="Calibri"/>
          <w:noProof/>
          <w:szCs w:val="24"/>
        </w:rPr>
        <w:lastRenderedPageBreak/>
        <w:t>Campayo, J., Pujol, M.M., Hoyo, Y.L. Del: Effectiveness of pharmacist care in the improvement of adherence to antidepressants: A systematic review and meta-analysis. Ann. Pharmacother. 45, 39–48 (2011)</w:t>
      </w:r>
    </w:p>
    <w:p w14:paraId="6E427B46" w14:textId="77777777" w:rsidR="006B7A9E" w:rsidRPr="006B7A9E" w:rsidRDefault="006B7A9E" w:rsidP="006B7A9E">
      <w:pPr>
        <w:widowControl w:val="0"/>
        <w:autoSpaceDE w:val="0"/>
        <w:autoSpaceDN w:val="0"/>
        <w:adjustRightInd w:val="0"/>
        <w:spacing w:line="240" w:lineRule="auto"/>
        <w:ind w:left="640" w:hanging="640"/>
        <w:rPr>
          <w:rFonts w:ascii="Calibri" w:hAnsi="Calibri" w:cs="Calibri"/>
          <w:noProof/>
          <w:szCs w:val="24"/>
        </w:rPr>
      </w:pPr>
      <w:r w:rsidRPr="006B7A9E">
        <w:rPr>
          <w:rFonts w:ascii="Calibri" w:hAnsi="Calibri" w:cs="Calibri"/>
          <w:noProof/>
          <w:szCs w:val="24"/>
        </w:rPr>
        <w:t xml:space="preserve">27. </w:t>
      </w:r>
      <w:r w:rsidRPr="006B7A9E">
        <w:rPr>
          <w:rFonts w:ascii="Calibri" w:hAnsi="Calibri" w:cs="Calibri"/>
          <w:noProof/>
          <w:szCs w:val="24"/>
        </w:rPr>
        <w:tab/>
        <w:t>Serrano-Blanco, A., Pinto-Meza, A., Suárez, D., Peñarrubia, M.T., Haro, J.M.: Cost-utility of selective serotonin reuptake inhibitors for depression in primary care in Catalonia. Acta Psychiatr Scand Suppl. 114, 39–47 (2006). doi:10.1111/j.1600-0447.2006.00918.x</w:t>
      </w:r>
    </w:p>
    <w:p w14:paraId="07800E84" w14:textId="77777777" w:rsidR="006B7A9E" w:rsidRPr="006B7A9E" w:rsidRDefault="006B7A9E" w:rsidP="006B7A9E">
      <w:pPr>
        <w:widowControl w:val="0"/>
        <w:autoSpaceDE w:val="0"/>
        <w:autoSpaceDN w:val="0"/>
        <w:adjustRightInd w:val="0"/>
        <w:spacing w:line="240" w:lineRule="auto"/>
        <w:ind w:left="640" w:hanging="640"/>
        <w:rPr>
          <w:rFonts w:ascii="Calibri" w:hAnsi="Calibri" w:cs="Calibri"/>
          <w:noProof/>
          <w:szCs w:val="24"/>
        </w:rPr>
      </w:pPr>
      <w:r w:rsidRPr="006B7A9E">
        <w:rPr>
          <w:rFonts w:ascii="Calibri" w:hAnsi="Calibri" w:cs="Calibri"/>
          <w:noProof/>
          <w:szCs w:val="24"/>
        </w:rPr>
        <w:t xml:space="preserve">28. </w:t>
      </w:r>
      <w:r w:rsidRPr="006B7A9E">
        <w:rPr>
          <w:rFonts w:ascii="Calibri" w:hAnsi="Calibri" w:cs="Calibri"/>
          <w:noProof/>
          <w:szCs w:val="24"/>
        </w:rPr>
        <w:tab/>
        <w:t>Rubio-Valera, M., Bosmans, J., Fernández, A., Peñarrubia-María, M., March, M., Travé, P., Bellón, J. a, Serrano-Blanco, A.: Cost-effectiveness of a community pharmacist intervention in patients with depression: a randomized controlled trial (PRODEFAR Study). PLoS One. 8, e70588 (2013). doi:10.1371/journal.pone.0070588</w:t>
      </w:r>
    </w:p>
    <w:p w14:paraId="56B98896" w14:textId="77777777" w:rsidR="006B7A9E" w:rsidRPr="006B7A9E" w:rsidRDefault="006B7A9E" w:rsidP="006B7A9E">
      <w:pPr>
        <w:widowControl w:val="0"/>
        <w:autoSpaceDE w:val="0"/>
        <w:autoSpaceDN w:val="0"/>
        <w:adjustRightInd w:val="0"/>
        <w:spacing w:line="240" w:lineRule="auto"/>
        <w:ind w:left="640" w:hanging="640"/>
        <w:rPr>
          <w:rFonts w:ascii="Calibri" w:hAnsi="Calibri" w:cs="Calibri"/>
          <w:noProof/>
          <w:szCs w:val="24"/>
        </w:rPr>
      </w:pPr>
      <w:r w:rsidRPr="006B7A9E">
        <w:rPr>
          <w:rFonts w:ascii="Calibri" w:hAnsi="Calibri" w:cs="Calibri"/>
          <w:noProof/>
          <w:szCs w:val="24"/>
        </w:rPr>
        <w:t xml:space="preserve">29. </w:t>
      </w:r>
      <w:r w:rsidRPr="006B7A9E">
        <w:rPr>
          <w:rFonts w:ascii="Calibri" w:hAnsi="Calibri" w:cs="Calibri"/>
          <w:noProof/>
          <w:szCs w:val="24"/>
        </w:rPr>
        <w:tab/>
        <w:t>Hermens, M.L., van Hout, H.P., Terluin, B., Adèr, H.J., Penninx, B.W., van Marwijk, H.W., Bosmans, J.E., van Dyck, R., de Haan, M., Katon, W., Schulberg, H., Ackermann, R., Williams, J., Doogan, D., Langdon, C., Elkin, I., Shea, M., Watkins, J., Imber, S., Sotsky, S., Collins, J., Glass, D., Pilkonis, P., Leber, W., Docherty, J., Middleton, H., Shaw, I., Hull, S., Feder, G., Oxman, T., Sengupta, A., Waal, M. De, Stolk, J., Marwijk, H. van, Springer, M., Spies, T., Mokkink, H., Robbé, P.D.V., Grol, R., Marwijk, H. Van, Grundmeijer, H., Brueren, M., Sigling, H., Stolk, J., Gelderen, M. Van, Vintges, M., Eizenga, W., Burgers, J., Marwijk, H. Van, Bijl, D., Ader, H., Haan, M. De, MacGillivray, S., Arroll, B., Hatcher, S., Ogston, S., Reid, I., Sullivan, F., Williams, B., Crombie, I., Brugha, T., Cragg, D., Costa, P., McCrae, R., Andrews, G., Peters, L., Montgomery, S., Asberg, M., Hermens, M., Adèr, H., Hout, H. van, Terluin, B., Dyck, R. van, Haan, M. de, Ware, J., Sherbourne, C., Ware, J., Koshinski, M., Keller, S., Larsen, D., Attkisson, C., Hargreaves, W., Nguyen, T., Malt, U., Robak, O., Madsbu, H., Bakke, O., Loeb, M., Cohen, J., Jones, B., Jarvis, P., Lewis, J., Ebbutt, A., Rasbash, J., Browne, W., Goldstein, H., Yang, M., Woodhouse, G., Healy, M., Hauck, W., Anderson, S., Schaik, D. van, Klijn, A., Hout, H. van, Marwijk, H. van, Beekman, A., Haan, M. De, Dyck, R. van, Piaggio, G., Elbourne, D., Altman, D., Pocock, S., Evans, S., Barrett, J., Williams, J., Oxman, T., Frank, E., Katon, W., Sullivan, M., Hegel, M., Cornell, J., Sengupta, A., Paykel, E., Hollyman, J., Freeling, P., Sedgwick, P., Bedi, N., Chilvers, C., Churchill, R., Dewey, M., Duggan, C., Fielding, K., Gretton, V., Miller, P., Harrison, G., Lee, A., Williams, I., Chilvers, C., Dewey, M., Fielding, K., Gretton, V., Miller, P., Palmer, B., Weller, D., Churchill, R., Williams, I., Bedi, N., Duggan, C., Lee, A., Harrison, G., Mynors-Wallis, L., Gath, D., Day, A., Baker, F., Marwijk, H. van: Clinical effectiveness of usual care with or without antidepressant medication for primary care patients with minor or mild-major depression: a randomized equivalence trial. BMC Med. 5, 36 (2007). doi:10.1186/1741-7015-5-36</w:t>
      </w:r>
    </w:p>
    <w:p w14:paraId="26B9C9E5" w14:textId="77777777" w:rsidR="006B7A9E" w:rsidRPr="006B7A9E" w:rsidRDefault="006B7A9E" w:rsidP="006B7A9E">
      <w:pPr>
        <w:widowControl w:val="0"/>
        <w:autoSpaceDE w:val="0"/>
        <w:autoSpaceDN w:val="0"/>
        <w:adjustRightInd w:val="0"/>
        <w:spacing w:line="240" w:lineRule="auto"/>
        <w:ind w:left="640" w:hanging="640"/>
        <w:rPr>
          <w:rFonts w:ascii="Calibri" w:hAnsi="Calibri" w:cs="Calibri"/>
          <w:noProof/>
          <w:szCs w:val="24"/>
        </w:rPr>
      </w:pPr>
      <w:r w:rsidRPr="006B7A9E">
        <w:rPr>
          <w:rFonts w:ascii="Calibri" w:hAnsi="Calibri" w:cs="Calibri"/>
          <w:noProof/>
          <w:szCs w:val="24"/>
        </w:rPr>
        <w:t xml:space="preserve">30. </w:t>
      </w:r>
      <w:r w:rsidRPr="006B7A9E">
        <w:rPr>
          <w:rFonts w:ascii="Calibri" w:hAnsi="Calibri" w:cs="Calibri"/>
          <w:noProof/>
          <w:szCs w:val="24"/>
        </w:rPr>
        <w:tab/>
        <w:t>van Straten, A., Hill, J., Richards, D.A., Cuijpers, P.: Stepped care treatment delivery for depression: a systematic review and meta-analysis. Psychol. Med. 45, 231–46 (2015). doi:10.1017/S0033291714000701</w:t>
      </w:r>
    </w:p>
    <w:p w14:paraId="40832325" w14:textId="77777777" w:rsidR="006B7A9E" w:rsidRPr="006B7A9E" w:rsidRDefault="006B7A9E" w:rsidP="006B7A9E">
      <w:pPr>
        <w:widowControl w:val="0"/>
        <w:autoSpaceDE w:val="0"/>
        <w:autoSpaceDN w:val="0"/>
        <w:adjustRightInd w:val="0"/>
        <w:spacing w:line="240" w:lineRule="auto"/>
        <w:ind w:left="640" w:hanging="640"/>
        <w:rPr>
          <w:rFonts w:ascii="Calibri" w:hAnsi="Calibri" w:cs="Calibri"/>
          <w:noProof/>
          <w:szCs w:val="24"/>
        </w:rPr>
      </w:pPr>
      <w:r w:rsidRPr="006B7A9E">
        <w:rPr>
          <w:rFonts w:ascii="Calibri" w:hAnsi="Calibri" w:cs="Calibri"/>
          <w:noProof/>
          <w:szCs w:val="24"/>
        </w:rPr>
        <w:t xml:space="preserve">31. </w:t>
      </w:r>
      <w:r w:rsidRPr="006B7A9E">
        <w:rPr>
          <w:rFonts w:ascii="Calibri" w:hAnsi="Calibri" w:cs="Calibri"/>
          <w:noProof/>
          <w:szCs w:val="24"/>
        </w:rPr>
        <w:tab/>
        <w:t>Posternak, M.A., Miller, I.: Untreated short-term course of major depression: a meta-analysis of outcomes from studies using wait-list control groups. J. Affect. Disord. 66, 139–46 (2001)</w:t>
      </w:r>
    </w:p>
    <w:p w14:paraId="01E80AD4" w14:textId="77777777" w:rsidR="006B7A9E" w:rsidRPr="006B7A9E" w:rsidRDefault="006B7A9E" w:rsidP="006B7A9E">
      <w:pPr>
        <w:widowControl w:val="0"/>
        <w:autoSpaceDE w:val="0"/>
        <w:autoSpaceDN w:val="0"/>
        <w:adjustRightInd w:val="0"/>
        <w:spacing w:line="240" w:lineRule="auto"/>
        <w:ind w:left="640" w:hanging="640"/>
        <w:rPr>
          <w:rFonts w:ascii="Calibri" w:hAnsi="Calibri" w:cs="Calibri"/>
          <w:noProof/>
          <w:szCs w:val="24"/>
        </w:rPr>
      </w:pPr>
      <w:r w:rsidRPr="006B7A9E">
        <w:rPr>
          <w:rFonts w:ascii="Calibri" w:hAnsi="Calibri" w:cs="Calibri"/>
          <w:noProof/>
          <w:szCs w:val="24"/>
        </w:rPr>
        <w:t xml:space="preserve">32. </w:t>
      </w:r>
      <w:r w:rsidRPr="006B7A9E">
        <w:rPr>
          <w:rFonts w:ascii="Calibri" w:hAnsi="Calibri" w:cs="Calibri"/>
          <w:noProof/>
          <w:szCs w:val="24"/>
        </w:rPr>
        <w:tab/>
        <w:t>Vallejo-Torres, L., García-Lorenzo, B., Castilla, I., Valcárcel Nazco, C., García-Pérez, L., Linertová, R., Serrano-Aguilar, P.: Valor Monetario de un Año de Vida Ajustado por Calidad: Estimación empírica del coste de oportunidad en el Sistema Nacional de Salud. (2015)</w:t>
      </w:r>
    </w:p>
    <w:p w14:paraId="3DF405F6" w14:textId="77777777" w:rsidR="006B7A9E" w:rsidRPr="006B7A9E" w:rsidRDefault="006B7A9E" w:rsidP="006B7A9E">
      <w:pPr>
        <w:widowControl w:val="0"/>
        <w:autoSpaceDE w:val="0"/>
        <w:autoSpaceDN w:val="0"/>
        <w:adjustRightInd w:val="0"/>
        <w:spacing w:line="240" w:lineRule="auto"/>
        <w:ind w:left="640" w:hanging="640"/>
        <w:rPr>
          <w:rFonts w:ascii="Calibri" w:hAnsi="Calibri" w:cs="Calibri"/>
          <w:noProof/>
          <w:szCs w:val="24"/>
        </w:rPr>
      </w:pPr>
      <w:r w:rsidRPr="006B7A9E">
        <w:rPr>
          <w:rFonts w:ascii="Calibri" w:hAnsi="Calibri" w:cs="Calibri"/>
          <w:noProof/>
          <w:szCs w:val="24"/>
        </w:rPr>
        <w:t xml:space="preserve">33. </w:t>
      </w:r>
      <w:r w:rsidRPr="006B7A9E">
        <w:rPr>
          <w:rFonts w:ascii="Calibri" w:hAnsi="Calibri" w:cs="Calibri"/>
          <w:noProof/>
          <w:szCs w:val="24"/>
        </w:rPr>
        <w:tab/>
        <w:t xml:space="preserve">Shiroiwa, T., Sung, Y.-K., Fukuda, T., Lang, H.-C., Bae, S.-C., Tsutani, K.: International survey on willingness-to-pay (WTP) for one additional QALY gained: what is the </w:t>
      </w:r>
      <w:r w:rsidRPr="006B7A9E">
        <w:rPr>
          <w:rFonts w:ascii="Calibri" w:hAnsi="Calibri" w:cs="Calibri"/>
          <w:noProof/>
          <w:szCs w:val="24"/>
        </w:rPr>
        <w:lastRenderedPageBreak/>
        <w:t>threshold of cost effectiveness? Health Econ. 19, 422–437 (2010). doi:10.1002/hec.1481</w:t>
      </w:r>
    </w:p>
    <w:p w14:paraId="559588E2" w14:textId="77777777" w:rsidR="006B7A9E" w:rsidRPr="006B7A9E" w:rsidRDefault="006B7A9E" w:rsidP="006B7A9E">
      <w:pPr>
        <w:widowControl w:val="0"/>
        <w:autoSpaceDE w:val="0"/>
        <w:autoSpaceDN w:val="0"/>
        <w:adjustRightInd w:val="0"/>
        <w:spacing w:line="240" w:lineRule="auto"/>
        <w:ind w:left="640" w:hanging="640"/>
        <w:rPr>
          <w:rFonts w:ascii="Calibri" w:hAnsi="Calibri" w:cs="Calibri"/>
          <w:noProof/>
          <w:szCs w:val="24"/>
        </w:rPr>
      </w:pPr>
      <w:r w:rsidRPr="006B7A9E">
        <w:rPr>
          <w:rFonts w:ascii="Calibri" w:hAnsi="Calibri" w:cs="Calibri"/>
          <w:noProof/>
          <w:szCs w:val="24"/>
        </w:rPr>
        <w:t xml:space="preserve">34. </w:t>
      </w:r>
      <w:r w:rsidRPr="006B7A9E">
        <w:rPr>
          <w:rFonts w:ascii="Calibri" w:hAnsi="Calibri" w:cs="Calibri"/>
          <w:noProof/>
          <w:szCs w:val="24"/>
        </w:rPr>
        <w:tab/>
        <w:t>Barbosa, C., Cowell, A., Dowd, W., Landwehr, J., Aldridge, A., Bray, J.: The cost-effectiveness of brief intervention versus brief treatment of Screening, Brief Intervention and Referral to Treatment (SBIRT) in the United States. Addiction. 112, 73–81 (2017). doi:10.1111/add.13658</w:t>
      </w:r>
    </w:p>
    <w:p w14:paraId="64B120C3" w14:textId="77777777" w:rsidR="006B7A9E" w:rsidRPr="006B7A9E" w:rsidRDefault="006B7A9E" w:rsidP="006B7A9E">
      <w:pPr>
        <w:widowControl w:val="0"/>
        <w:autoSpaceDE w:val="0"/>
        <w:autoSpaceDN w:val="0"/>
        <w:adjustRightInd w:val="0"/>
        <w:spacing w:line="240" w:lineRule="auto"/>
        <w:ind w:left="640" w:hanging="640"/>
        <w:rPr>
          <w:rFonts w:ascii="Calibri" w:hAnsi="Calibri" w:cs="Calibri"/>
          <w:noProof/>
          <w:szCs w:val="24"/>
        </w:rPr>
      </w:pPr>
      <w:r w:rsidRPr="006B7A9E">
        <w:rPr>
          <w:rFonts w:ascii="Calibri" w:hAnsi="Calibri" w:cs="Calibri"/>
          <w:noProof/>
          <w:szCs w:val="24"/>
        </w:rPr>
        <w:t xml:space="preserve">35. </w:t>
      </w:r>
      <w:r w:rsidRPr="006B7A9E">
        <w:rPr>
          <w:rFonts w:ascii="Calibri" w:hAnsi="Calibri" w:cs="Calibri"/>
          <w:noProof/>
          <w:szCs w:val="24"/>
        </w:rPr>
        <w:tab/>
        <w:t>MacNeil Vroomen, J., Bosmans, J.E., Eekhout, I., Joling, K.J., van Mierlo, L.D., Meiland, F.J.M., van Hout, H.P.J., de Rooij, S.E.: The Cost-Effectiveness of Two Forms of Case Management Compared to a Control Group for Persons with Dementia and Their Informal Caregivers from a Societal Perspective. PLoS One. 11, e0160908 (2016). doi:10.1371/journal.pone.0160908</w:t>
      </w:r>
    </w:p>
    <w:p w14:paraId="7A42D0CC" w14:textId="77777777" w:rsidR="006B7A9E" w:rsidRPr="006B7A9E" w:rsidRDefault="006B7A9E" w:rsidP="006B7A9E">
      <w:pPr>
        <w:widowControl w:val="0"/>
        <w:autoSpaceDE w:val="0"/>
        <w:autoSpaceDN w:val="0"/>
        <w:adjustRightInd w:val="0"/>
        <w:spacing w:line="240" w:lineRule="auto"/>
        <w:ind w:left="640" w:hanging="640"/>
        <w:rPr>
          <w:rFonts w:ascii="Calibri" w:hAnsi="Calibri" w:cs="Calibri"/>
          <w:noProof/>
          <w:szCs w:val="24"/>
        </w:rPr>
      </w:pPr>
      <w:r w:rsidRPr="006B7A9E">
        <w:rPr>
          <w:rFonts w:ascii="Calibri" w:hAnsi="Calibri" w:cs="Calibri"/>
          <w:noProof/>
          <w:szCs w:val="24"/>
        </w:rPr>
        <w:t xml:space="preserve">36. </w:t>
      </w:r>
      <w:r w:rsidRPr="006B7A9E">
        <w:rPr>
          <w:rFonts w:ascii="Calibri" w:hAnsi="Calibri" w:cs="Calibri"/>
          <w:noProof/>
          <w:szCs w:val="24"/>
        </w:rPr>
        <w:tab/>
        <w:t>Scherrer, J.F., Salas, J., Schneider, F.D., Bucholz, K.K., Sullivan, M.D., Copeland, L.A., Ahmedani, B.K., Burroughs, T., Lustman, P.J.: Characteristics of new depression diagnoses in patients with and without prior chronic opioid use. J. Affect. Disord. 210, 125–129 (2017). doi:10.1016/j.jad.2016.12.027</w:t>
      </w:r>
    </w:p>
    <w:p w14:paraId="70511AE4" w14:textId="77777777" w:rsidR="006B7A9E" w:rsidRPr="006B7A9E" w:rsidRDefault="006B7A9E" w:rsidP="006B7A9E">
      <w:pPr>
        <w:widowControl w:val="0"/>
        <w:autoSpaceDE w:val="0"/>
        <w:autoSpaceDN w:val="0"/>
        <w:adjustRightInd w:val="0"/>
        <w:spacing w:line="240" w:lineRule="auto"/>
        <w:ind w:left="640" w:hanging="640"/>
        <w:rPr>
          <w:rFonts w:ascii="Calibri" w:hAnsi="Calibri" w:cs="Calibri"/>
          <w:noProof/>
          <w:szCs w:val="24"/>
        </w:rPr>
      </w:pPr>
      <w:r w:rsidRPr="006B7A9E">
        <w:rPr>
          <w:rFonts w:ascii="Calibri" w:hAnsi="Calibri" w:cs="Calibri"/>
          <w:noProof/>
          <w:szCs w:val="24"/>
        </w:rPr>
        <w:t xml:space="preserve">37. </w:t>
      </w:r>
      <w:r w:rsidRPr="006B7A9E">
        <w:rPr>
          <w:rFonts w:ascii="Calibri" w:hAnsi="Calibri" w:cs="Calibri"/>
          <w:noProof/>
          <w:szCs w:val="24"/>
        </w:rPr>
        <w:tab/>
        <w:t>Lutz, W., Schiefele, A.-K., Wucherpfennig, F., Rubel, J., Stulz, N.: Clinical effectiveness of cognitive behavioral therapy for depression in routine care: A propensity score based comparison between randomized controlled trials and clinical practice. J. Affect. Disord. 189, 150–158 (2016). doi:10.1016/j.jad.2015.08.072</w:t>
      </w:r>
    </w:p>
    <w:p w14:paraId="72819589" w14:textId="77777777" w:rsidR="006B7A9E" w:rsidRPr="006B7A9E" w:rsidRDefault="006B7A9E" w:rsidP="006B7A9E">
      <w:pPr>
        <w:widowControl w:val="0"/>
        <w:autoSpaceDE w:val="0"/>
        <w:autoSpaceDN w:val="0"/>
        <w:adjustRightInd w:val="0"/>
        <w:spacing w:line="240" w:lineRule="auto"/>
        <w:ind w:left="640" w:hanging="640"/>
        <w:rPr>
          <w:rFonts w:ascii="Calibri" w:hAnsi="Calibri" w:cs="Calibri"/>
          <w:noProof/>
          <w:szCs w:val="24"/>
        </w:rPr>
      </w:pPr>
      <w:r w:rsidRPr="006B7A9E">
        <w:rPr>
          <w:rFonts w:ascii="Calibri" w:hAnsi="Calibri" w:cs="Calibri"/>
          <w:noProof/>
          <w:szCs w:val="24"/>
        </w:rPr>
        <w:t xml:space="preserve">38. </w:t>
      </w:r>
      <w:r w:rsidRPr="006B7A9E">
        <w:rPr>
          <w:rFonts w:ascii="Calibri" w:hAnsi="Calibri" w:cs="Calibri"/>
          <w:noProof/>
          <w:szCs w:val="24"/>
        </w:rPr>
        <w:tab/>
        <w:t>Vuorilehto, M.S., Melartin, T.K., Riihimäki, K., Isometsä, E.T.: Pharmacological and psychosocial treatment of depression in primary care: Low intensity and poor adherence and continuity. J. Affect. Disord. 202, 145–152 (2016). doi:10.1016/j.jad.2016.05.035</w:t>
      </w:r>
    </w:p>
    <w:p w14:paraId="70529A95" w14:textId="77777777" w:rsidR="006B7A9E" w:rsidRPr="006B7A9E" w:rsidRDefault="006B7A9E" w:rsidP="006B7A9E">
      <w:pPr>
        <w:widowControl w:val="0"/>
        <w:autoSpaceDE w:val="0"/>
        <w:autoSpaceDN w:val="0"/>
        <w:adjustRightInd w:val="0"/>
        <w:spacing w:line="240" w:lineRule="auto"/>
        <w:ind w:left="640" w:hanging="640"/>
        <w:rPr>
          <w:rFonts w:ascii="Calibri" w:hAnsi="Calibri" w:cs="Calibri"/>
          <w:noProof/>
        </w:rPr>
      </w:pPr>
      <w:r w:rsidRPr="006B7A9E">
        <w:rPr>
          <w:rFonts w:ascii="Calibri" w:hAnsi="Calibri" w:cs="Calibri"/>
          <w:noProof/>
          <w:szCs w:val="24"/>
        </w:rPr>
        <w:t xml:space="preserve">39. </w:t>
      </w:r>
      <w:r w:rsidRPr="006B7A9E">
        <w:rPr>
          <w:rFonts w:ascii="Calibri" w:hAnsi="Calibri" w:cs="Calibri"/>
          <w:noProof/>
          <w:szCs w:val="24"/>
        </w:rPr>
        <w:tab/>
        <w:t>Rubio-Valera, M., March Pujol, M., Fernández, A., Peñarrubia-María, M.T., Travé, P., López Del Hoyo, Y., Serrano-Blanco, A.: Evaluation of a pharmacist intervention on patients initiating pharmacological treatment for depression: a randomized controlled superiority trial. Eur. Neuropsychopharmacol. 23, 1057–66 (2013). doi:10.1016/j.euroneuro.2012.11.006</w:t>
      </w:r>
    </w:p>
    <w:p w14:paraId="77B97536" w14:textId="20361307" w:rsidR="002438AF" w:rsidRDefault="00183964">
      <w:pPr>
        <w:rPr>
          <w:rFonts w:ascii="Times New Roman" w:hAnsi="Times New Roman"/>
          <w:lang w:val="en-US"/>
        </w:rPr>
      </w:pPr>
      <w:r>
        <w:rPr>
          <w:lang w:val="en-US"/>
        </w:rPr>
        <w:fldChar w:fldCharType="end"/>
      </w:r>
      <w:r w:rsidR="002438AF">
        <w:rPr>
          <w:rFonts w:ascii="Times New Roman" w:hAnsi="Times New Roman"/>
          <w:lang w:val="en-US"/>
        </w:rPr>
        <w:br w:type="page"/>
      </w:r>
    </w:p>
    <w:p w14:paraId="20D2A329" w14:textId="77777777" w:rsidR="005413E9" w:rsidRDefault="002438AF" w:rsidP="00C25864">
      <w:pPr>
        <w:widowControl w:val="0"/>
        <w:autoSpaceDE w:val="0"/>
        <w:autoSpaceDN w:val="0"/>
        <w:adjustRightInd w:val="0"/>
        <w:spacing w:line="480" w:lineRule="auto"/>
        <w:ind w:left="640" w:hanging="640"/>
        <w:rPr>
          <w:rFonts w:ascii="Times New Roman" w:hAnsi="Times New Roman"/>
          <w:b/>
          <w:lang w:val="en-US"/>
        </w:rPr>
      </w:pPr>
      <w:r w:rsidRPr="002438AF">
        <w:rPr>
          <w:rFonts w:ascii="Times New Roman" w:hAnsi="Times New Roman"/>
          <w:b/>
          <w:lang w:val="en-US"/>
        </w:rPr>
        <w:lastRenderedPageBreak/>
        <w:t>Legends</w:t>
      </w:r>
    </w:p>
    <w:p w14:paraId="4BCA3030" w14:textId="77777777" w:rsidR="00EA371A" w:rsidRPr="00EA371A" w:rsidRDefault="00EA371A" w:rsidP="00C25864">
      <w:pPr>
        <w:widowControl w:val="0"/>
        <w:autoSpaceDE w:val="0"/>
        <w:autoSpaceDN w:val="0"/>
        <w:adjustRightInd w:val="0"/>
        <w:spacing w:line="480" w:lineRule="auto"/>
        <w:ind w:left="640" w:hanging="640"/>
        <w:rPr>
          <w:rFonts w:ascii="Times New Roman" w:hAnsi="Times New Roman"/>
          <w:lang w:val="en-US"/>
        </w:rPr>
      </w:pPr>
      <w:r w:rsidRPr="00EA371A">
        <w:rPr>
          <w:rFonts w:ascii="Times New Roman" w:hAnsi="Times New Roman"/>
          <w:lang w:val="en-US"/>
        </w:rPr>
        <w:t>Color should not be used for figures in print.</w:t>
      </w:r>
    </w:p>
    <w:p w14:paraId="26A7888A" w14:textId="77777777" w:rsidR="00464E67" w:rsidRPr="00464E67" w:rsidRDefault="00464E67" w:rsidP="00095EDF">
      <w:pPr>
        <w:jc w:val="both"/>
        <w:rPr>
          <w:rFonts w:ascii="Times New Roman" w:hAnsi="Times New Roman" w:cs="Times New Roman"/>
          <w:lang w:val="en-US"/>
        </w:rPr>
      </w:pPr>
      <w:r w:rsidRPr="00464E67">
        <w:rPr>
          <w:rFonts w:ascii="Times New Roman" w:hAnsi="Times New Roman" w:cs="Times New Roman"/>
          <w:b/>
          <w:lang w:val="en-US"/>
        </w:rPr>
        <w:t>Figure 1.</w:t>
      </w:r>
      <w:r w:rsidRPr="00464E67">
        <w:rPr>
          <w:rFonts w:ascii="Times New Roman" w:hAnsi="Times New Roman" w:cs="Times New Roman"/>
          <w:lang w:val="en-US"/>
        </w:rPr>
        <w:t xml:space="preserve"> Flow of the participants in the study</w:t>
      </w:r>
    </w:p>
    <w:p w14:paraId="042DED94" w14:textId="019E7535" w:rsidR="00464E67" w:rsidRPr="00464E67" w:rsidRDefault="00464E67" w:rsidP="00095EDF">
      <w:pPr>
        <w:jc w:val="both"/>
        <w:rPr>
          <w:rFonts w:ascii="Times New Roman" w:hAnsi="Times New Roman" w:cs="Times New Roman"/>
          <w:lang w:val="en-US"/>
        </w:rPr>
      </w:pPr>
      <w:r w:rsidRPr="00464E67">
        <w:rPr>
          <w:rFonts w:ascii="Times New Roman" w:hAnsi="Times New Roman" w:cs="Times New Roman"/>
          <w:b/>
          <w:lang w:val="en-US"/>
        </w:rPr>
        <w:t>Figure 2.</w:t>
      </w:r>
      <w:r w:rsidRPr="00464E67">
        <w:rPr>
          <w:rFonts w:ascii="Times New Roman" w:hAnsi="Times New Roman" w:cs="Times New Roman"/>
          <w:lang w:val="en-US"/>
        </w:rPr>
        <w:t xml:space="preserve"> Cost-utility planes </w:t>
      </w:r>
      <w:r w:rsidR="004F3E5A">
        <w:rPr>
          <w:rFonts w:ascii="Times New Roman" w:hAnsi="Times New Roman" w:cs="Times New Roman"/>
          <w:lang w:val="en-US"/>
        </w:rPr>
        <w:t xml:space="preserve">and cost-utility acceptability curves </w:t>
      </w:r>
      <w:r w:rsidRPr="00464E67">
        <w:rPr>
          <w:rFonts w:ascii="Times New Roman" w:hAnsi="Times New Roman" w:cs="Times New Roman"/>
          <w:lang w:val="en-US"/>
        </w:rPr>
        <w:t xml:space="preserve">of </w:t>
      </w:r>
      <w:r w:rsidR="00B20112">
        <w:rPr>
          <w:rFonts w:ascii="Times New Roman" w:hAnsi="Times New Roman" w:cs="Times New Roman"/>
          <w:lang w:val="en-US"/>
        </w:rPr>
        <w:t>AM</w:t>
      </w:r>
      <w:r w:rsidRPr="00464E67">
        <w:rPr>
          <w:rFonts w:ascii="Times New Roman" w:hAnsi="Times New Roman" w:cs="Times New Roman"/>
          <w:lang w:val="en-US"/>
        </w:rPr>
        <w:t xml:space="preserve"> vs antidepressants</w:t>
      </w:r>
    </w:p>
    <w:p w14:paraId="49C74C14" w14:textId="77777777" w:rsidR="004F3E5A" w:rsidRDefault="00464E67" w:rsidP="00095EDF">
      <w:pPr>
        <w:jc w:val="both"/>
        <w:rPr>
          <w:rFonts w:ascii="Times New Roman" w:hAnsi="Times New Roman" w:cs="Times New Roman"/>
          <w:lang w:val="en-US"/>
        </w:rPr>
      </w:pPr>
      <w:r w:rsidRPr="00464E67">
        <w:rPr>
          <w:rFonts w:ascii="Times New Roman" w:hAnsi="Times New Roman" w:cs="Times New Roman"/>
          <w:lang w:val="en-US"/>
        </w:rPr>
        <w:t>QALYs = Quality Adjusted Life Years</w:t>
      </w:r>
      <w:r w:rsidR="004F3E5A">
        <w:rPr>
          <w:rFonts w:ascii="Times New Roman" w:hAnsi="Times New Roman" w:cs="Times New Roman"/>
          <w:lang w:val="en-US"/>
        </w:rPr>
        <w:t xml:space="preserve">. </w:t>
      </w:r>
    </w:p>
    <w:p w14:paraId="270A8FE1" w14:textId="54F5D4A5" w:rsidR="00464E67" w:rsidRDefault="004F3E5A" w:rsidP="004F3E5A">
      <w:pPr>
        <w:jc w:val="both"/>
        <w:rPr>
          <w:rFonts w:ascii="Times New Roman" w:hAnsi="Times New Roman" w:cs="Times New Roman"/>
          <w:lang w:val="en-US"/>
        </w:rPr>
      </w:pPr>
      <w:r>
        <w:rPr>
          <w:rFonts w:ascii="Times New Roman" w:hAnsi="Times New Roman" w:cs="Times New Roman"/>
          <w:lang w:val="en-US"/>
        </w:rPr>
        <w:t xml:space="preserve">Fig 2a: Cost-utility plane from the healthcare perspective at 6-month follow-up; Fig 2b: Cost-utility plane from the government perspective at 6-month follow-up; Fig 2c: </w:t>
      </w:r>
      <w:r w:rsidRPr="00464E67">
        <w:rPr>
          <w:rFonts w:ascii="Times New Roman" w:hAnsi="Times New Roman" w:cs="Times New Roman"/>
          <w:lang w:val="en-US"/>
        </w:rPr>
        <w:t>Cost-utility acceptability curves</w:t>
      </w:r>
      <w:r>
        <w:rPr>
          <w:rFonts w:ascii="Times New Roman" w:hAnsi="Times New Roman" w:cs="Times New Roman"/>
          <w:lang w:val="en-US"/>
        </w:rPr>
        <w:t xml:space="preserve"> from the healthcare and government perspective at 6-month follow-up; Fig 2d: </w:t>
      </w:r>
      <w:r w:rsidRPr="00464E67">
        <w:rPr>
          <w:rFonts w:ascii="Times New Roman" w:hAnsi="Times New Roman" w:cs="Times New Roman"/>
          <w:lang w:val="en-US"/>
        </w:rPr>
        <w:t>Cost-utility acceptability curves</w:t>
      </w:r>
      <w:r>
        <w:rPr>
          <w:rFonts w:ascii="Times New Roman" w:hAnsi="Times New Roman" w:cs="Times New Roman"/>
          <w:lang w:val="en-US"/>
        </w:rPr>
        <w:t xml:space="preserve"> from the healthcare and government perspective at 12-month follow-up.</w:t>
      </w:r>
    </w:p>
    <w:p w14:paraId="5CC5825A" w14:textId="77777777" w:rsidR="005F104B" w:rsidRDefault="005F104B" w:rsidP="004F3E5A">
      <w:pPr>
        <w:jc w:val="both"/>
        <w:rPr>
          <w:rFonts w:ascii="Times New Roman" w:hAnsi="Times New Roman" w:cs="Times New Roman"/>
          <w:lang w:val="en-US"/>
        </w:rPr>
      </w:pPr>
    </w:p>
    <w:p w14:paraId="2026A032" w14:textId="77777777" w:rsidR="005F104B" w:rsidRDefault="005F104B" w:rsidP="004F3E5A">
      <w:pPr>
        <w:jc w:val="both"/>
        <w:rPr>
          <w:rFonts w:ascii="Times New Roman" w:hAnsi="Times New Roman" w:cs="Times New Roman"/>
          <w:lang w:val="en-US"/>
        </w:rPr>
      </w:pPr>
    </w:p>
    <w:p w14:paraId="04DC6E6B" w14:textId="77777777" w:rsidR="005F104B" w:rsidRDefault="005F104B" w:rsidP="004F3E5A">
      <w:pPr>
        <w:jc w:val="both"/>
        <w:rPr>
          <w:rFonts w:ascii="Times New Roman" w:hAnsi="Times New Roman" w:cs="Times New Roman"/>
          <w:lang w:val="en-US"/>
        </w:rPr>
      </w:pPr>
    </w:p>
    <w:p w14:paraId="1784A097" w14:textId="77777777" w:rsidR="005F104B" w:rsidRDefault="005F104B" w:rsidP="004F3E5A">
      <w:pPr>
        <w:jc w:val="both"/>
        <w:rPr>
          <w:rFonts w:ascii="Times New Roman" w:hAnsi="Times New Roman" w:cs="Times New Roman"/>
          <w:lang w:val="en-US"/>
        </w:rPr>
      </w:pPr>
    </w:p>
    <w:p w14:paraId="561190A7" w14:textId="77777777" w:rsidR="005F104B" w:rsidRDefault="005F104B" w:rsidP="004F3E5A">
      <w:pPr>
        <w:jc w:val="both"/>
        <w:rPr>
          <w:rFonts w:ascii="Times New Roman" w:hAnsi="Times New Roman" w:cs="Times New Roman"/>
          <w:lang w:val="en-US"/>
        </w:rPr>
      </w:pPr>
    </w:p>
    <w:p w14:paraId="7AE741AA" w14:textId="77777777" w:rsidR="005F104B" w:rsidRDefault="005F104B" w:rsidP="004F3E5A">
      <w:pPr>
        <w:jc w:val="both"/>
        <w:rPr>
          <w:rFonts w:ascii="Times New Roman" w:hAnsi="Times New Roman" w:cs="Times New Roman"/>
          <w:lang w:val="en-US"/>
        </w:rPr>
      </w:pPr>
    </w:p>
    <w:p w14:paraId="14CEFF49" w14:textId="77777777" w:rsidR="005F104B" w:rsidRDefault="005F104B" w:rsidP="004F3E5A">
      <w:pPr>
        <w:jc w:val="both"/>
        <w:rPr>
          <w:rFonts w:ascii="Times New Roman" w:hAnsi="Times New Roman" w:cs="Times New Roman"/>
          <w:lang w:val="en-US"/>
        </w:rPr>
      </w:pPr>
    </w:p>
    <w:p w14:paraId="642455FB" w14:textId="77777777" w:rsidR="005F104B" w:rsidRDefault="005F104B" w:rsidP="004F3E5A">
      <w:pPr>
        <w:jc w:val="both"/>
        <w:rPr>
          <w:rFonts w:ascii="Times New Roman" w:hAnsi="Times New Roman" w:cs="Times New Roman"/>
          <w:lang w:val="en-US"/>
        </w:rPr>
      </w:pPr>
    </w:p>
    <w:p w14:paraId="61035C71" w14:textId="77777777" w:rsidR="005F104B" w:rsidRDefault="005F104B" w:rsidP="004F3E5A">
      <w:pPr>
        <w:jc w:val="both"/>
        <w:rPr>
          <w:rFonts w:ascii="Times New Roman" w:hAnsi="Times New Roman" w:cs="Times New Roman"/>
          <w:lang w:val="en-US"/>
        </w:rPr>
      </w:pPr>
    </w:p>
    <w:p w14:paraId="58FE4838" w14:textId="77777777" w:rsidR="005F104B" w:rsidRDefault="005F104B" w:rsidP="004F3E5A">
      <w:pPr>
        <w:jc w:val="both"/>
        <w:rPr>
          <w:rFonts w:ascii="Times New Roman" w:hAnsi="Times New Roman" w:cs="Times New Roman"/>
          <w:lang w:val="en-US"/>
        </w:rPr>
      </w:pPr>
    </w:p>
    <w:p w14:paraId="2E257F23" w14:textId="77777777" w:rsidR="005F104B" w:rsidRDefault="005F104B" w:rsidP="004F3E5A">
      <w:pPr>
        <w:jc w:val="both"/>
        <w:rPr>
          <w:rFonts w:ascii="Times New Roman" w:hAnsi="Times New Roman" w:cs="Times New Roman"/>
          <w:lang w:val="en-US"/>
        </w:rPr>
      </w:pPr>
    </w:p>
    <w:p w14:paraId="6F8B1FAE" w14:textId="77777777" w:rsidR="005F104B" w:rsidRDefault="005F104B" w:rsidP="004F3E5A">
      <w:pPr>
        <w:jc w:val="both"/>
        <w:rPr>
          <w:rFonts w:ascii="Times New Roman" w:hAnsi="Times New Roman" w:cs="Times New Roman"/>
          <w:lang w:val="en-US"/>
        </w:rPr>
      </w:pPr>
    </w:p>
    <w:p w14:paraId="474B385E" w14:textId="77777777" w:rsidR="005F104B" w:rsidRDefault="005F104B" w:rsidP="004F3E5A">
      <w:pPr>
        <w:jc w:val="both"/>
        <w:rPr>
          <w:rFonts w:ascii="Times New Roman" w:hAnsi="Times New Roman" w:cs="Times New Roman"/>
          <w:lang w:val="en-US"/>
        </w:rPr>
      </w:pPr>
    </w:p>
    <w:p w14:paraId="2BBE4631" w14:textId="77777777" w:rsidR="005F104B" w:rsidRDefault="005F104B" w:rsidP="004F3E5A">
      <w:pPr>
        <w:jc w:val="both"/>
        <w:rPr>
          <w:rFonts w:ascii="Times New Roman" w:hAnsi="Times New Roman" w:cs="Times New Roman"/>
          <w:lang w:val="en-US"/>
        </w:rPr>
      </w:pPr>
    </w:p>
    <w:p w14:paraId="3D9789B0" w14:textId="77777777" w:rsidR="005F104B" w:rsidRDefault="005F104B" w:rsidP="004F3E5A">
      <w:pPr>
        <w:jc w:val="both"/>
        <w:rPr>
          <w:rFonts w:ascii="Times New Roman" w:hAnsi="Times New Roman" w:cs="Times New Roman"/>
          <w:lang w:val="en-US"/>
        </w:rPr>
      </w:pPr>
    </w:p>
    <w:p w14:paraId="7989EE24" w14:textId="77777777" w:rsidR="005F104B" w:rsidRDefault="005F104B" w:rsidP="004F3E5A">
      <w:pPr>
        <w:jc w:val="both"/>
        <w:rPr>
          <w:rFonts w:ascii="Times New Roman" w:hAnsi="Times New Roman" w:cs="Times New Roman"/>
          <w:lang w:val="en-US"/>
        </w:rPr>
      </w:pPr>
    </w:p>
    <w:p w14:paraId="3B81C6AD" w14:textId="77777777" w:rsidR="005F104B" w:rsidRDefault="005F104B" w:rsidP="004F3E5A">
      <w:pPr>
        <w:jc w:val="both"/>
        <w:rPr>
          <w:rFonts w:ascii="Times New Roman" w:hAnsi="Times New Roman" w:cs="Times New Roman"/>
          <w:lang w:val="en-US"/>
        </w:rPr>
      </w:pPr>
    </w:p>
    <w:p w14:paraId="7CAFAE64" w14:textId="77777777" w:rsidR="005F104B" w:rsidRDefault="005F104B" w:rsidP="004F3E5A">
      <w:pPr>
        <w:jc w:val="both"/>
        <w:rPr>
          <w:rFonts w:ascii="Times New Roman" w:hAnsi="Times New Roman" w:cs="Times New Roman"/>
          <w:lang w:val="en-US"/>
        </w:rPr>
      </w:pPr>
    </w:p>
    <w:p w14:paraId="7AC22078" w14:textId="77777777" w:rsidR="005F104B" w:rsidRDefault="005F104B" w:rsidP="004F3E5A">
      <w:pPr>
        <w:jc w:val="both"/>
        <w:rPr>
          <w:rFonts w:ascii="Times New Roman" w:hAnsi="Times New Roman" w:cs="Times New Roman"/>
          <w:lang w:val="en-US"/>
        </w:rPr>
      </w:pPr>
    </w:p>
    <w:p w14:paraId="04649C66" w14:textId="77777777" w:rsidR="005F104B" w:rsidRDefault="005F104B" w:rsidP="004F3E5A">
      <w:pPr>
        <w:jc w:val="both"/>
        <w:rPr>
          <w:rFonts w:ascii="Times New Roman" w:hAnsi="Times New Roman" w:cs="Times New Roman"/>
          <w:lang w:val="en-US"/>
        </w:rPr>
      </w:pPr>
    </w:p>
    <w:p w14:paraId="22D0B1D3" w14:textId="77777777" w:rsidR="005F104B" w:rsidRDefault="005F104B" w:rsidP="004F3E5A">
      <w:pPr>
        <w:jc w:val="both"/>
        <w:rPr>
          <w:rFonts w:ascii="Times New Roman" w:hAnsi="Times New Roman" w:cs="Times New Roman"/>
          <w:lang w:val="en-US"/>
        </w:rPr>
      </w:pPr>
    </w:p>
    <w:p w14:paraId="3B42AB0B" w14:textId="77777777" w:rsidR="005F104B" w:rsidRDefault="005F104B" w:rsidP="004F3E5A">
      <w:pPr>
        <w:jc w:val="both"/>
        <w:rPr>
          <w:rFonts w:ascii="Times New Roman" w:hAnsi="Times New Roman" w:cs="Times New Roman"/>
          <w:lang w:val="en-US"/>
        </w:rPr>
      </w:pPr>
    </w:p>
    <w:p w14:paraId="7A44434E" w14:textId="77777777" w:rsidR="005F104B" w:rsidRDefault="005F104B" w:rsidP="004F3E5A">
      <w:pPr>
        <w:jc w:val="both"/>
        <w:rPr>
          <w:rFonts w:ascii="Times New Roman" w:hAnsi="Times New Roman" w:cs="Times New Roman"/>
          <w:lang w:val="en-US"/>
        </w:rPr>
      </w:pPr>
    </w:p>
    <w:p w14:paraId="4924AE45" w14:textId="77777777" w:rsidR="005F104B" w:rsidRPr="00C9506C" w:rsidRDefault="005F104B" w:rsidP="005F104B">
      <w:pPr>
        <w:spacing w:after="0" w:line="480" w:lineRule="auto"/>
        <w:rPr>
          <w:b/>
          <w:bCs/>
          <w:color w:val="000000"/>
          <w:lang w:val="en-US"/>
        </w:rPr>
      </w:pPr>
      <w:r w:rsidRPr="00C9506C">
        <w:rPr>
          <w:lang w:val="en-US"/>
        </w:rPr>
        <w:lastRenderedPageBreak/>
        <w:t>Table 1. Unit costs for resources in Euros (</w:t>
      </w:r>
      <w:r w:rsidRPr="00C9506C">
        <w:rPr>
          <w:bCs/>
          <w:color w:val="000000"/>
          <w:lang w:val="en-US"/>
        </w:rPr>
        <w:t>€,</w:t>
      </w:r>
      <w:r w:rsidRPr="00C9506C">
        <w:rPr>
          <w:b/>
          <w:bCs/>
          <w:color w:val="000000"/>
          <w:lang w:val="en-US"/>
        </w:rPr>
        <w:t xml:space="preserve"> </w:t>
      </w:r>
      <w:r w:rsidRPr="00C9506C">
        <w:rPr>
          <w:lang w:val="en-US"/>
        </w:rPr>
        <w:t>year 2015)</w:t>
      </w:r>
    </w:p>
    <w:tbl>
      <w:tblPr>
        <w:tblW w:w="0" w:type="auto"/>
        <w:tblBorders>
          <w:top w:val="single" w:sz="8" w:space="0" w:color="000000"/>
          <w:bottom w:val="single" w:sz="8" w:space="0" w:color="000000"/>
        </w:tblBorders>
        <w:tblLook w:val="04A0" w:firstRow="1" w:lastRow="0" w:firstColumn="1" w:lastColumn="0" w:noHBand="0" w:noVBand="1"/>
      </w:tblPr>
      <w:tblGrid>
        <w:gridCol w:w="4733"/>
        <w:gridCol w:w="2889"/>
      </w:tblGrid>
      <w:tr w:rsidR="005F104B" w:rsidRPr="00C9506C" w14:paraId="05EA1694" w14:textId="77777777" w:rsidTr="007E28B9">
        <w:trPr>
          <w:trHeight w:val="454"/>
        </w:trPr>
        <w:tc>
          <w:tcPr>
            <w:tcW w:w="0" w:type="auto"/>
            <w:tcBorders>
              <w:top w:val="single" w:sz="8" w:space="0" w:color="000000"/>
              <w:left w:val="nil"/>
              <w:bottom w:val="single" w:sz="8" w:space="0" w:color="000000"/>
              <w:right w:val="nil"/>
            </w:tcBorders>
            <w:shd w:val="clear" w:color="auto" w:fill="auto"/>
          </w:tcPr>
          <w:p w14:paraId="1F3E61BD" w14:textId="77777777" w:rsidR="005F104B" w:rsidRPr="00C9506C" w:rsidRDefault="005F104B" w:rsidP="007E28B9">
            <w:pPr>
              <w:spacing w:after="0" w:line="480" w:lineRule="auto"/>
              <w:rPr>
                <w:b/>
                <w:bCs/>
                <w:color w:val="000000"/>
                <w:lang w:val="en-US"/>
              </w:rPr>
            </w:pPr>
            <w:r w:rsidRPr="00C9506C">
              <w:rPr>
                <w:b/>
                <w:bCs/>
                <w:color w:val="000000"/>
                <w:lang w:val="en-US"/>
              </w:rPr>
              <w:t>Type of utilization</w:t>
            </w:r>
          </w:p>
        </w:tc>
        <w:tc>
          <w:tcPr>
            <w:tcW w:w="0" w:type="auto"/>
            <w:tcBorders>
              <w:top w:val="single" w:sz="8" w:space="0" w:color="000000"/>
              <w:left w:val="nil"/>
              <w:bottom w:val="single" w:sz="8" w:space="0" w:color="000000"/>
              <w:right w:val="nil"/>
            </w:tcBorders>
            <w:shd w:val="clear" w:color="auto" w:fill="auto"/>
          </w:tcPr>
          <w:p w14:paraId="37384CE1" w14:textId="77777777" w:rsidR="005F104B" w:rsidRPr="00C9506C" w:rsidRDefault="005F104B" w:rsidP="007E28B9">
            <w:pPr>
              <w:spacing w:after="0" w:line="480" w:lineRule="auto"/>
              <w:rPr>
                <w:b/>
                <w:bCs/>
                <w:color w:val="000000"/>
                <w:lang w:val="en-US"/>
              </w:rPr>
            </w:pPr>
            <w:r w:rsidRPr="00C9506C">
              <w:rPr>
                <w:b/>
                <w:bCs/>
                <w:color w:val="000000"/>
                <w:lang w:val="en-US"/>
              </w:rPr>
              <w:t>Unit costs (€)</w:t>
            </w:r>
          </w:p>
        </w:tc>
      </w:tr>
      <w:tr w:rsidR="005F104B" w:rsidRPr="00C9506C" w14:paraId="73D3913D" w14:textId="77777777" w:rsidTr="007E28B9">
        <w:trPr>
          <w:trHeight w:val="454"/>
        </w:trPr>
        <w:tc>
          <w:tcPr>
            <w:tcW w:w="0" w:type="auto"/>
            <w:tcBorders>
              <w:left w:val="nil"/>
              <w:right w:val="nil"/>
            </w:tcBorders>
            <w:shd w:val="clear" w:color="auto" w:fill="auto"/>
          </w:tcPr>
          <w:p w14:paraId="0070E025" w14:textId="77777777" w:rsidR="005F104B" w:rsidRPr="00C9506C" w:rsidRDefault="005F104B" w:rsidP="007E28B9">
            <w:pPr>
              <w:spacing w:after="0" w:line="480" w:lineRule="auto"/>
              <w:rPr>
                <w:b/>
                <w:bCs/>
                <w:color w:val="000000"/>
                <w:lang w:val="en-US"/>
              </w:rPr>
            </w:pPr>
            <w:r w:rsidRPr="00C9506C">
              <w:rPr>
                <w:b/>
                <w:bCs/>
                <w:color w:val="000000"/>
                <w:lang w:val="en-US"/>
              </w:rPr>
              <w:t xml:space="preserve">Visit to family physician </w:t>
            </w:r>
          </w:p>
        </w:tc>
        <w:tc>
          <w:tcPr>
            <w:tcW w:w="0" w:type="auto"/>
            <w:tcBorders>
              <w:left w:val="nil"/>
              <w:right w:val="nil"/>
            </w:tcBorders>
            <w:shd w:val="clear" w:color="auto" w:fill="auto"/>
          </w:tcPr>
          <w:p w14:paraId="05539DA6" w14:textId="77777777" w:rsidR="005F104B" w:rsidRPr="00C9506C" w:rsidRDefault="005F104B" w:rsidP="007E28B9">
            <w:pPr>
              <w:spacing w:after="0" w:line="480" w:lineRule="auto"/>
              <w:rPr>
                <w:color w:val="000000"/>
                <w:lang w:val="en-US"/>
              </w:rPr>
            </w:pPr>
            <w:r w:rsidRPr="00C9506C">
              <w:rPr>
                <w:color w:val="000000"/>
                <w:lang w:val="en-US"/>
              </w:rPr>
              <w:t>40.0</w:t>
            </w:r>
          </w:p>
        </w:tc>
      </w:tr>
      <w:tr w:rsidR="005F104B" w:rsidRPr="00C9506C" w14:paraId="211049D7" w14:textId="77777777" w:rsidTr="007E28B9">
        <w:trPr>
          <w:trHeight w:val="454"/>
        </w:trPr>
        <w:tc>
          <w:tcPr>
            <w:tcW w:w="0" w:type="auto"/>
            <w:shd w:val="clear" w:color="auto" w:fill="auto"/>
          </w:tcPr>
          <w:p w14:paraId="1677D5BE" w14:textId="77777777" w:rsidR="005F104B" w:rsidRPr="00C9506C" w:rsidRDefault="005F104B" w:rsidP="007E28B9">
            <w:pPr>
              <w:spacing w:after="0" w:line="480" w:lineRule="auto"/>
              <w:rPr>
                <w:b/>
                <w:bCs/>
                <w:color w:val="000000"/>
                <w:lang w:val="en-US"/>
              </w:rPr>
            </w:pPr>
            <w:r w:rsidRPr="00C9506C">
              <w:rPr>
                <w:b/>
                <w:bCs/>
                <w:color w:val="000000"/>
                <w:lang w:val="en-US"/>
              </w:rPr>
              <w:t>Visit to nurse</w:t>
            </w:r>
          </w:p>
        </w:tc>
        <w:tc>
          <w:tcPr>
            <w:tcW w:w="0" w:type="auto"/>
            <w:shd w:val="clear" w:color="auto" w:fill="auto"/>
          </w:tcPr>
          <w:p w14:paraId="0E4FA8ED" w14:textId="77777777" w:rsidR="005F104B" w:rsidRPr="00C9506C" w:rsidRDefault="005F104B" w:rsidP="007E28B9">
            <w:pPr>
              <w:spacing w:after="0" w:line="480" w:lineRule="auto"/>
              <w:rPr>
                <w:color w:val="000000"/>
                <w:lang w:val="en-US"/>
              </w:rPr>
            </w:pPr>
            <w:r w:rsidRPr="00C9506C">
              <w:rPr>
                <w:color w:val="000000"/>
                <w:lang w:val="en-US"/>
              </w:rPr>
              <w:t>28.0</w:t>
            </w:r>
          </w:p>
        </w:tc>
      </w:tr>
      <w:tr w:rsidR="005F104B" w:rsidRPr="00C9506C" w14:paraId="3B293D40" w14:textId="77777777" w:rsidTr="007E28B9">
        <w:trPr>
          <w:trHeight w:val="454"/>
        </w:trPr>
        <w:tc>
          <w:tcPr>
            <w:tcW w:w="0" w:type="auto"/>
            <w:tcBorders>
              <w:left w:val="nil"/>
              <w:right w:val="nil"/>
            </w:tcBorders>
            <w:shd w:val="clear" w:color="auto" w:fill="auto"/>
          </w:tcPr>
          <w:p w14:paraId="08ED8A5C" w14:textId="77777777" w:rsidR="005F104B" w:rsidRPr="00C9506C" w:rsidRDefault="005F104B" w:rsidP="007E28B9">
            <w:pPr>
              <w:spacing w:after="0" w:line="480" w:lineRule="auto"/>
              <w:rPr>
                <w:b/>
                <w:bCs/>
                <w:color w:val="000000"/>
                <w:lang w:val="en-US"/>
              </w:rPr>
            </w:pPr>
            <w:r w:rsidRPr="00C9506C">
              <w:rPr>
                <w:b/>
                <w:bCs/>
                <w:color w:val="000000"/>
                <w:lang w:val="en-US"/>
              </w:rPr>
              <w:t xml:space="preserve">Visit to psychologist </w:t>
            </w:r>
          </w:p>
        </w:tc>
        <w:tc>
          <w:tcPr>
            <w:tcW w:w="0" w:type="auto"/>
            <w:tcBorders>
              <w:left w:val="nil"/>
              <w:right w:val="nil"/>
            </w:tcBorders>
            <w:shd w:val="clear" w:color="auto" w:fill="auto"/>
          </w:tcPr>
          <w:p w14:paraId="1BE1A951" w14:textId="77777777" w:rsidR="005F104B" w:rsidRPr="00C9506C" w:rsidRDefault="005F104B" w:rsidP="007E28B9">
            <w:pPr>
              <w:spacing w:after="0" w:line="480" w:lineRule="auto"/>
              <w:rPr>
                <w:color w:val="000000"/>
                <w:lang w:val="en-US"/>
              </w:rPr>
            </w:pPr>
            <w:r w:rsidRPr="00C9506C">
              <w:rPr>
                <w:color w:val="000000"/>
                <w:lang w:val="en-US"/>
              </w:rPr>
              <w:t>54.9</w:t>
            </w:r>
          </w:p>
        </w:tc>
      </w:tr>
      <w:tr w:rsidR="005F104B" w:rsidRPr="00C9506C" w14:paraId="238A82C4" w14:textId="77777777" w:rsidTr="007E28B9">
        <w:trPr>
          <w:trHeight w:val="454"/>
        </w:trPr>
        <w:tc>
          <w:tcPr>
            <w:tcW w:w="0" w:type="auto"/>
            <w:shd w:val="clear" w:color="auto" w:fill="auto"/>
          </w:tcPr>
          <w:p w14:paraId="381F9C43" w14:textId="77777777" w:rsidR="005F104B" w:rsidRPr="00C9506C" w:rsidRDefault="005F104B" w:rsidP="007E28B9">
            <w:pPr>
              <w:spacing w:after="0" w:line="480" w:lineRule="auto"/>
              <w:rPr>
                <w:b/>
                <w:bCs/>
                <w:color w:val="000000"/>
                <w:lang w:val="en-US"/>
              </w:rPr>
            </w:pPr>
            <w:r w:rsidRPr="00C9506C">
              <w:rPr>
                <w:b/>
                <w:bCs/>
                <w:color w:val="000000"/>
                <w:lang w:val="en-US"/>
              </w:rPr>
              <w:t>Visit to medical specialists (including psychiatrist)</w:t>
            </w:r>
          </w:p>
        </w:tc>
        <w:tc>
          <w:tcPr>
            <w:tcW w:w="0" w:type="auto"/>
            <w:shd w:val="clear" w:color="auto" w:fill="auto"/>
          </w:tcPr>
          <w:p w14:paraId="2FBA9247" w14:textId="77777777" w:rsidR="005F104B" w:rsidRPr="00C9506C" w:rsidRDefault="005F104B" w:rsidP="007E28B9">
            <w:pPr>
              <w:spacing w:after="0" w:line="480" w:lineRule="auto"/>
              <w:rPr>
                <w:color w:val="000000"/>
                <w:lang w:val="en-US"/>
              </w:rPr>
            </w:pPr>
            <w:r w:rsidRPr="00C9506C">
              <w:rPr>
                <w:color w:val="000000"/>
                <w:lang w:val="en-US"/>
              </w:rPr>
              <w:t>54.9</w:t>
            </w:r>
          </w:p>
        </w:tc>
      </w:tr>
      <w:tr w:rsidR="005F104B" w:rsidRPr="00C9506C" w14:paraId="4DFE1495" w14:textId="77777777" w:rsidTr="007E28B9">
        <w:trPr>
          <w:trHeight w:val="454"/>
        </w:trPr>
        <w:tc>
          <w:tcPr>
            <w:tcW w:w="0" w:type="auto"/>
            <w:tcBorders>
              <w:left w:val="nil"/>
              <w:right w:val="nil"/>
            </w:tcBorders>
            <w:shd w:val="clear" w:color="auto" w:fill="auto"/>
          </w:tcPr>
          <w:p w14:paraId="13C74BEF" w14:textId="77777777" w:rsidR="005F104B" w:rsidRPr="00C9506C" w:rsidRDefault="005F104B" w:rsidP="007E28B9">
            <w:pPr>
              <w:spacing w:after="0" w:line="480" w:lineRule="auto"/>
              <w:rPr>
                <w:b/>
                <w:bCs/>
                <w:color w:val="000000"/>
                <w:lang w:val="en-US"/>
              </w:rPr>
            </w:pPr>
            <w:r w:rsidRPr="00C9506C">
              <w:rPr>
                <w:b/>
                <w:bCs/>
                <w:color w:val="000000"/>
                <w:lang w:val="en-US"/>
              </w:rPr>
              <w:t>Visit to dentist in the primary care practice</w:t>
            </w:r>
          </w:p>
        </w:tc>
        <w:tc>
          <w:tcPr>
            <w:tcW w:w="0" w:type="auto"/>
            <w:tcBorders>
              <w:left w:val="nil"/>
              <w:right w:val="nil"/>
            </w:tcBorders>
            <w:shd w:val="clear" w:color="auto" w:fill="auto"/>
          </w:tcPr>
          <w:p w14:paraId="5FB8C22D" w14:textId="77777777" w:rsidR="005F104B" w:rsidRPr="00C9506C" w:rsidRDefault="005F104B" w:rsidP="007E28B9">
            <w:pPr>
              <w:spacing w:after="0" w:line="480" w:lineRule="auto"/>
              <w:rPr>
                <w:color w:val="000000"/>
                <w:lang w:val="en-US"/>
              </w:rPr>
            </w:pPr>
            <w:r w:rsidRPr="00C9506C">
              <w:rPr>
                <w:color w:val="000000"/>
                <w:lang w:val="en-US"/>
              </w:rPr>
              <w:t>49.0</w:t>
            </w:r>
          </w:p>
        </w:tc>
      </w:tr>
      <w:tr w:rsidR="005F104B" w:rsidRPr="00C9506C" w14:paraId="01731D08" w14:textId="77777777" w:rsidTr="007E28B9">
        <w:trPr>
          <w:trHeight w:val="454"/>
        </w:trPr>
        <w:tc>
          <w:tcPr>
            <w:tcW w:w="0" w:type="auto"/>
            <w:shd w:val="clear" w:color="auto" w:fill="auto"/>
          </w:tcPr>
          <w:p w14:paraId="276888F9" w14:textId="77777777" w:rsidR="005F104B" w:rsidRPr="00C9506C" w:rsidRDefault="005F104B" w:rsidP="007E28B9">
            <w:pPr>
              <w:spacing w:after="0" w:line="480" w:lineRule="auto"/>
              <w:rPr>
                <w:b/>
                <w:bCs/>
                <w:color w:val="000000"/>
                <w:lang w:val="en-US"/>
              </w:rPr>
            </w:pPr>
            <w:r w:rsidRPr="00C9506C">
              <w:rPr>
                <w:b/>
                <w:bCs/>
                <w:color w:val="000000"/>
                <w:lang w:val="en-US"/>
              </w:rPr>
              <w:t>Hospital emergency visit</w:t>
            </w:r>
          </w:p>
        </w:tc>
        <w:tc>
          <w:tcPr>
            <w:tcW w:w="0" w:type="auto"/>
            <w:shd w:val="clear" w:color="auto" w:fill="auto"/>
          </w:tcPr>
          <w:p w14:paraId="705B810F" w14:textId="77777777" w:rsidR="005F104B" w:rsidRPr="00C9506C" w:rsidRDefault="005F104B" w:rsidP="007E28B9">
            <w:pPr>
              <w:spacing w:after="0" w:line="480" w:lineRule="auto"/>
              <w:rPr>
                <w:color w:val="000000"/>
                <w:lang w:val="en-US"/>
              </w:rPr>
            </w:pPr>
            <w:r w:rsidRPr="00C9506C">
              <w:rPr>
                <w:color w:val="000000"/>
                <w:lang w:val="en-US"/>
              </w:rPr>
              <w:t>98.8</w:t>
            </w:r>
          </w:p>
        </w:tc>
      </w:tr>
      <w:tr w:rsidR="005F104B" w:rsidRPr="00C9506C" w14:paraId="4DF1DF57" w14:textId="77777777" w:rsidTr="007E28B9">
        <w:trPr>
          <w:trHeight w:val="454"/>
        </w:trPr>
        <w:tc>
          <w:tcPr>
            <w:tcW w:w="0" w:type="auto"/>
            <w:tcBorders>
              <w:left w:val="nil"/>
              <w:right w:val="nil"/>
            </w:tcBorders>
            <w:shd w:val="clear" w:color="auto" w:fill="auto"/>
          </w:tcPr>
          <w:p w14:paraId="382D63B2" w14:textId="77777777" w:rsidR="005F104B" w:rsidRPr="00C9506C" w:rsidRDefault="005F104B" w:rsidP="007E28B9">
            <w:pPr>
              <w:spacing w:after="0" w:line="480" w:lineRule="auto"/>
              <w:rPr>
                <w:b/>
                <w:bCs/>
                <w:color w:val="000000"/>
                <w:lang w:val="en-US"/>
              </w:rPr>
            </w:pPr>
            <w:r w:rsidRPr="00C9506C">
              <w:rPr>
                <w:b/>
                <w:bCs/>
                <w:color w:val="000000"/>
                <w:lang w:val="en-US"/>
              </w:rPr>
              <w:t>Hospital stay (per day)</w:t>
            </w:r>
          </w:p>
        </w:tc>
        <w:tc>
          <w:tcPr>
            <w:tcW w:w="0" w:type="auto"/>
            <w:tcBorders>
              <w:left w:val="nil"/>
              <w:right w:val="nil"/>
            </w:tcBorders>
            <w:shd w:val="clear" w:color="auto" w:fill="auto"/>
          </w:tcPr>
          <w:p w14:paraId="40566873" w14:textId="77777777" w:rsidR="005F104B" w:rsidRPr="00C9506C" w:rsidRDefault="005F104B" w:rsidP="007E28B9">
            <w:pPr>
              <w:spacing w:after="0" w:line="480" w:lineRule="auto"/>
              <w:rPr>
                <w:color w:val="000000"/>
                <w:lang w:val="en-US"/>
              </w:rPr>
            </w:pPr>
            <w:r w:rsidRPr="00C9506C">
              <w:rPr>
                <w:color w:val="000000"/>
                <w:lang w:val="en-US"/>
              </w:rPr>
              <w:t>536.0</w:t>
            </w:r>
          </w:p>
        </w:tc>
      </w:tr>
      <w:tr w:rsidR="005F104B" w:rsidRPr="00C9506C" w14:paraId="2E1F345A" w14:textId="77777777" w:rsidTr="007E28B9">
        <w:trPr>
          <w:trHeight w:val="454"/>
        </w:trPr>
        <w:tc>
          <w:tcPr>
            <w:tcW w:w="0" w:type="auto"/>
            <w:shd w:val="clear" w:color="auto" w:fill="auto"/>
          </w:tcPr>
          <w:p w14:paraId="5311E518" w14:textId="77777777" w:rsidR="005F104B" w:rsidRPr="00C9506C" w:rsidRDefault="005F104B" w:rsidP="007E28B9">
            <w:pPr>
              <w:spacing w:after="0" w:line="480" w:lineRule="auto"/>
              <w:rPr>
                <w:b/>
                <w:bCs/>
                <w:color w:val="000000"/>
                <w:lang w:val="en-US"/>
              </w:rPr>
            </w:pPr>
            <w:r w:rsidRPr="00C9506C">
              <w:rPr>
                <w:b/>
                <w:bCs/>
                <w:color w:val="000000"/>
                <w:lang w:val="en-US"/>
              </w:rPr>
              <w:t>Diagnostic test (range)</w:t>
            </w:r>
          </w:p>
        </w:tc>
        <w:tc>
          <w:tcPr>
            <w:tcW w:w="0" w:type="auto"/>
            <w:shd w:val="clear" w:color="auto" w:fill="auto"/>
          </w:tcPr>
          <w:p w14:paraId="708EB769" w14:textId="77777777" w:rsidR="005F104B" w:rsidRPr="00C9506C" w:rsidRDefault="005F104B" w:rsidP="007E28B9">
            <w:pPr>
              <w:spacing w:after="0" w:line="480" w:lineRule="auto"/>
              <w:rPr>
                <w:color w:val="000000"/>
                <w:lang w:val="en-US"/>
              </w:rPr>
            </w:pPr>
            <w:r w:rsidRPr="00C9506C">
              <w:rPr>
                <w:color w:val="000000"/>
                <w:lang w:val="en-US"/>
              </w:rPr>
              <w:t>3.7-197</w:t>
            </w:r>
          </w:p>
        </w:tc>
      </w:tr>
      <w:tr w:rsidR="005F104B" w:rsidRPr="000900F5" w14:paraId="54BBBA44" w14:textId="77777777" w:rsidTr="007E28B9">
        <w:trPr>
          <w:trHeight w:val="454"/>
        </w:trPr>
        <w:tc>
          <w:tcPr>
            <w:tcW w:w="0" w:type="auto"/>
            <w:tcBorders>
              <w:left w:val="nil"/>
              <w:right w:val="nil"/>
            </w:tcBorders>
            <w:shd w:val="clear" w:color="auto" w:fill="auto"/>
          </w:tcPr>
          <w:p w14:paraId="7E282840" w14:textId="77777777" w:rsidR="005F104B" w:rsidRPr="00C9506C" w:rsidRDefault="005F104B" w:rsidP="007E28B9">
            <w:pPr>
              <w:spacing w:after="0" w:line="480" w:lineRule="auto"/>
              <w:rPr>
                <w:b/>
                <w:bCs/>
                <w:color w:val="000000"/>
                <w:lang w:val="en-US"/>
              </w:rPr>
            </w:pPr>
            <w:r w:rsidRPr="00C9506C">
              <w:rPr>
                <w:b/>
                <w:bCs/>
                <w:color w:val="000000"/>
                <w:lang w:val="en-US"/>
              </w:rPr>
              <w:t>Pharmacological treatment</w:t>
            </w:r>
          </w:p>
        </w:tc>
        <w:tc>
          <w:tcPr>
            <w:tcW w:w="0" w:type="auto"/>
            <w:tcBorders>
              <w:left w:val="nil"/>
              <w:right w:val="nil"/>
            </w:tcBorders>
            <w:shd w:val="clear" w:color="auto" w:fill="auto"/>
          </w:tcPr>
          <w:p w14:paraId="659D0AFF" w14:textId="77777777" w:rsidR="005F104B" w:rsidRPr="00C9506C" w:rsidRDefault="005F104B" w:rsidP="007E28B9">
            <w:pPr>
              <w:spacing w:after="0" w:line="480" w:lineRule="auto"/>
              <w:rPr>
                <w:color w:val="000000"/>
                <w:lang w:val="en-US"/>
              </w:rPr>
            </w:pPr>
            <w:r w:rsidRPr="00C9506C">
              <w:rPr>
                <w:color w:val="000000"/>
                <w:lang w:val="en-US"/>
              </w:rPr>
              <w:t>Depending on type and dose*</w:t>
            </w:r>
          </w:p>
        </w:tc>
      </w:tr>
      <w:tr w:rsidR="005F104B" w:rsidRPr="00C9506C" w14:paraId="4AD59D12" w14:textId="77777777" w:rsidTr="007E28B9">
        <w:trPr>
          <w:trHeight w:val="454"/>
        </w:trPr>
        <w:tc>
          <w:tcPr>
            <w:tcW w:w="0" w:type="auto"/>
            <w:shd w:val="clear" w:color="auto" w:fill="auto"/>
          </w:tcPr>
          <w:p w14:paraId="40E5B68B" w14:textId="77777777" w:rsidR="005F104B" w:rsidRPr="00C9506C" w:rsidRDefault="005F104B" w:rsidP="007E28B9">
            <w:pPr>
              <w:spacing w:after="0" w:line="480" w:lineRule="auto"/>
              <w:rPr>
                <w:b/>
                <w:bCs/>
                <w:color w:val="000000"/>
                <w:lang w:val="en-US"/>
              </w:rPr>
            </w:pPr>
            <w:r w:rsidRPr="00C9506C">
              <w:rPr>
                <w:b/>
                <w:bCs/>
                <w:color w:val="000000"/>
                <w:lang w:val="en-US"/>
              </w:rPr>
              <w:t xml:space="preserve">Visit to social worker </w:t>
            </w:r>
          </w:p>
        </w:tc>
        <w:tc>
          <w:tcPr>
            <w:tcW w:w="0" w:type="auto"/>
            <w:shd w:val="clear" w:color="auto" w:fill="auto"/>
          </w:tcPr>
          <w:p w14:paraId="4798C54B" w14:textId="77777777" w:rsidR="005F104B" w:rsidRPr="00C9506C" w:rsidRDefault="005F104B" w:rsidP="007E28B9">
            <w:pPr>
              <w:spacing w:after="0" w:line="480" w:lineRule="auto"/>
              <w:rPr>
                <w:color w:val="000000"/>
                <w:lang w:val="en-US"/>
              </w:rPr>
            </w:pPr>
            <w:r w:rsidRPr="00C9506C">
              <w:rPr>
                <w:color w:val="000000"/>
                <w:lang w:val="en-US"/>
              </w:rPr>
              <w:t>40.0</w:t>
            </w:r>
          </w:p>
        </w:tc>
      </w:tr>
      <w:tr w:rsidR="005F104B" w:rsidRPr="00C9506C" w14:paraId="64FAA65F" w14:textId="77777777" w:rsidTr="007E28B9">
        <w:trPr>
          <w:trHeight w:val="454"/>
        </w:trPr>
        <w:tc>
          <w:tcPr>
            <w:tcW w:w="0" w:type="auto"/>
            <w:tcBorders>
              <w:left w:val="nil"/>
              <w:right w:val="nil"/>
            </w:tcBorders>
            <w:shd w:val="clear" w:color="auto" w:fill="auto"/>
          </w:tcPr>
          <w:p w14:paraId="7FF798AC" w14:textId="77777777" w:rsidR="005F104B" w:rsidRPr="00C9506C" w:rsidRDefault="005F104B" w:rsidP="007E28B9">
            <w:pPr>
              <w:spacing w:after="0" w:line="480" w:lineRule="auto"/>
              <w:rPr>
                <w:b/>
                <w:bCs/>
                <w:color w:val="000000"/>
                <w:lang w:val="en-US"/>
              </w:rPr>
            </w:pPr>
            <w:r w:rsidRPr="00C9506C">
              <w:rPr>
                <w:b/>
                <w:bCs/>
                <w:color w:val="000000"/>
                <w:lang w:val="en-US"/>
              </w:rPr>
              <w:t>Absenteeism from work (minimum daily wage)</w:t>
            </w:r>
          </w:p>
        </w:tc>
        <w:tc>
          <w:tcPr>
            <w:tcW w:w="0" w:type="auto"/>
            <w:tcBorders>
              <w:left w:val="nil"/>
              <w:right w:val="nil"/>
            </w:tcBorders>
            <w:shd w:val="clear" w:color="auto" w:fill="auto"/>
          </w:tcPr>
          <w:p w14:paraId="58A8F638" w14:textId="77777777" w:rsidR="005F104B" w:rsidRPr="00C9506C" w:rsidRDefault="005F104B" w:rsidP="007E28B9">
            <w:pPr>
              <w:spacing w:after="0" w:line="480" w:lineRule="auto"/>
              <w:rPr>
                <w:color w:val="000000"/>
                <w:lang w:val="en-US"/>
              </w:rPr>
            </w:pPr>
            <w:r w:rsidRPr="00C9506C">
              <w:rPr>
                <w:color w:val="000000"/>
                <w:lang w:val="en-US"/>
              </w:rPr>
              <w:t>21.6</w:t>
            </w:r>
          </w:p>
        </w:tc>
      </w:tr>
    </w:tbl>
    <w:p w14:paraId="7ECD7727" w14:textId="77777777" w:rsidR="005F104B" w:rsidRPr="00630086" w:rsidRDefault="005F104B" w:rsidP="005F104B">
      <w:pPr>
        <w:spacing w:after="0" w:line="360" w:lineRule="auto"/>
        <w:rPr>
          <w:lang w:val="en-US"/>
        </w:rPr>
      </w:pPr>
      <w:r w:rsidRPr="00C9506C">
        <w:rPr>
          <w:lang w:val="en-US"/>
        </w:rPr>
        <w:t>*The cost of prescribed medications was calculated by determining the price per milligram for each active principle</w:t>
      </w:r>
    </w:p>
    <w:p w14:paraId="27D710AE" w14:textId="77777777" w:rsidR="005F104B" w:rsidRDefault="005F104B" w:rsidP="004F3E5A">
      <w:pPr>
        <w:jc w:val="both"/>
        <w:rPr>
          <w:rFonts w:ascii="Times New Roman" w:hAnsi="Times New Roman" w:cs="Times New Roman"/>
          <w:lang w:val="en-US"/>
        </w:rPr>
      </w:pPr>
    </w:p>
    <w:p w14:paraId="2B6121E8" w14:textId="77777777" w:rsidR="005F104B" w:rsidRDefault="005F104B" w:rsidP="004F3E5A">
      <w:pPr>
        <w:jc w:val="both"/>
        <w:rPr>
          <w:rFonts w:ascii="Times New Roman" w:hAnsi="Times New Roman" w:cs="Times New Roman"/>
          <w:lang w:val="en-US"/>
        </w:rPr>
      </w:pPr>
    </w:p>
    <w:p w14:paraId="485E9C2B" w14:textId="77777777" w:rsidR="005F104B" w:rsidRDefault="005F104B" w:rsidP="004F3E5A">
      <w:pPr>
        <w:jc w:val="both"/>
        <w:rPr>
          <w:rFonts w:ascii="Times New Roman" w:hAnsi="Times New Roman" w:cs="Times New Roman"/>
          <w:lang w:val="en-US"/>
        </w:rPr>
      </w:pPr>
    </w:p>
    <w:p w14:paraId="709A041F" w14:textId="77777777" w:rsidR="005F104B" w:rsidRDefault="005F104B" w:rsidP="004F3E5A">
      <w:pPr>
        <w:jc w:val="both"/>
        <w:rPr>
          <w:rFonts w:ascii="Times New Roman" w:hAnsi="Times New Roman" w:cs="Times New Roman"/>
          <w:lang w:val="en-US"/>
        </w:rPr>
      </w:pPr>
    </w:p>
    <w:p w14:paraId="5F9D05AE" w14:textId="77777777" w:rsidR="005F104B" w:rsidRDefault="005F104B" w:rsidP="004F3E5A">
      <w:pPr>
        <w:jc w:val="both"/>
        <w:rPr>
          <w:rFonts w:ascii="Times New Roman" w:hAnsi="Times New Roman" w:cs="Times New Roman"/>
          <w:lang w:val="en-US"/>
        </w:rPr>
      </w:pPr>
    </w:p>
    <w:p w14:paraId="25EFDE1F" w14:textId="77777777" w:rsidR="005F104B" w:rsidRDefault="005F104B" w:rsidP="004F3E5A">
      <w:pPr>
        <w:jc w:val="both"/>
        <w:rPr>
          <w:rFonts w:ascii="Times New Roman" w:hAnsi="Times New Roman" w:cs="Times New Roman"/>
          <w:lang w:val="en-US"/>
        </w:rPr>
      </w:pPr>
    </w:p>
    <w:p w14:paraId="7E29130A" w14:textId="77777777" w:rsidR="005F104B" w:rsidRDefault="005F104B" w:rsidP="004F3E5A">
      <w:pPr>
        <w:jc w:val="both"/>
        <w:rPr>
          <w:rFonts w:ascii="Times New Roman" w:hAnsi="Times New Roman" w:cs="Times New Roman"/>
          <w:lang w:val="en-US"/>
        </w:rPr>
      </w:pPr>
    </w:p>
    <w:p w14:paraId="08CC674A" w14:textId="77777777" w:rsidR="005F104B" w:rsidRDefault="005F104B" w:rsidP="004F3E5A">
      <w:pPr>
        <w:jc w:val="both"/>
        <w:rPr>
          <w:rFonts w:ascii="Times New Roman" w:hAnsi="Times New Roman" w:cs="Times New Roman"/>
          <w:lang w:val="en-US"/>
        </w:rPr>
      </w:pPr>
    </w:p>
    <w:p w14:paraId="24A330B7" w14:textId="77777777" w:rsidR="005F104B" w:rsidRDefault="005F104B" w:rsidP="004F3E5A">
      <w:pPr>
        <w:jc w:val="both"/>
        <w:rPr>
          <w:rFonts w:ascii="Times New Roman" w:hAnsi="Times New Roman" w:cs="Times New Roman"/>
          <w:lang w:val="en-US"/>
        </w:rPr>
      </w:pPr>
    </w:p>
    <w:p w14:paraId="2390A41D" w14:textId="77777777" w:rsidR="005F104B" w:rsidRDefault="005F104B" w:rsidP="004F3E5A">
      <w:pPr>
        <w:jc w:val="both"/>
        <w:rPr>
          <w:rFonts w:ascii="Times New Roman" w:hAnsi="Times New Roman" w:cs="Times New Roman"/>
          <w:lang w:val="en-US"/>
        </w:rPr>
      </w:pPr>
    </w:p>
    <w:p w14:paraId="7EF4B8E2" w14:textId="77777777" w:rsidR="005F104B" w:rsidRDefault="005F104B" w:rsidP="004F3E5A">
      <w:pPr>
        <w:jc w:val="both"/>
        <w:rPr>
          <w:rFonts w:ascii="Times New Roman" w:hAnsi="Times New Roman" w:cs="Times New Roman"/>
          <w:lang w:val="en-US"/>
        </w:rPr>
      </w:pPr>
    </w:p>
    <w:p w14:paraId="0D65B9D4" w14:textId="77777777" w:rsidR="005F104B" w:rsidRDefault="005F104B" w:rsidP="004F3E5A">
      <w:pPr>
        <w:jc w:val="both"/>
        <w:rPr>
          <w:rFonts w:ascii="Times New Roman" w:hAnsi="Times New Roman" w:cs="Times New Roman"/>
          <w:lang w:val="en-US"/>
        </w:rPr>
      </w:pPr>
    </w:p>
    <w:p w14:paraId="7B97B11F" w14:textId="77777777" w:rsidR="005F104B" w:rsidRDefault="005F104B" w:rsidP="004F3E5A">
      <w:pPr>
        <w:jc w:val="both"/>
        <w:rPr>
          <w:rFonts w:ascii="Times New Roman" w:hAnsi="Times New Roman" w:cs="Times New Roman"/>
          <w:lang w:val="en-US"/>
        </w:rPr>
      </w:pPr>
    </w:p>
    <w:p w14:paraId="0572FA8F" w14:textId="77777777" w:rsidR="005F104B" w:rsidRDefault="005F104B" w:rsidP="004F3E5A">
      <w:pPr>
        <w:jc w:val="both"/>
        <w:rPr>
          <w:rFonts w:ascii="Times New Roman" w:hAnsi="Times New Roman" w:cs="Times New Roman"/>
          <w:lang w:val="en-US"/>
        </w:rPr>
      </w:pPr>
    </w:p>
    <w:p w14:paraId="22029EA4" w14:textId="77777777" w:rsidR="005F104B" w:rsidRPr="00C9506C" w:rsidRDefault="005F104B" w:rsidP="005F104B">
      <w:pPr>
        <w:spacing w:after="0" w:line="240" w:lineRule="auto"/>
        <w:rPr>
          <w:lang w:val="en-US"/>
        </w:rPr>
      </w:pPr>
      <w:r w:rsidRPr="00C9506C">
        <w:rPr>
          <w:lang w:val="en-US"/>
        </w:rPr>
        <w:lastRenderedPageBreak/>
        <w:t>Table 2. Sociodemographic characteristics of the sample at baseline and interventions delivered</w:t>
      </w:r>
      <w:r>
        <w:rPr>
          <w:lang w:val="en-US"/>
        </w:rPr>
        <w:t>, according to treatment arm</w:t>
      </w:r>
    </w:p>
    <w:p w14:paraId="598CBD3D" w14:textId="77777777" w:rsidR="005F104B" w:rsidRPr="00C9506C" w:rsidRDefault="005F104B" w:rsidP="005F104B">
      <w:pPr>
        <w:spacing w:after="0" w:line="240" w:lineRule="auto"/>
        <w:rPr>
          <w:rFonts w:eastAsia="Times New Roman"/>
          <w:b/>
          <w:bCs/>
          <w:sz w:val="28"/>
          <w:szCs w:val="28"/>
          <w:lang w:val="en-US"/>
        </w:rPr>
      </w:pPr>
    </w:p>
    <w:tbl>
      <w:tblPr>
        <w:tblW w:w="0" w:type="auto"/>
        <w:tblBorders>
          <w:top w:val="single" w:sz="8" w:space="0" w:color="000000"/>
          <w:bottom w:val="single" w:sz="8" w:space="0" w:color="000000"/>
        </w:tblBorders>
        <w:tblLook w:val="04A0" w:firstRow="1" w:lastRow="0" w:firstColumn="1" w:lastColumn="0" w:noHBand="0" w:noVBand="1"/>
      </w:tblPr>
      <w:tblGrid>
        <w:gridCol w:w="3230"/>
        <w:gridCol w:w="1828"/>
        <w:gridCol w:w="1469"/>
        <w:gridCol w:w="749"/>
        <w:gridCol w:w="1228"/>
      </w:tblGrid>
      <w:tr w:rsidR="005F104B" w:rsidRPr="00C9506C" w14:paraId="20F36FFA" w14:textId="77777777" w:rsidTr="007E28B9">
        <w:tc>
          <w:tcPr>
            <w:tcW w:w="0" w:type="auto"/>
            <w:tcBorders>
              <w:top w:val="single" w:sz="8" w:space="0" w:color="000000"/>
              <w:left w:val="nil"/>
              <w:bottom w:val="single" w:sz="8" w:space="0" w:color="000000"/>
              <w:right w:val="nil"/>
            </w:tcBorders>
            <w:shd w:val="clear" w:color="auto" w:fill="auto"/>
          </w:tcPr>
          <w:p w14:paraId="0744A7D4" w14:textId="77777777" w:rsidR="005F104B" w:rsidRPr="00C9506C" w:rsidRDefault="005F104B" w:rsidP="007E28B9">
            <w:pPr>
              <w:spacing w:after="0" w:line="360" w:lineRule="auto"/>
              <w:rPr>
                <w:b/>
                <w:bCs/>
                <w:color w:val="000000"/>
                <w:lang w:val="en-US"/>
              </w:rPr>
            </w:pPr>
          </w:p>
        </w:tc>
        <w:tc>
          <w:tcPr>
            <w:tcW w:w="0" w:type="auto"/>
            <w:tcBorders>
              <w:top w:val="single" w:sz="8" w:space="0" w:color="000000"/>
              <w:left w:val="nil"/>
              <w:bottom w:val="single" w:sz="8" w:space="0" w:color="000000"/>
              <w:right w:val="nil"/>
            </w:tcBorders>
            <w:shd w:val="clear" w:color="auto" w:fill="auto"/>
          </w:tcPr>
          <w:p w14:paraId="6FE71B3F" w14:textId="77777777" w:rsidR="005F104B" w:rsidRPr="00C9506C" w:rsidRDefault="005F104B" w:rsidP="007E28B9">
            <w:pPr>
              <w:spacing w:after="0" w:line="360" w:lineRule="auto"/>
              <w:rPr>
                <w:b/>
                <w:bCs/>
                <w:color w:val="000000"/>
                <w:lang w:val="en-US"/>
              </w:rPr>
            </w:pPr>
            <w:r w:rsidRPr="00C9506C">
              <w:rPr>
                <w:rStyle w:val="Ninguno"/>
                <w:b/>
                <w:bCs/>
              </w:rPr>
              <w:t>Antidepressants (n=145)</w:t>
            </w:r>
          </w:p>
        </w:tc>
        <w:tc>
          <w:tcPr>
            <w:tcW w:w="0" w:type="auto"/>
            <w:tcBorders>
              <w:top w:val="single" w:sz="8" w:space="0" w:color="000000"/>
              <w:left w:val="nil"/>
              <w:bottom w:val="single" w:sz="8" w:space="0" w:color="000000"/>
              <w:right w:val="nil"/>
            </w:tcBorders>
            <w:shd w:val="clear" w:color="auto" w:fill="auto"/>
          </w:tcPr>
          <w:p w14:paraId="100D38AD" w14:textId="77777777" w:rsidR="005F104B" w:rsidRPr="00C9506C" w:rsidRDefault="005F104B" w:rsidP="007E28B9">
            <w:pPr>
              <w:spacing w:after="0" w:line="360" w:lineRule="auto"/>
              <w:rPr>
                <w:b/>
                <w:bCs/>
                <w:color w:val="000000"/>
                <w:lang w:val="en-US"/>
              </w:rPr>
            </w:pPr>
            <w:r w:rsidRPr="00C9506C">
              <w:rPr>
                <w:rStyle w:val="Ninguno"/>
                <w:b/>
                <w:bCs/>
              </w:rPr>
              <w:t>Active monitoring (n=118)</w:t>
            </w:r>
          </w:p>
        </w:tc>
        <w:tc>
          <w:tcPr>
            <w:tcW w:w="0" w:type="auto"/>
            <w:tcBorders>
              <w:top w:val="single" w:sz="8" w:space="0" w:color="000000"/>
              <w:left w:val="nil"/>
              <w:bottom w:val="single" w:sz="8" w:space="0" w:color="000000"/>
              <w:right w:val="nil"/>
            </w:tcBorders>
          </w:tcPr>
          <w:p w14:paraId="6643F0D4" w14:textId="77777777" w:rsidR="005F104B" w:rsidRPr="00C9506C" w:rsidRDefault="005F104B" w:rsidP="007E28B9">
            <w:pPr>
              <w:spacing w:after="0" w:line="360" w:lineRule="auto"/>
              <w:rPr>
                <w:rStyle w:val="Ninguno"/>
                <w:b/>
                <w:bCs/>
              </w:rPr>
            </w:pPr>
            <w:r>
              <w:rPr>
                <w:rStyle w:val="Ninguno"/>
                <w:b/>
                <w:bCs/>
              </w:rPr>
              <w:t>p-value</w:t>
            </w:r>
          </w:p>
        </w:tc>
        <w:tc>
          <w:tcPr>
            <w:tcW w:w="0" w:type="auto"/>
            <w:tcBorders>
              <w:top w:val="single" w:sz="8" w:space="0" w:color="000000"/>
              <w:left w:val="nil"/>
              <w:bottom w:val="single" w:sz="8" w:space="0" w:color="000000"/>
              <w:right w:val="nil"/>
            </w:tcBorders>
          </w:tcPr>
          <w:p w14:paraId="577AE6C1" w14:textId="77777777" w:rsidR="005F104B" w:rsidRPr="00C9506C" w:rsidRDefault="005F104B" w:rsidP="007E28B9">
            <w:pPr>
              <w:spacing w:after="0" w:line="360" w:lineRule="auto"/>
              <w:rPr>
                <w:rStyle w:val="Ninguno"/>
                <w:b/>
                <w:bCs/>
              </w:rPr>
            </w:pPr>
            <w:r>
              <w:rPr>
                <w:rStyle w:val="Ninguno"/>
                <w:b/>
                <w:bCs/>
              </w:rPr>
              <w:t>p-value adjusted by PS</w:t>
            </w:r>
          </w:p>
        </w:tc>
      </w:tr>
      <w:tr w:rsidR="005F104B" w:rsidRPr="00C9506C" w14:paraId="75E134D6" w14:textId="77777777" w:rsidTr="007E28B9">
        <w:tc>
          <w:tcPr>
            <w:tcW w:w="0" w:type="auto"/>
            <w:tcBorders>
              <w:left w:val="nil"/>
              <w:right w:val="nil"/>
            </w:tcBorders>
            <w:shd w:val="clear" w:color="auto" w:fill="auto"/>
          </w:tcPr>
          <w:p w14:paraId="361B98F2" w14:textId="77777777" w:rsidR="005F104B" w:rsidRPr="00C9506C" w:rsidRDefault="005F104B" w:rsidP="007E28B9">
            <w:pPr>
              <w:spacing w:after="0" w:line="360" w:lineRule="auto"/>
              <w:rPr>
                <w:b/>
                <w:bCs/>
                <w:color w:val="000000"/>
                <w:lang w:val="en-US"/>
              </w:rPr>
            </w:pPr>
            <w:r w:rsidRPr="00C9506C">
              <w:rPr>
                <w:b/>
                <w:bCs/>
                <w:color w:val="000000"/>
                <w:lang w:val="en-US"/>
              </w:rPr>
              <w:t>Gender, % women (n)</w:t>
            </w:r>
          </w:p>
        </w:tc>
        <w:tc>
          <w:tcPr>
            <w:tcW w:w="0" w:type="auto"/>
            <w:tcBorders>
              <w:left w:val="nil"/>
              <w:right w:val="nil"/>
            </w:tcBorders>
            <w:shd w:val="clear" w:color="auto" w:fill="auto"/>
          </w:tcPr>
          <w:p w14:paraId="5BC74E8F" w14:textId="77777777" w:rsidR="005F104B" w:rsidRPr="00C9506C" w:rsidRDefault="005F104B" w:rsidP="007E28B9">
            <w:pPr>
              <w:spacing w:after="0" w:line="360" w:lineRule="auto"/>
              <w:rPr>
                <w:color w:val="000000"/>
                <w:lang w:val="en-US"/>
              </w:rPr>
            </w:pPr>
            <w:r w:rsidRPr="00C9506C">
              <w:rPr>
                <w:rStyle w:val="Ninguno"/>
              </w:rPr>
              <w:t>77.93 (113)</w:t>
            </w:r>
          </w:p>
        </w:tc>
        <w:tc>
          <w:tcPr>
            <w:tcW w:w="0" w:type="auto"/>
            <w:tcBorders>
              <w:left w:val="nil"/>
              <w:right w:val="nil"/>
            </w:tcBorders>
            <w:shd w:val="clear" w:color="auto" w:fill="auto"/>
          </w:tcPr>
          <w:p w14:paraId="081DAB34" w14:textId="77777777" w:rsidR="005F104B" w:rsidRPr="00C9506C" w:rsidRDefault="005F104B" w:rsidP="007E28B9">
            <w:pPr>
              <w:spacing w:after="0" w:line="360" w:lineRule="auto"/>
              <w:rPr>
                <w:color w:val="000000"/>
                <w:lang w:val="en-US"/>
              </w:rPr>
            </w:pPr>
            <w:r w:rsidRPr="00C9506C">
              <w:rPr>
                <w:rStyle w:val="Ninguno"/>
              </w:rPr>
              <w:t>84.75 (100)</w:t>
            </w:r>
          </w:p>
        </w:tc>
        <w:tc>
          <w:tcPr>
            <w:tcW w:w="0" w:type="auto"/>
            <w:tcBorders>
              <w:left w:val="nil"/>
              <w:right w:val="nil"/>
            </w:tcBorders>
          </w:tcPr>
          <w:p w14:paraId="753DA8E7" w14:textId="77777777" w:rsidR="005F104B" w:rsidRPr="00C9506C" w:rsidRDefault="005F104B" w:rsidP="007E28B9">
            <w:pPr>
              <w:spacing w:after="0" w:line="360" w:lineRule="auto"/>
              <w:rPr>
                <w:rStyle w:val="Ninguno"/>
              </w:rPr>
            </w:pPr>
            <w:r>
              <w:rPr>
                <w:rStyle w:val="Ninguno"/>
              </w:rPr>
              <w:t>0.161</w:t>
            </w:r>
          </w:p>
        </w:tc>
        <w:tc>
          <w:tcPr>
            <w:tcW w:w="0" w:type="auto"/>
            <w:tcBorders>
              <w:left w:val="nil"/>
              <w:right w:val="nil"/>
            </w:tcBorders>
          </w:tcPr>
          <w:p w14:paraId="59859CE7" w14:textId="77777777" w:rsidR="005F104B" w:rsidRPr="00C9506C" w:rsidRDefault="005F104B" w:rsidP="007E28B9">
            <w:pPr>
              <w:spacing w:after="0" w:line="360" w:lineRule="auto"/>
              <w:rPr>
                <w:rStyle w:val="Ninguno"/>
              </w:rPr>
            </w:pPr>
            <w:r>
              <w:rPr>
                <w:rStyle w:val="Ninguno"/>
              </w:rPr>
              <w:t>0.719</w:t>
            </w:r>
          </w:p>
        </w:tc>
      </w:tr>
      <w:tr w:rsidR="005F104B" w:rsidRPr="00C9506C" w14:paraId="7363F824" w14:textId="77777777" w:rsidTr="007E28B9">
        <w:tc>
          <w:tcPr>
            <w:tcW w:w="0" w:type="auto"/>
            <w:shd w:val="clear" w:color="auto" w:fill="auto"/>
          </w:tcPr>
          <w:p w14:paraId="5BB4FDA9" w14:textId="77777777" w:rsidR="005F104B" w:rsidRPr="00C9506C" w:rsidRDefault="005F104B" w:rsidP="007E28B9">
            <w:pPr>
              <w:spacing w:after="0" w:line="360" w:lineRule="auto"/>
              <w:rPr>
                <w:b/>
                <w:bCs/>
                <w:color w:val="000000"/>
                <w:lang w:val="en-US"/>
              </w:rPr>
            </w:pPr>
            <w:r w:rsidRPr="00C9506C">
              <w:rPr>
                <w:b/>
                <w:bCs/>
                <w:color w:val="000000"/>
                <w:lang w:val="en-US"/>
              </w:rPr>
              <w:t>Age, mean (SD)</w:t>
            </w:r>
          </w:p>
        </w:tc>
        <w:tc>
          <w:tcPr>
            <w:tcW w:w="0" w:type="auto"/>
            <w:shd w:val="clear" w:color="auto" w:fill="auto"/>
          </w:tcPr>
          <w:p w14:paraId="4974296A" w14:textId="77777777" w:rsidR="005F104B" w:rsidRPr="00C9506C" w:rsidRDefault="005F104B" w:rsidP="007E28B9">
            <w:pPr>
              <w:spacing w:after="0" w:line="360" w:lineRule="auto"/>
              <w:rPr>
                <w:color w:val="000000"/>
                <w:lang w:val="en-US"/>
              </w:rPr>
            </w:pPr>
            <w:r w:rsidRPr="00C9506C">
              <w:rPr>
                <w:rStyle w:val="Ninguno"/>
              </w:rPr>
              <w:t>49.72 (14.91)</w:t>
            </w:r>
          </w:p>
        </w:tc>
        <w:tc>
          <w:tcPr>
            <w:tcW w:w="0" w:type="auto"/>
            <w:shd w:val="clear" w:color="auto" w:fill="auto"/>
          </w:tcPr>
          <w:p w14:paraId="0865AC5D" w14:textId="77777777" w:rsidR="005F104B" w:rsidRPr="00C9506C" w:rsidRDefault="005F104B" w:rsidP="007E28B9">
            <w:pPr>
              <w:spacing w:after="0" w:line="360" w:lineRule="auto"/>
              <w:rPr>
                <w:color w:val="000000"/>
                <w:lang w:val="en-US"/>
              </w:rPr>
            </w:pPr>
            <w:r w:rsidRPr="00C9506C">
              <w:rPr>
                <w:rStyle w:val="Ninguno"/>
              </w:rPr>
              <w:t>47.96 (16.02)</w:t>
            </w:r>
          </w:p>
        </w:tc>
        <w:tc>
          <w:tcPr>
            <w:tcW w:w="0" w:type="auto"/>
          </w:tcPr>
          <w:p w14:paraId="3F9231FE" w14:textId="77777777" w:rsidR="005F104B" w:rsidRPr="00C9506C" w:rsidRDefault="005F104B" w:rsidP="007E28B9">
            <w:pPr>
              <w:spacing w:after="0" w:line="360" w:lineRule="auto"/>
              <w:rPr>
                <w:rStyle w:val="Ninguno"/>
              </w:rPr>
            </w:pPr>
            <w:r>
              <w:rPr>
                <w:rStyle w:val="Ninguno"/>
              </w:rPr>
              <w:t>0.360</w:t>
            </w:r>
          </w:p>
        </w:tc>
        <w:tc>
          <w:tcPr>
            <w:tcW w:w="0" w:type="auto"/>
          </w:tcPr>
          <w:p w14:paraId="6694BEAE" w14:textId="77777777" w:rsidR="005F104B" w:rsidRPr="00C9506C" w:rsidRDefault="005F104B" w:rsidP="007E28B9">
            <w:pPr>
              <w:spacing w:after="0" w:line="360" w:lineRule="auto"/>
              <w:rPr>
                <w:rStyle w:val="Ninguno"/>
              </w:rPr>
            </w:pPr>
            <w:r>
              <w:rPr>
                <w:rStyle w:val="Ninguno"/>
              </w:rPr>
              <w:t>0.522</w:t>
            </w:r>
          </w:p>
        </w:tc>
      </w:tr>
      <w:tr w:rsidR="005F104B" w:rsidRPr="00C9506C" w14:paraId="0698EDA1" w14:textId="77777777" w:rsidTr="007E28B9">
        <w:tc>
          <w:tcPr>
            <w:tcW w:w="0" w:type="auto"/>
            <w:tcBorders>
              <w:left w:val="nil"/>
              <w:right w:val="nil"/>
            </w:tcBorders>
            <w:shd w:val="clear" w:color="auto" w:fill="auto"/>
          </w:tcPr>
          <w:p w14:paraId="5D338299" w14:textId="77777777" w:rsidR="005F104B" w:rsidRPr="00C9506C" w:rsidRDefault="005F104B" w:rsidP="007E28B9">
            <w:pPr>
              <w:spacing w:after="0" w:line="360" w:lineRule="auto"/>
              <w:rPr>
                <w:b/>
                <w:bCs/>
                <w:color w:val="000000"/>
                <w:lang w:val="en-US"/>
              </w:rPr>
            </w:pPr>
            <w:r w:rsidRPr="00C9506C">
              <w:rPr>
                <w:b/>
                <w:bCs/>
                <w:color w:val="000000"/>
                <w:lang w:val="en-US"/>
              </w:rPr>
              <w:t>Civil status, % (n)</w:t>
            </w:r>
          </w:p>
        </w:tc>
        <w:tc>
          <w:tcPr>
            <w:tcW w:w="0" w:type="auto"/>
            <w:tcBorders>
              <w:left w:val="nil"/>
              <w:right w:val="nil"/>
            </w:tcBorders>
            <w:shd w:val="clear" w:color="auto" w:fill="auto"/>
          </w:tcPr>
          <w:p w14:paraId="1C261BCC" w14:textId="77777777" w:rsidR="005F104B" w:rsidRPr="00C9506C" w:rsidRDefault="005F104B" w:rsidP="007E28B9">
            <w:pPr>
              <w:spacing w:after="0" w:line="360" w:lineRule="auto"/>
              <w:rPr>
                <w:color w:val="000000"/>
                <w:lang w:val="en-US"/>
              </w:rPr>
            </w:pPr>
          </w:p>
        </w:tc>
        <w:tc>
          <w:tcPr>
            <w:tcW w:w="0" w:type="auto"/>
            <w:tcBorders>
              <w:left w:val="nil"/>
              <w:right w:val="nil"/>
            </w:tcBorders>
            <w:shd w:val="clear" w:color="auto" w:fill="auto"/>
          </w:tcPr>
          <w:p w14:paraId="7D053061" w14:textId="77777777" w:rsidR="005F104B" w:rsidRPr="00C9506C" w:rsidRDefault="005F104B" w:rsidP="007E28B9">
            <w:pPr>
              <w:spacing w:after="0" w:line="360" w:lineRule="auto"/>
              <w:rPr>
                <w:color w:val="000000"/>
                <w:lang w:val="en-US"/>
              </w:rPr>
            </w:pPr>
          </w:p>
        </w:tc>
        <w:tc>
          <w:tcPr>
            <w:tcW w:w="0" w:type="auto"/>
            <w:tcBorders>
              <w:left w:val="nil"/>
              <w:right w:val="nil"/>
            </w:tcBorders>
          </w:tcPr>
          <w:p w14:paraId="4B1E002F" w14:textId="77777777" w:rsidR="005F104B" w:rsidRPr="00C9506C" w:rsidRDefault="005F104B" w:rsidP="007E28B9">
            <w:pPr>
              <w:spacing w:after="0" w:line="360" w:lineRule="auto"/>
              <w:rPr>
                <w:color w:val="000000"/>
                <w:lang w:val="en-US"/>
              </w:rPr>
            </w:pPr>
            <w:r>
              <w:rPr>
                <w:color w:val="000000"/>
                <w:lang w:val="en-US"/>
              </w:rPr>
              <w:t>0.242</w:t>
            </w:r>
          </w:p>
        </w:tc>
        <w:tc>
          <w:tcPr>
            <w:tcW w:w="0" w:type="auto"/>
            <w:tcBorders>
              <w:left w:val="nil"/>
              <w:right w:val="nil"/>
            </w:tcBorders>
          </w:tcPr>
          <w:p w14:paraId="58F9EA28" w14:textId="77777777" w:rsidR="005F104B" w:rsidRPr="00C9506C" w:rsidRDefault="005F104B" w:rsidP="007E28B9">
            <w:pPr>
              <w:spacing w:after="0" w:line="360" w:lineRule="auto"/>
              <w:rPr>
                <w:color w:val="000000"/>
                <w:lang w:val="en-US"/>
              </w:rPr>
            </w:pPr>
            <w:r>
              <w:rPr>
                <w:color w:val="000000"/>
                <w:lang w:val="en-US"/>
              </w:rPr>
              <w:t>0.126</w:t>
            </w:r>
          </w:p>
        </w:tc>
      </w:tr>
      <w:tr w:rsidR="005F104B" w:rsidRPr="00C9506C" w14:paraId="395D7338" w14:textId="77777777" w:rsidTr="007E28B9">
        <w:tc>
          <w:tcPr>
            <w:tcW w:w="0" w:type="auto"/>
            <w:shd w:val="clear" w:color="auto" w:fill="auto"/>
          </w:tcPr>
          <w:p w14:paraId="33E0FEF3" w14:textId="77777777" w:rsidR="005F104B" w:rsidRPr="00C9506C" w:rsidRDefault="005F104B" w:rsidP="007E28B9">
            <w:pPr>
              <w:spacing w:after="0" w:line="360" w:lineRule="auto"/>
              <w:ind w:left="284"/>
              <w:rPr>
                <w:bCs/>
                <w:color w:val="000000"/>
                <w:lang w:val="en-US"/>
              </w:rPr>
            </w:pPr>
            <w:r w:rsidRPr="00C9506C">
              <w:rPr>
                <w:bCs/>
                <w:color w:val="000000"/>
                <w:lang w:val="en-US"/>
              </w:rPr>
              <w:t>Single</w:t>
            </w:r>
          </w:p>
        </w:tc>
        <w:tc>
          <w:tcPr>
            <w:tcW w:w="0" w:type="auto"/>
            <w:shd w:val="clear" w:color="auto" w:fill="auto"/>
          </w:tcPr>
          <w:p w14:paraId="59A1725D" w14:textId="77777777" w:rsidR="005F104B" w:rsidRPr="00C9506C" w:rsidRDefault="005F104B" w:rsidP="007E28B9">
            <w:pPr>
              <w:spacing w:after="0" w:line="360" w:lineRule="auto"/>
              <w:rPr>
                <w:color w:val="000000"/>
                <w:lang w:val="en-US"/>
              </w:rPr>
            </w:pPr>
            <w:r w:rsidRPr="00C9506C">
              <w:rPr>
                <w:rStyle w:val="Ninguno"/>
              </w:rPr>
              <w:t>11.72 (17)</w:t>
            </w:r>
          </w:p>
        </w:tc>
        <w:tc>
          <w:tcPr>
            <w:tcW w:w="0" w:type="auto"/>
            <w:shd w:val="clear" w:color="auto" w:fill="auto"/>
          </w:tcPr>
          <w:p w14:paraId="21AD3B92" w14:textId="77777777" w:rsidR="005F104B" w:rsidRPr="00C9506C" w:rsidRDefault="005F104B" w:rsidP="007E28B9">
            <w:pPr>
              <w:spacing w:after="0" w:line="360" w:lineRule="auto"/>
              <w:rPr>
                <w:color w:val="000000"/>
                <w:lang w:val="en-US"/>
              </w:rPr>
            </w:pPr>
            <w:r w:rsidRPr="00C9506C">
              <w:rPr>
                <w:rStyle w:val="Ninguno"/>
              </w:rPr>
              <w:t>20.34 (24)</w:t>
            </w:r>
          </w:p>
        </w:tc>
        <w:tc>
          <w:tcPr>
            <w:tcW w:w="0" w:type="auto"/>
          </w:tcPr>
          <w:p w14:paraId="0DD30517" w14:textId="77777777" w:rsidR="005F104B" w:rsidRPr="00C9506C" w:rsidRDefault="005F104B" w:rsidP="007E28B9">
            <w:pPr>
              <w:spacing w:after="0" w:line="360" w:lineRule="auto"/>
              <w:rPr>
                <w:rStyle w:val="Ninguno"/>
              </w:rPr>
            </w:pPr>
          </w:p>
        </w:tc>
        <w:tc>
          <w:tcPr>
            <w:tcW w:w="0" w:type="auto"/>
          </w:tcPr>
          <w:p w14:paraId="73770DE8" w14:textId="77777777" w:rsidR="005F104B" w:rsidRPr="00C9506C" w:rsidRDefault="005F104B" w:rsidP="007E28B9">
            <w:pPr>
              <w:spacing w:after="0" w:line="360" w:lineRule="auto"/>
              <w:rPr>
                <w:rStyle w:val="Ninguno"/>
              </w:rPr>
            </w:pPr>
          </w:p>
        </w:tc>
      </w:tr>
      <w:tr w:rsidR="005F104B" w:rsidRPr="00C9506C" w14:paraId="5E4D23E5" w14:textId="77777777" w:rsidTr="007E28B9">
        <w:tc>
          <w:tcPr>
            <w:tcW w:w="0" w:type="auto"/>
            <w:tcBorders>
              <w:left w:val="nil"/>
              <w:right w:val="nil"/>
            </w:tcBorders>
            <w:shd w:val="clear" w:color="auto" w:fill="auto"/>
          </w:tcPr>
          <w:p w14:paraId="511A0196" w14:textId="77777777" w:rsidR="005F104B" w:rsidRPr="00C9506C" w:rsidRDefault="005F104B" w:rsidP="007E28B9">
            <w:pPr>
              <w:spacing w:after="0" w:line="360" w:lineRule="auto"/>
              <w:ind w:left="284"/>
              <w:rPr>
                <w:bCs/>
                <w:color w:val="000000"/>
                <w:lang w:val="en-US"/>
              </w:rPr>
            </w:pPr>
            <w:r w:rsidRPr="00C9506C">
              <w:rPr>
                <w:bCs/>
                <w:color w:val="000000"/>
                <w:lang w:val="en-US"/>
              </w:rPr>
              <w:t>Married</w:t>
            </w:r>
          </w:p>
        </w:tc>
        <w:tc>
          <w:tcPr>
            <w:tcW w:w="0" w:type="auto"/>
            <w:tcBorders>
              <w:left w:val="nil"/>
              <w:right w:val="nil"/>
            </w:tcBorders>
            <w:shd w:val="clear" w:color="auto" w:fill="auto"/>
          </w:tcPr>
          <w:p w14:paraId="6DBBB3F4" w14:textId="77777777" w:rsidR="005F104B" w:rsidRPr="00C9506C" w:rsidRDefault="005F104B" w:rsidP="007E28B9">
            <w:pPr>
              <w:spacing w:after="0" w:line="360" w:lineRule="auto"/>
              <w:rPr>
                <w:color w:val="000000"/>
                <w:lang w:val="en-US"/>
              </w:rPr>
            </w:pPr>
            <w:r w:rsidRPr="00C9506C">
              <w:rPr>
                <w:rStyle w:val="Ninguno"/>
              </w:rPr>
              <w:t>62.07 (90)</w:t>
            </w:r>
          </w:p>
        </w:tc>
        <w:tc>
          <w:tcPr>
            <w:tcW w:w="0" w:type="auto"/>
            <w:tcBorders>
              <w:left w:val="nil"/>
              <w:right w:val="nil"/>
            </w:tcBorders>
            <w:shd w:val="clear" w:color="auto" w:fill="auto"/>
          </w:tcPr>
          <w:p w14:paraId="54F37706" w14:textId="77777777" w:rsidR="005F104B" w:rsidRPr="00C9506C" w:rsidRDefault="005F104B" w:rsidP="007E28B9">
            <w:pPr>
              <w:spacing w:after="0" w:line="360" w:lineRule="auto"/>
              <w:rPr>
                <w:color w:val="000000"/>
                <w:lang w:val="en-US"/>
              </w:rPr>
            </w:pPr>
            <w:r w:rsidRPr="00C9506C">
              <w:rPr>
                <w:rStyle w:val="Ninguno"/>
              </w:rPr>
              <w:t>59.32 (70)</w:t>
            </w:r>
          </w:p>
        </w:tc>
        <w:tc>
          <w:tcPr>
            <w:tcW w:w="0" w:type="auto"/>
            <w:tcBorders>
              <w:left w:val="nil"/>
              <w:right w:val="nil"/>
            </w:tcBorders>
          </w:tcPr>
          <w:p w14:paraId="1B2A03DD" w14:textId="77777777" w:rsidR="005F104B" w:rsidRPr="00C9506C" w:rsidRDefault="005F104B" w:rsidP="007E28B9">
            <w:pPr>
              <w:spacing w:after="0" w:line="360" w:lineRule="auto"/>
              <w:rPr>
                <w:rStyle w:val="Ninguno"/>
              </w:rPr>
            </w:pPr>
          </w:p>
        </w:tc>
        <w:tc>
          <w:tcPr>
            <w:tcW w:w="0" w:type="auto"/>
            <w:tcBorders>
              <w:left w:val="nil"/>
              <w:right w:val="nil"/>
            </w:tcBorders>
          </w:tcPr>
          <w:p w14:paraId="35E2F13B" w14:textId="77777777" w:rsidR="005F104B" w:rsidRPr="00C9506C" w:rsidRDefault="005F104B" w:rsidP="007E28B9">
            <w:pPr>
              <w:spacing w:after="0" w:line="360" w:lineRule="auto"/>
              <w:rPr>
                <w:rStyle w:val="Ninguno"/>
              </w:rPr>
            </w:pPr>
          </w:p>
        </w:tc>
      </w:tr>
      <w:tr w:rsidR="005F104B" w:rsidRPr="00C9506C" w14:paraId="09CCC6B7" w14:textId="77777777" w:rsidTr="007E28B9">
        <w:tc>
          <w:tcPr>
            <w:tcW w:w="0" w:type="auto"/>
            <w:shd w:val="clear" w:color="auto" w:fill="auto"/>
          </w:tcPr>
          <w:p w14:paraId="506702A0" w14:textId="77777777" w:rsidR="005F104B" w:rsidRPr="00C9506C" w:rsidRDefault="005F104B" w:rsidP="007E28B9">
            <w:pPr>
              <w:spacing w:after="0" w:line="360" w:lineRule="auto"/>
              <w:ind w:left="284"/>
              <w:rPr>
                <w:bCs/>
                <w:color w:val="000000"/>
                <w:lang w:val="en-US"/>
              </w:rPr>
            </w:pPr>
            <w:r w:rsidRPr="00C9506C">
              <w:rPr>
                <w:bCs/>
                <w:color w:val="000000"/>
                <w:lang w:val="en-US"/>
              </w:rPr>
              <w:t>Separated/divorced</w:t>
            </w:r>
          </w:p>
        </w:tc>
        <w:tc>
          <w:tcPr>
            <w:tcW w:w="0" w:type="auto"/>
            <w:shd w:val="clear" w:color="auto" w:fill="auto"/>
          </w:tcPr>
          <w:p w14:paraId="1ADC8653" w14:textId="77777777" w:rsidR="005F104B" w:rsidRPr="00C9506C" w:rsidRDefault="005F104B" w:rsidP="007E28B9">
            <w:pPr>
              <w:spacing w:after="0" w:line="360" w:lineRule="auto"/>
              <w:rPr>
                <w:color w:val="000000"/>
                <w:lang w:val="en-US"/>
              </w:rPr>
            </w:pPr>
            <w:r w:rsidRPr="00C9506C">
              <w:rPr>
                <w:rStyle w:val="Ninguno"/>
              </w:rPr>
              <w:t>19.31 (28)</w:t>
            </w:r>
          </w:p>
        </w:tc>
        <w:tc>
          <w:tcPr>
            <w:tcW w:w="0" w:type="auto"/>
            <w:shd w:val="clear" w:color="auto" w:fill="auto"/>
          </w:tcPr>
          <w:p w14:paraId="1919DB99" w14:textId="77777777" w:rsidR="005F104B" w:rsidRPr="00C9506C" w:rsidRDefault="005F104B" w:rsidP="007E28B9">
            <w:pPr>
              <w:spacing w:after="0" w:line="360" w:lineRule="auto"/>
              <w:rPr>
                <w:color w:val="000000"/>
                <w:lang w:val="en-US"/>
              </w:rPr>
            </w:pPr>
            <w:r w:rsidRPr="00C9506C">
              <w:rPr>
                <w:rStyle w:val="Ninguno"/>
              </w:rPr>
              <w:t>14.41 (17)</w:t>
            </w:r>
          </w:p>
        </w:tc>
        <w:tc>
          <w:tcPr>
            <w:tcW w:w="0" w:type="auto"/>
          </w:tcPr>
          <w:p w14:paraId="100A2DF7" w14:textId="77777777" w:rsidR="005F104B" w:rsidRPr="00C9506C" w:rsidRDefault="005F104B" w:rsidP="007E28B9">
            <w:pPr>
              <w:spacing w:after="0" w:line="360" w:lineRule="auto"/>
              <w:rPr>
                <w:rStyle w:val="Ninguno"/>
              </w:rPr>
            </w:pPr>
          </w:p>
        </w:tc>
        <w:tc>
          <w:tcPr>
            <w:tcW w:w="0" w:type="auto"/>
          </w:tcPr>
          <w:p w14:paraId="719204BD" w14:textId="77777777" w:rsidR="005F104B" w:rsidRPr="00C9506C" w:rsidRDefault="005F104B" w:rsidP="007E28B9">
            <w:pPr>
              <w:spacing w:after="0" w:line="360" w:lineRule="auto"/>
              <w:rPr>
                <w:rStyle w:val="Ninguno"/>
              </w:rPr>
            </w:pPr>
          </w:p>
        </w:tc>
      </w:tr>
      <w:tr w:rsidR="005F104B" w:rsidRPr="00C9506C" w14:paraId="4173C680" w14:textId="77777777" w:rsidTr="007E28B9">
        <w:tc>
          <w:tcPr>
            <w:tcW w:w="0" w:type="auto"/>
            <w:tcBorders>
              <w:left w:val="nil"/>
              <w:right w:val="nil"/>
            </w:tcBorders>
            <w:shd w:val="clear" w:color="auto" w:fill="auto"/>
          </w:tcPr>
          <w:p w14:paraId="0FF01E4B" w14:textId="77777777" w:rsidR="005F104B" w:rsidRPr="00C9506C" w:rsidRDefault="005F104B" w:rsidP="007E28B9">
            <w:pPr>
              <w:spacing w:after="0" w:line="360" w:lineRule="auto"/>
              <w:ind w:left="284"/>
              <w:rPr>
                <w:bCs/>
                <w:color w:val="000000"/>
                <w:lang w:val="en-US"/>
              </w:rPr>
            </w:pPr>
            <w:r w:rsidRPr="00C9506C">
              <w:rPr>
                <w:bCs/>
                <w:color w:val="000000"/>
                <w:lang w:val="en-US"/>
              </w:rPr>
              <w:t>Widow/widower</w:t>
            </w:r>
          </w:p>
        </w:tc>
        <w:tc>
          <w:tcPr>
            <w:tcW w:w="0" w:type="auto"/>
            <w:tcBorders>
              <w:left w:val="nil"/>
              <w:right w:val="nil"/>
            </w:tcBorders>
            <w:shd w:val="clear" w:color="auto" w:fill="auto"/>
          </w:tcPr>
          <w:p w14:paraId="09C6E57D" w14:textId="77777777" w:rsidR="005F104B" w:rsidRPr="00C9506C" w:rsidRDefault="005F104B" w:rsidP="007E28B9">
            <w:pPr>
              <w:spacing w:after="0" w:line="360" w:lineRule="auto"/>
              <w:rPr>
                <w:color w:val="000000"/>
                <w:lang w:val="en-US"/>
              </w:rPr>
            </w:pPr>
            <w:r w:rsidRPr="00C9506C">
              <w:rPr>
                <w:rStyle w:val="Ninguno"/>
              </w:rPr>
              <w:t>6.90 (10)</w:t>
            </w:r>
          </w:p>
        </w:tc>
        <w:tc>
          <w:tcPr>
            <w:tcW w:w="0" w:type="auto"/>
            <w:tcBorders>
              <w:left w:val="nil"/>
              <w:right w:val="nil"/>
            </w:tcBorders>
            <w:shd w:val="clear" w:color="auto" w:fill="auto"/>
          </w:tcPr>
          <w:p w14:paraId="2E5E8F67" w14:textId="77777777" w:rsidR="005F104B" w:rsidRPr="00C9506C" w:rsidRDefault="005F104B" w:rsidP="007E28B9">
            <w:pPr>
              <w:spacing w:after="0" w:line="360" w:lineRule="auto"/>
              <w:rPr>
                <w:color w:val="000000"/>
                <w:lang w:val="en-US"/>
              </w:rPr>
            </w:pPr>
            <w:r w:rsidRPr="00C9506C">
              <w:rPr>
                <w:rStyle w:val="Ninguno"/>
              </w:rPr>
              <w:t>5.93 (7)</w:t>
            </w:r>
          </w:p>
        </w:tc>
        <w:tc>
          <w:tcPr>
            <w:tcW w:w="0" w:type="auto"/>
            <w:tcBorders>
              <w:left w:val="nil"/>
              <w:right w:val="nil"/>
            </w:tcBorders>
          </w:tcPr>
          <w:p w14:paraId="7CB03596" w14:textId="77777777" w:rsidR="005F104B" w:rsidRPr="00C9506C" w:rsidRDefault="005F104B" w:rsidP="007E28B9">
            <w:pPr>
              <w:spacing w:after="0" w:line="360" w:lineRule="auto"/>
              <w:rPr>
                <w:rStyle w:val="Ninguno"/>
              </w:rPr>
            </w:pPr>
          </w:p>
        </w:tc>
        <w:tc>
          <w:tcPr>
            <w:tcW w:w="0" w:type="auto"/>
            <w:tcBorders>
              <w:left w:val="nil"/>
              <w:right w:val="nil"/>
            </w:tcBorders>
          </w:tcPr>
          <w:p w14:paraId="0F04AD29" w14:textId="77777777" w:rsidR="005F104B" w:rsidRPr="00C9506C" w:rsidRDefault="005F104B" w:rsidP="007E28B9">
            <w:pPr>
              <w:spacing w:after="0" w:line="360" w:lineRule="auto"/>
              <w:rPr>
                <w:rStyle w:val="Ninguno"/>
              </w:rPr>
            </w:pPr>
          </w:p>
        </w:tc>
      </w:tr>
      <w:tr w:rsidR="005F104B" w:rsidRPr="00C9506C" w14:paraId="7F733614" w14:textId="77777777" w:rsidTr="007E28B9">
        <w:tc>
          <w:tcPr>
            <w:tcW w:w="0" w:type="auto"/>
            <w:shd w:val="clear" w:color="auto" w:fill="auto"/>
          </w:tcPr>
          <w:p w14:paraId="1192F6B8" w14:textId="77777777" w:rsidR="005F104B" w:rsidRPr="00C9506C" w:rsidRDefault="005F104B" w:rsidP="007E28B9">
            <w:pPr>
              <w:spacing w:after="0" w:line="360" w:lineRule="auto"/>
              <w:rPr>
                <w:b/>
                <w:bCs/>
                <w:color w:val="000000"/>
                <w:lang w:val="en-US"/>
              </w:rPr>
            </w:pPr>
            <w:r w:rsidRPr="00C9506C">
              <w:rPr>
                <w:b/>
                <w:bCs/>
                <w:color w:val="000000"/>
                <w:lang w:val="en-US"/>
              </w:rPr>
              <w:t>Education, % (n)</w:t>
            </w:r>
          </w:p>
        </w:tc>
        <w:tc>
          <w:tcPr>
            <w:tcW w:w="0" w:type="auto"/>
            <w:shd w:val="clear" w:color="auto" w:fill="auto"/>
          </w:tcPr>
          <w:p w14:paraId="4E0F98A1" w14:textId="77777777" w:rsidR="005F104B" w:rsidRPr="00C9506C" w:rsidRDefault="005F104B" w:rsidP="007E28B9">
            <w:pPr>
              <w:spacing w:after="0" w:line="360" w:lineRule="auto"/>
              <w:rPr>
                <w:color w:val="000000"/>
                <w:lang w:val="en-US"/>
              </w:rPr>
            </w:pPr>
          </w:p>
        </w:tc>
        <w:tc>
          <w:tcPr>
            <w:tcW w:w="0" w:type="auto"/>
            <w:shd w:val="clear" w:color="auto" w:fill="auto"/>
          </w:tcPr>
          <w:p w14:paraId="475F43A3" w14:textId="77777777" w:rsidR="005F104B" w:rsidRPr="00C9506C" w:rsidRDefault="005F104B" w:rsidP="007E28B9">
            <w:pPr>
              <w:spacing w:after="0" w:line="360" w:lineRule="auto"/>
              <w:rPr>
                <w:color w:val="000000"/>
                <w:lang w:val="en-US"/>
              </w:rPr>
            </w:pPr>
          </w:p>
        </w:tc>
        <w:tc>
          <w:tcPr>
            <w:tcW w:w="0" w:type="auto"/>
          </w:tcPr>
          <w:p w14:paraId="2CB29451" w14:textId="77777777" w:rsidR="005F104B" w:rsidRPr="00C9506C" w:rsidRDefault="005F104B" w:rsidP="007E28B9">
            <w:pPr>
              <w:spacing w:after="0" w:line="360" w:lineRule="auto"/>
              <w:rPr>
                <w:color w:val="000000"/>
                <w:lang w:val="en-US"/>
              </w:rPr>
            </w:pPr>
            <w:r>
              <w:rPr>
                <w:color w:val="000000"/>
                <w:lang w:val="en-US"/>
              </w:rPr>
              <w:t>0.806</w:t>
            </w:r>
          </w:p>
        </w:tc>
        <w:tc>
          <w:tcPr>
            <w:tcW w:w="0" w:type="auto"/>
          </w:tcPr>
          <w:p w14:paraId="59F0A192" w14:textId="77777777" w:rsidR="005F104B" w:rsidRPr="00C9506C" w:rsidRDefault="005F104B" w:rsidP="007E28B9">
            <w:pPr>
              <w:spacing w:after="0" w:line="360" w:lineRule="auto"/>
              <w:rPr>
                <w:color w:val="000000"/>
                <w:lang w:val="en-US"/>
              </w:rPr>
            </w:pPr>
            <w:r>
              <w:rPr>
                <w:color w:val="000000"/>
                <w:lang w:val="en-US"/>
              </w:rPr>
              <w:t>0.638</w:t>
            </w:r>
          </w:p>
        </w:tc>
      </w:tr>
      <w:tr w:rsidR="005F104B" w:rsidRPr="00C9506C" w14:paraId="511FF4AF" w14:textId="77777777" w:rsidTr="007E28B9">
        <w:tc>
          <w:tcPr>
            <w:tcW w:w="0" w:type="auto"/>
            <w:tcBorders>
              <w:left w:val="nil"/>
              <w:right w:val="nil"/>
            </w:tcBorders>
            <w:shd w:val="clear" w:color="auto" w:fill="auto"/>
          </w:tcPr>
          <w:p w14:paraId="01EE8785" w14:textId="77777777" w:rsidR="005F104B" w:rsidRPr="00C9506C" w:rsidRDefault="005F104B" w:rsidP="007E28B9">
            <w:pPr>
              <w:spacing w:after="0" w:line="360" w:lineRule="auto"/>
              <w:ind w:left="284"/>
              <w:rPr>
                <w:bCs/>
                <w:color w:val="000000"/>
                <w:lang w:val="en-US"/>
              </w:rPr>
            </w:pPr>
            <w:r w:rsidRPr="00C9506C">
              <w:rPr>
                <w:bCs/>
                <w:color w:val="000000"/>
                <w:lang w:val="en-US"/>
              </w:rPr>
              <w:t>No formal education</w:t>
            </w:r>
          </w:p>
        </w:tc>
        <w:tc>
          <w:tcPr>
            <w:tcW w:w="0" w:type="auto"/>
            <w:tcBorders>
              <w:left w:val="nil"/>
              <w:right w:val="nil"/>
            </w:tcBorders>
            <w:shd w:val="clear" w:color="auto" w:fill="auto"/>
          </w:tcPr>
          <w:p w14:paraId="36D19C4F" w14:textId="77777777" w:rsidR="005F104B" w:rsidRPr="00C9506C" w:rsidRDefault="005F104B" w:rsidP="007E28B9">
            <w:pPr>
              <w:spacing w:after="0" w:line="360" w:lineRule="auto"/>
              <w:rPr>
                <w:color w:val="000000"/>
                <w:lang w:val="en-US"/>
              </w:rPr>
            </w:pPr>
            <w:r w:rsidRPr="00C9506C">
              <w:rPr>
                <w:rStyle w:val="Ninguno"/>
              </w:rPr>
              <w:t>6.21 (9)</w:t>
            </w:r>
          </w:p>
        </w:tc>
        <w:tc>
          <w:tcPr>
            <w:tcW w:w="0" w:type="auto"/>
            <w:tcBorders>
              <w:left w:val="nil"/>
              <w:right w:val="nil"/>
            </w:tcBorders>
            <w:shd w:val="clear" w:color="auto" w:fill="auto"/>
          </w:tcPr>
          <w:p w14:paraId="226655E0" w14:textId="77777777" w:rsidR="005F104B" w:rsidRPr="00C9506C" w:rsidRDefault="005F104B" w:rsidP="007E28B9">
            <w:pPr>
              <w:spacing w:after="0" w:line="360" w:lineRule="auto"/>
              <w:rPr>
                <w:color w:val="000000"/>
                <w:lang w:val="en-US"/>
              </w:rPr>
            </w:pPr>
            <w:r w:rsidRPr="00C9506C">
              <w:rPr>
                <w:rStyle w:val="Ninguno"/>
              </w:rPr>
              <w:t>8.47 (10)</w:t>
            </w:r>
          </w:p>
        </w:tc>
        <w:tc>
          <w:tcPr>
            <w:tcW w:w="0" w:type="auto"/>
            <w:tcBorders>
              <w:left w:val="nil"/>
              <w:right w:val="nil"/>
            </w:tcBorders>
          </w:tcPr>
          <w:p w14:paraId="4AF92E51" w14:textId="77777777" w:rsidR="005F104B" w:rsidRPr="00C9506C" w:rsidRDefault="005F104B" w:rsidP="007E28B9">
            <w:pPr>
              <w:spacing w:after="0" w:line="360" w:lineRule="auto"/>
              <w:rPr>
                <w:rStyle w:val="Ninguno"/>
              </w:rPr>
            </w:pPr>
          </w:p>
        </w:tc>
        <w:tc>
          <w:tcPr>
            <w:tcW w:w="0" w:type="auto"/>
            <w:tcBorders>
              <w:left w:val="nil"/>
              <w:right w:val="nil"/>
            </w:tcBorders>
          </w:tcPr>
          <w:p w14:paraId="5472BF41" w14:textId="77777777" w:rsidR="005F104B" w:rsidRPr="00C9506C" w:rsidRDefault="005F104B" w:rsidP="007E28B9">
            <w:pPr>
              <w:spacing w:after="0" w:line="360" w:lineRule="auto"/>
              <w:rPr>
                <w:rStyle w:val="Ninguno"/>
              </w:rPr>
            </w:pPr>
          </w:p>
        </w:tc>
      </w:tr>
      <w:tr w:rsidR="005F104B" w:rsidRPr="00C9506C" w14:paraId="1C76F1AF" w14:textId="77777777" w:rsidTr="007E28B9">
        <w:tc>
          <w:tcPr>
            <w:tcW w:w="0" w:type="auto"/>
            <w:shd w:val="clear" w:color="auto" w:fill="auto"/>
          </w:tcPr>
          <w:p w14:paraId="51FAAFC5" w14:textId="77777777" w:rsidR="005F104B" w:rsidRPr="00C9506C" w:rsidRDefault="005F104B" w:rsidP="007E28B9">
            <w:pPr>
              <w:spacing w:after="0" w:line="360" w:lineRule="auto"/>
              <w:ind w:left="284"/>
              <w:rPr>
                <w:bCs/>
                <w:color w:val="000000"/>
                <w:lang w:val="en-US"/>
              </w:rPr>
            </w:pPr>
            <w:r w:rsidRPr="00C9506C">
              <w:rPr>
                <w:bCs/>
                <w:color w:val="000000"/>
                <w:lang w:val="en-US"/>
              </w:rPr>
              <w:t>Primary</w:t>
            </w:r>
          </w:p>
        </w:tc>
        <w:tc>
          <w:tcPr>
            <w:tcW w:w="0" w:type="auto"/>
            <w:shd w:val="clear" w:color="auto" w:fill="auto"/>
          </w:tcPr>
          <w:p w14:paraId="1935FC60" w14:textId="77777777" w:rsidR="005F104B" w:rsidRPr="00C9506C" w:rsidRDefault="005F104B" w:rsidP="007E28B9">
            <w:pPr>
              <w:spacing w:after="0" w:line="360" w:lineRule="auto"/>
              <w:rPr>
                <w:color w:val="000000"/>
                <w:lang w:val="en-US"/>
              </w:rPr>
            </w:pPr>
            <w:r w:rsidRPr="00C9506C">
              <w:rPr>
                <w:rStyle w:val="Ninguno"/>
              </w:rPr>
              <w:t>17.24 (25)</w:t>
            </w:r>
          </w:p>
        </w:tc>
        <w:tc>
          <w:tcPr>
            <w:tcW w:w="0" w:type="auto"/>
            <w:shd w:val="clear" w:color="auto" w:fill="auto"/>
          </w:tcPr>
          <w:p w14:paraId="471FA041" w14:textId="77777777" w:rsidR="005F104B" w:rsidRPr="00C9506C" w:rsidRDefault="005F104B" w:rsidP="007E28B9">
            <w:pPr>
              <w:spacing w:after="0" w:line="360" w:lineRule="auto"/>
              <w:rPr>
                <w:color w:val="000000"/>
                <w:lang w:val="en-US"/>
              </w:rPr>
            </w:pPr>
            <w:r w:rsidRPr="00C9506C">
              <w:rPr>
                <w:rStyle w:val="Ninguno"/>
              </w:rPr>
              <w:t>16.95 (20)</w:t>
            </w:r>
          </w:p>
        </w:tc>
        <w:tc>
          <w:tcPr>
            <w:tcW w:w="0" w:type="auto"/>
          </w:tcPr>
          <w:p w14:paraId="2353ABFE" w14:textId="77777777" w:rsidR="005F104B" w:rsidRPr="00C9506C" w:rsidRDefault="005F104B" w:rsidP="007E28B9">
            <w:pPr>
              <w:spacing w:after="0" w:line="360" w:lineRule="auto"/>
              <w:rPr>
                <w:rStyle w:val="Ninguno"/>
              </w:rPr>
            </w:pPr>
          </w:p>
        </w:tc>
        <w:tc>
          <w:tcPr>
            <w:tcW w:w="0" w:type="auto"/>
          </w:tcPr>
          <w:p w14:paraId="5BF9E299" w14:textId="77777777" w:rsidR="005F104B" w:rsidRPr="00C9506C" w:rsidRDefault="005F104B" w:rsidP="007E28B9">
            <w:pPr>
              <w:spacing w:after="0" w:line="360" w:lineRule="auto"/>
              <w:rPr>
                <w:rStyle w:val="Ninguno"/>
              </w:rPr>
            </w:pPr>
          </w:p>
        </w:tc>
      </w:tr>
      <w:tr w:rsidR="005F104B" w:rsidRPr="00C9506C" w14:paraId="0C49AD50" w14:textId="77777777" w:rsidTr="007E28B9">
        <w:tc>
          <w:tcPr>
            <w:tcW w:w="0" w:type="auto"/>
            <w:tcBorders>
              <w:left w:val="nil"/>
              <w:right w:val="nil"/>
            </w:tcBorders>
            <w:shd w:val="clear" w:color="auto" w:fill="auto"/>
          </w:tcPr>
          <w:p w14:paraId="1A2281D8" w14:textId="77777777" w:rsidR="005F104B" w:rsidRPr="00C9506C" w:rsidRDefault="005F104B" w:rsidP="007E28B9">
            <w:pPr>
              <w:spacing w:after="0" w:line="360" w:lineRule="auto"/>
              <w:ind w:left="284"/>
              <w:rPr>
                <w:bCs/>
                <w:color w:val="000000"/>
                <w:lang w:val="en-US"/>
              </w:rPr>
            </w:pPr>
            <w:r w:rsidRPr="00C9506C">
              <w:rPr>
                <w:bCs/>
                <w:color w:val="000000"/>
                <w:lang w:val="en-US"/>
              </w:rPr>
              <w:t>Completed primary education</w:t>
            </w:r>
          </w:p>
        </w:tc>
        <w:tc>
          <w:tcPr>
            <w:tcW w:w="0" w:type="auto"/>
            <w:tcBorders>
              <w:left w:val="nil"/>
              <w:right w:val="nil"/>
            </w:tcBorders>
            <w:shd w:val="clear" w:color="auto" w:fill="auto"/>
          </w:tcPr>
          <w:p w14:paraId="38DC08F2" w14:textId="77777777" w:rsidR="005F104B" w:rsidRPr="00C9506C" w:rsidRDefault="005F104B" w:rsidP="007E28B9">
            <w:pPr>
              <w:spacing w:after="0" w:line="360" w:lineRule="auto"/>
              <w:rPr>
                <w:color w:val="000000"/>
                <w:lang w:val="en-US"/>
              </w:rPr>
            </w:pPr>
            <w:r w:rsidRPr="00C9506C">
              <w:rPr>
                <w:rStyle w:val="Ninguno"/>
              </w:rPr>
              <w:t>25.52 (37)</w:t>
            </w:r>
          </w:p>
        </w:tc>
        <w:tc>
          <w:tcPr>
            <w:tcW w:w="0" w:type="auto"/>
            <w:tcBorders>
              <w:left w:val="nil"/>
              <w:right w:val="nil"/>
            </w:tcBorders>
            <w:shd w:val="clear" w:color="auto" w:fill="auto"/>
          </w:tcPr>
          <w:p w14:paraId="6C4FFEB5" w14:textId="77777777" w:rsidR="005F104B" w:rsidRPr="00C9506C" w:rsidRDefault="005F104B" w:rsidP="007E28B9">
            <w:pPr>
              <w:spacing w:after="0" w:line="360" w:lineRule="auto"/>
              <w:rPr>
                <w:color w:val="000000"/>
                <w:lang w:val="en-US"/>
              </w:rPr>
            </w:pPr>
            <w:r w:rsidRPr="00C9506C">
              <w:rPr>
                <w:rStyle w:val="Ninguno"/>
              </w:rPr>
              <w:t>28.81 (34)</w:t>
            </w:r>
          </w:p>
        </w:tc>
        <w:tc>
          <w:tcPr>
            <w:tcW w:w="0" w:type="auto"/>
            <w:tcBorders>
              <w:left w:val="nil"/>
              <w:right w:val="nil"/>
            </w:tcBorders>
          </w:tcPr>
          <w:p w14:paraId="53EB5AF1" w14:textId="77777777" w:rsidR="005F104B" w:rsidRPr="00C9506C" w:rsidRDefault="005F104B" w:rsidP="007E28B9">
            <w:pPr>
              <w:spacing w:after="0" w:line="360" w:lineRule="auto"/>
              <w:rPr>
                <w:rStyle w:val="Ninguno"/>
              </w:rPr>
            </w:pPr>
          </w:p>
        </w:tc>
        <w:tc>
          <w:tcPr>
            <w:tcW w:w="0" w:type="auto"/>
            <w:tcBorders>
              <w:left w:val="nil"/>
              <w:right w:val="nil"/>
            </w:tcBorders>
          </w:tcPr>
          <w:p w14:paraId="070CACB1" w14:textId="77777777" w:rsidR="005F104B" w:rsidRPr="00C9506C" w:rsidRDefault="005F104B" w:rsidP="007E28B9">
            <w:pPr>
              <w:spacing w:after="0" w:line="360" w:lineRule="auto"/>
              <w:rPr>
                <w:rStyle w:val="Ninguno"/>
              </w:rPr>
            </w:pPr>
          </w:p>
        </w:tc>
      </w:tr>
      <w:tr w:rsidR="005F104B" w:rsidRPr="00C9506C" w14:paraId="5B06F07F" w14:textId="77777777" w:rsidTr="007E28B9">
        <w:tc>
          <w:tcPr>
            <w:tcW w:w="0" w:type="auto"/>
            <w:shd w:val="clear" w:color="auto" w:fill="auto"/>
          </w:tcPr>
          <w:p w14:paraId="018A9395" w14:textId="77777777" w:rsidR="005F104B" w:rsidRPr="00C9506C" w:rsidRDefault="005F104B" w:rsidP="007E28B9">
            <w:pPr>
              <w:spacing w:after="0" w:line="360" w:lineRule="auto"/>
              <w:ind w:left="284"/>
              <w:rPr>
                <w:bCs/>
                <w:color w:val="000000"/>
                <w:lang w:val="en-US"/>
              </w:rPr>
            </w:pPr>
            <w:r w:rsidRPr="00C9506C">
              <w:rPr>
                <w:bCs/>
                <w:color w:val="000000"/>
                <w:lang w:val="en-US"/>
              </w:rPr>
              <w:t>Secondary</w:t>
            </w:r>
          </w:p>
        </w:tc>
        <w:tc>
          <w:tcPr>
            <w:tcW w:w="0" w:type="auto"/>
            <w:shd w:val="clear" w:color="auto" w:fill="auto"/>
          </w:tcPr>
          <w:p w14:paraId="3C4C737A" w14:textId="77777777" w:rsidR="005F104B" w:rsidRPr="00C9506C" w:rsidRDefault="005F104B" w:rsidP="007E28B9">
            <w:pPr>
              <w:spacing w:after="0" w:line="360" w:lineRule="auto"/>
              <w:rPr>
                <w:color w:val="000000"/>
                <w:lang w:val="en-US"/>
              </w:rPr>
            </w:pPr>
            <w:r w:rsidRPr="00C9506C">
              <w:rPr>
                <w:rStyle w:val="Ninguno"/>
              </w:rPr>
              <w:t>37.93 (55)</w:t>
            </w:r>
          </w:p>
        </w:tc>
        <w:tc>
          <w:tcPr>
            <w:tcW w:w="0" w:type="auto"/>
            <w:shd w:val="clear" w:color="auto" w:fill="auto"/>
          </w:tcPr>
          <w:p w14:paraId="5BF6D993" w14:textId="77777777" w:rsidR="005F104B" w:rsidRPr="00C9506C" w:rsidRDefault="005F104B" w:rsidP="007E28B9">
            <w:pPr>
              <w:spacing w:after="0" w:line="360" w:lineRule="auto"/>
              <w:rPr>
                <w:color w:val="000000"/>
                <w:lang w:val="en-US"/>
              </w:rPr>
            </w:pPr>
            <w:r w:rsidRPr="00C9506C">
              <w:rPr>
                <w:rStyle w:val="Ninguno"/>
              </w:rPr>
              <w:t>31.36 (37)</w:t>
            </w:r>
          </w:p>
        </w:tc>
        <w:tc>
          <w:tcPr>
            <w:tcW w:w="0" w:type="auto"/>
          </w:tcPr>
          <w:p w14:paraId="2805C1EF" w14:textId="77777777" w:rsidR="005F104B" w:rsidRPr="00C9506C" w:rsidRDefault="005F104B" w:rsidP="007E28B9">
            <w:pPr>
              <w:spacing w:after="0" w:line="360" w:lineRule="auto"/>
              <w:rPr>
                <w:rStyle w:val="Ninguno"/>
              </w:rPr>
            </w:pPr>
          </w:p>
        </w:tc>
        <w:tc>
          <w:tcPr>
            <w:tcW w:w="0" w:type="auto"/>
          </w:tcPr>
          <w:p w14:paraId="7FEDA604" w14:textId="77777777" w:rsidR="005F104B" w:rsidRPr="00C9506C" w:rsidRDefault="005F104B" w:rsidP="007E28B9">
            <w:pPr>
              <w:spacing w:after="0" w:line="360" w:lineRule="auto"/>
              <w:rPr>
                <w:rStyle w:val="Ninguno"/>
              </w:rPr>
            </w:pPr>
          </w:p>
        </w:tc>
      </w:tr>
      <w:tr w:rsidR="005F104B" w:rsidRPr="00C9506C" w14:paraId="69F6FCC8" w14:textId="77777777" w:rsidTr="007E28B9">
        <w:tc>
          <w:tcPr>
            <w:tcW w:w="0" w:type="auto"/>
            <w:tcBorders>
              <w:left w:val="nil"/>
              <w:right w:val="nil"/>
            </w:tcBorders>
            <w:shd w:val="clear" w:color="auto" w:fill="auto"/>
          </w:tcPr>
          <w:p w14:paraId="34451A85" w14:textId="77777777" w:rsidR="005F104B" w:rsidRPr="00C9506C" w:rsidRDefault="005F104B" w:rsidP="007E28B9">
            <w:pPr>
              <w:spacing w:after="0" w:line="360" w:lineRule="auto"/>
              <w:ind w:left="284"/>
              <w:rPr>
                <w:bCs/>
                <w:color w:val="000000"/>
                <w:lang w:val="en-US"/>
              </w:rPr>
            </w:pPr>
            <w:r w:rsidRPr="00C9506C">
              <w:rPr>
                <w:bCs/>
                <w:color w:val="000000"/>
                <w:lang w:val="en-US"/>
              </w:rPr>
              <w:t>University</w:t>
            </w:r>
          </w:p>
        </w:tc>
        <w:tc>
          <w:tcPr>
            <w:tcW w:w="0" w:type="auto"/>
            <w:tcBorders>
              <w:left w:val="nil"/>
              <w:right w:val="nil"/>
            </w:tcBorders>
            <w:shd w:val="clear" w:color="auto" w:fill="auto"/>
          </w:tcPr>
          <w:p w14:paraId="5A1726BF" w14:textId="77777777" w:rsidR="005F104B" w:rsidRPr="00C9506C" w:rsidRDefault="005F104B" w:rsidP="007E28B9">
            <w:pPr>
              <w:spacing w:after="0" w:line="360" w:lineRule="auto"/>
              <w:rPr>
                <w:color w:val="000000"/>
                <w:lang w:val="en-US"/>
              </w:rPr>
            </w:pPr>
            <w:r w:rsidRPr="00C9506C">
              <w:rPr>
                <w:rFonts w:cs="Calibri"/>
              </w:rPr>
              <w:t>13.10 (19)</w:t>
            </w:r>
          </w:p>
        </w:tc>
        <w:tc>
          <w:tcPr>
            <w:tcW w:w="0" w:type="auto"/>
            <w:tcBorders>
              <w:left w:val="nil"/>
              <w:right w:val="nil"/>
            </w:tcBorders>
            <w:shd w:val="clear" w:color="auto" w:fill="auto"/>
          </w:tcPr>
          <w:p w14:paraId="453663B3" w14:textId="77777777" w:rsidR="005F104B" w:rsidRPr="00C9506C" w:rsidRDefault="005F104B" w:rsidP="007E28B9">
            <w:pPr>
              <w:spacing w:after="0" w:line="360" w:lineRule="auto"/>
              <w:rPr>
                <w:color w:val="000000"/>
                <w:lang w:val="en-US"/>
              </w:rPr>
            </w:pPr>
            <w:r w:rsidRPr="00C9506C">
              <w:rPr>
                <w:rFonts w:cs="Calibri"/>
              </w:rPr>
              <w:t>14.41 (17)</w:t>
            </w:r>
          </w:p>
        </w:tc>
        <w:tc>
          <w:tcPr>
            <w:tcW w:w="0" w:type="auto"/>
            <w:tcBorders>
              <w:left w:val="nil"/>
              <w:right w:val="nil"/>
            </w:tcBorders>
          </w:tcPr>
          <w:p w14:paraId="529B9C99" w14:textId="77777777" w:rsidR="005F104B" w:rsidRPr="00C9506C" w:rsidRDefault="005F104B" w:rsidP="007E28B9">
            <w:pPr>
              <w:spacing w:after="0" w:line="360" w:lineRule="auto"/>
              <w:rPr>
                <w:rFonts w:cs="Calibri"/>
              </w:rPr>
            </w:pPr>
          </w:p>
        </w:tc>
        <w:tc>
          <w:tcPr>
            <w:tcW w:w="0" w:type="auto"/>
            <w:tcBorders>
              <w:left w:val="nil"/>
              <w:right w:val="nil"/>
            </w:tcBorders>
          </w:tcPr>
          <w:p w14:paraId="36D379DE" w14:textId="77777777" w:rsidR="005F104B" w:rsidRPr="00C9506C" w:rsidRDefault="005F104B" w:rsidP="007E28B9">
            <w:pPr>
              <w:spacing w:after="0" w:line="360" w:lineRule="auto"/>
              <w:rPr>
                <w:rFonts w:cs="Calibri"/>
              </w:rPr>
            </w:pPr>
          </w:p>
        </w:tc>
      </w:tr>
      <w:tr w:rsidR="005F104B" w:rsidRPr="00C9506C" w14:paraId="532B10A7" w14:textId="77777777" w:rsidTr="007E28B9">
        <w:tc>
          <w:tcPr>
            <w:tcW w:w="0" w:type="auto"/>
            <w:shd w:val="clear" w:color="auto" w:fill="auto"/>
          </w:tcPr>
          <w:p w14:paraId="434C7B45" w14:textId="77777777" w:rsidR="005F104B" w:rsidRPr="00C9506C" w:rsidRDefault="005F104B" w:rsidP="007E28B9">
            <w:pPr>
              <w:spacing w:after="0" w:line="360" w:lineRule="auto"/>
              <w:rPr>
                <w:b/>
                <w:bCs/>
                <w:color w:val="000000"/>
                <w:lang w:val="en-US"/>
              </w:rPr>
            </w:pPr>
            <w:r w:rsidRPr="00C9506C">
              <w:rPr>
                <w:b/>
                <w:bCs/>
                <w:color w:val="000000"/>
                <w:lang w:val="en-US"/>
              </w:rPr>
              <w:t>Work status, % (n)</w:t>
            </w:r>
          </w:p>
        </w:tc>
        <w:tc>
          <w:tcPr>
            <w:tcW w:w="0" w:type="auto"/>
            <w:shd w:val="clear" w:color="auto" w:fill="auto"/>
          </w:tcPr>
          <w:p w14:paraId="6821CE25" w14:textId="77777777" w:rsidR="005F104B" w:rsidRPr="00C9506C" w:rsidRDefault="005F104B" w:rsidP="007E28B9">
            <w:pPr>
              <w:spacing w:after="0" w:line="360" w:lineRule="auto"/>
              <w:rPr>
                <w:color w:val="000000"/>
                <w:lang w:val="en-US"/>
              </w:rPr>
            </w:pPr>
          </w:p>
        </w:tc>
        <w:tc>
          <w:tcPr>
            <w:tcW w:w="0" w:type="auto"/>
            <w:shd w:val="clear" w:color="auto" w:fill="auto"/>
          </w:tcPr>
          <w:p w14:paraId="73EE579A" w14:textId="77777777" w:rsidR="005F104B" w:rsidRPr="00C9506C" w:rsidRDefault="005F104B" w:rsidP="007E28B9">
            <w:pPr>
              <w:spacing w:after="0" w:line="360" w:lineRule="auto"/>
              <w:rPr>
                <w:color w:val="000000"/>
                <w:lang w:val="en-US"/>
              </w:rPr>
            </w:pPr>
          </w:p>
        </w:tc>
        <w:tc>
          <w:tcPr>
            <w:tcW w:w="0" w:type="auto"/>
          </w:tcPr>
          <w:p w14:paraId="19A399F2" w14:textId="77777777" w:rsidR="005F104B" w:rsidRPr="00C9506C" w:rsidRDefault="005F104B" w:rsidP="007E28B9">
            <w:pPr>
              <w:spacing w:after="0" w:line="360" w:lineRule="auto"/>
              <w:rPr>
                <w:color w:val="000000"/>
                <w:lang w:val="en-US"/>
              </w:rPr>
            </w:pPr>
            <w:r>
              <w:rPr>
                <w:color w:val="000000"/>
                <w:lang w:val="en-US"/>
              </w:rPr>
              <w:t>0.579</w:t>
            </w:r>
          </w:p>
        </w:tc>
        <w:tc>
          <w:tcPr>
            <w:tcW w:w="0" w:type="auto"/>
          </w:tcPr>
          <w:p w14:paraId="34559B14" w14:textId="77777777" w:rsidR="005F104B" w:rsidRPr="00C9506C" w:rsidRDefault="005F104B" w:rsidP="007E28B9">
            <w:pPr>
              <w:spacing w:after="0" w:line="360" w:lineRule="auto"/>
              <w:rPr>
                <w:color w:val="000000"/>
                <w:lang w:val="en-US"/>
              </w:rPr>
            </w:pPr>
            <w:r>
              <w:rPr>
                <w:color w:val="000000"/>
                <w:lang w:val="en-US"/>
              </w:rPr>
              <w:t>0.826</w:t>
            </w:r>
          </w:p>
        </w:tc>
      </w:tr>
      <w:tr w:rsidR="005F104B" w:rsidRPr="00C9506C" w14:paraId="394DB247" w14:textId="77777777" w:rsidTr="007E28B9">
        <w:tc>
          <w:tcPr>
            <w:tcW w:w="0" w:type="auto"/>
            <w:tcBorders>
              <w:left w:val="nil"/>
              <w:right w:val="nil"/>
            </w:tcBorders>
            <w:shd w:val="clear" w:color="auto" w:fill="auto"/>
          </w:tcPr>
          <w:p w14:paraId="362AADF6" w14:textId="77777777" w:rsidR="005F104B" w:rsidRPr="00C9506C" w:rsidRDefault="005F104B" w:rsidP="007E28B9">
            <w:pPr>
              <w:spacing w:after="0" w:line="360" w:lineRule="auto"/>
              <w:ind w:left="284"/>
              <w:rPr>
                <w:bCs/>
                <w:color w:val="000000"/>
                <w:lang w:val="en-US"/>
              </w:rPr>
            </w:pPr>
            <w:r w:rsidRPr="00C9506C">
              <w:rPr>
                <w:bCs/>
                <w:color w:val="000000"/>
                <w:lang w:val="en-US"/>
              </w:rPr>
              <w:t>Paid employment</w:t>
            </w:r>
          </w:p>
        </w:tc>
        <w:tc>
          <w:tcPr>
            <w:tcW w:w="0" w:type="auto"/>
            <w:tcBorders>
              <w:left w:val="nil"/>
              <w:right w:val="nil"/>
            </w:tcBorders>
            <w:shd w:val="clear" w:color="auto" w:fill="auto"/>
          </w:tcPr>
          <w:p w14:paraId="1E60814C" w14:textId="77777777" w:rsidR="005F104B" w:rsidRPr="00C9506C" w:rsidRDefault="005F104B" w:rsidP="007E28B9">
            <w:pPr>
              <w:spacing w:after="0" w:line="360" w:lineRule="auto"/>
              <w:rPr>
                <w:color w:val="000000"/>
                <w:lang w:val="en-US"/>
              </w:rPr>
            </w:pPr>
            <w:r w:rsidRPr="00C9506C">
              <w:rPr>
                <w:rStyle w:val="Ninguno"/>
              </w:rPr>
              <w:t>26.90 (39)</w:t>
            </w:r>
          </w:p>
        </w:tc>
        <w:tc>
          <w:tcPr>
            <w:tcW w:w="0" w:type="auto"/>
            <w:tcBorders>
              <w:left w:val="nil"/>
              <w:right w:val="nil"/>
            </w:tcBorders>
            <w:shd w:val="clear" w:color="auto" w:fill="auto"/>
          </w:tcPr>
          <w:p w14:paraId="774D0CA9" w14:textId="77777777" w:rsidR="005F104B" w:rsidRPr="00C9506C" w:rsidRDefault="005F104B" w:rsidP="007E28B9">
            <w:pPr>
              <w:spacing w:after="0" w:line="360" w:lineRule="auto"/>
              <w:rPr>
                <w:color w:val="000000"/>
                <w:lang w:val="en-US"/>
              </w:rPr>
            </w:pPr>
            <w:r w:rsidRPr="00C9506C">
              <w:rPr>
                <w:rStyle w:val="Ninguno"/>
              </w:rPr>
              <w:t>31.36 (37)</w:t>
            </w:r>
          </w:p>
        </w:tc>
        <w:tc>
          <w:tcPr>
            <w:tcW w:w="0" w:type="auto"/>
            <w:tcBorders>
              <w:left w:val="nil"/>
              <w:right w:val="nil"/>
            </w:tcBorders>
          </w:tcPr>
          <w:p w14:paraId="61EB973E" w14:textId="77777777" w:rsidR="005F104B" w:rsidRPr="00C9506C" w:rsidRDefault="005F104B" w:rsidP="007E28B9">
            <w:pPr>
              <w:spacing w:after="0" w:line="360" w:lineRule="auto"/>
              <w:rPr>
                <w:rStyle w:val="Ninguno"/>
              </w:rPr>
            </w:pPr>
          </w:p>
        </w:tc>
        <w:tc>
          <w:tcPr>
            <w:tcW w:w="0" w:type="auto"/>
            <w:tcBorders>
              <w:left w:val="nil"/>
              <w:right w:val="nil"/>
            </w:tcBorders>
          </w:tcPr>
          <w:p w14:paraId="26161C70" w14:textId="77777777" w:rsidR="005F104B" w:rsidRPr="00C9506C" w:rsidRDefault="005F104B" w:rsidP="007E28B9">
            <w:pPr>
              <w:spacing w:after="0" w:line="360" w:lineRule="auto"/>
              <w:rPr>
                <w:rStyle w:val="Ninguno"/>
              </w:rPr>
            </w:pPr>
          </w:p>
        </w:tc>
      </w:tr>
      <w:tr w:rsidR="005F104B" w:rsidRPr="00C9506C" w14:paraId="1AD3A8F1" w14:textId="77777777" w:rsidTr="007E28B9">
        <w:tc>
          <w:tcPr>
            <w:tcW w:w="0" w:type="auto"/>
            <w:shd w:val="clear" w:color="auto" w:fill="auto"/>
          </w:tcPr>
          <w:p w14:paraId="74BD3378" w14:textId="77777777" w:rsidR="005F104B" w:rsidRPr="00C9506C" w:rsidRDefault="005F104B" w:rsidP="007E28B9">
            <w:pPr>
              <w:spacing w:after="0" w:line="360" w:lineRule="auto"/>
              <w:ind w:left="284"/>
              <w:rPr>
                <w:bCs/>
                <w:color w:val="000000"/>
                <w:lang w:val="en-US"/>
              </w:rPr>
            </w:pPr>
            <w:r w:rsidRPr="00C9506C">
              <w:rPr>
                <w:bCs/>
                <w:color w:val="000000"/>
                <w:lang w:val="en-US"/>
              </w:rPr>
              <w:t>Unpaid work</w:t>
            </w:r>
          </w:p>
        </w:tc>
        <w:tc>
          <w:tcPr>
            <w:tcW w:w="0" w:type="auto"/>
            <w:shd w:val="clear" w:color="auto" w:fill="auto"/>
          </w:tcPr>
          <w:p w14:paraId="196C6F18" w14:textId="77777777" w:rsidR="005F104B" w:rsidRPr="00C9506C" w:rsidRDefault="005F104B" w:rsidP="007E28B9">
            <w:pPr>
              <w:spacing w:after="0" w:line="360" w:lineRule="auto"/>
              <w:rPr>
                <w:color w:val="000000"/>
                <w:lang w:val="en-US"/>
              </w:rPr>
            </w:pPr>
            <w:r w:rsidRPr="00C9506C">
              <w:rPr>
                <w:rStyle w:val="Ninguno"/>
              </w:rPr>
              <w:t>8.97 (13)</w:t>
            </w:r>
          </w:p>
        </w:tc>
        <w:tc>
          <w:tcPr>
            <w:tcW w:w="0" w:type="auto"/>
            <w:shd w:val="clear" w:color="auto" w:fill="auto"/>
          </w:tcPr>
          <w:p w14:paraId="6FEE9FCB" w14:textId="77777777" w:rsidR="005F104B" w:rsidRPr="00C9506C" w:rsidRDefault="005F104B" w:rsidP="007E28B9">
            <w:pPr>
              <w:spacing w:after="0" w:line="360" w:lineRule="auto"/>
              <w:rPr>
                <w:color w:val="000000"/>
                <w:lang w:val="en-US"/>
              </w:rPr>
            </w:pPr>
            <w:r w:rsidRPr="00C9506C">
              <w:rPr>
                <w:rStyle w:val="Ninguno"/>
              </w:rPr>
              <w:t>16.10 (19)</w:t>
            </w:r>
          </w:p>
        </w:tc>
        <w:tc>
          <w:tcPr>
            <w:tcW w:w="0" w:type="auto"/>
          </w:tcPr>
          <w:p w14:paraId="307511CD" w14:textId="77777777" w:rsidR="005F104B" w:rsidRPr="00C9506C" w:rsidRDefault="005F104B" w:rsidP="007E28B9">
            <w:pPr>
              <w:spacing w:after="0" w:line="360" w:lineRule="auto"/>
              <w:rPr>
                <w:rStyle w:val="Ninguno"/>
              </w:rPr>
            </w:pPr>
          </w:p>
        </w:tc>
        <w:tc>
          <w:tcPr>
            <w:tcW w:w="0" w:type="auto"/>
          </w:tcPr>
          <w:p w14:paraId="1638C469" w14:textId="77777777" w:rsidR="005F104B" w:rsidRPr="00C9506C" w:rsidRDefault="005F104B" w:rsidP="007E28B9">
            <w:pPr>
              <w:spacing w:after="0" w:line="360" w:lineRule="auto"/>
              <w:rPr>
                <w:rStyle w:val="Ninguno"/>
              </w:rPr>
            </w:pPr>
          </w:p>
        </w:tc>
      </w:tr>
      <w:tr w:rsidR="005F104B" w:rsidRPr="00C9506C" w14:paraId="17D13D7C" w14:textId="77777777" w:rsidTr="007E28B9">
        <w:tc>
          <w:tcPr>
            <w:tcW w:w="0" w:type="auto"/>
            <w:tcBorders>
              <w:left w:val="nil"/>
              <w:right w:val="nil"/>
            </w:tcBorders>
            <w:shd w:val="clear" w:color="auto" w:fill="auto"/>
          </w:tcPr>
          <w:p w14:paraId="4504F340" w14:textId="77777777" w:rsidR="005F104B" w:rsidRPr="00C9506C" w:rsidRDefault="005F104B" w:rsidP="007E28B9">
            <w:pPr>
              <w:spacing w:after="0" w:line="360" w:lineRule="auto"/>
              <w:ind w:left="284"/>
              <w:rPr>
                <w:bCs/>
                <w:color w:val="000000"/>
                <w:lang w:val="en-US"/>
              </w:rPr>
            </w:pPr>
            <w:r w:rsidRPr="00C9506C">
              <w:rPr>
                <w:bCs/>
                <w:color w:val="000000"/>
                <w:lang w:val="en-US"/>
              </w:rPr>
              <w:t>On sick leave</w:t>
            </w:r>
          </w:p>
        </w:tc>
        <w:tc>
          <w:tcPr>
            <w:tcW w:w="0" w:type="auto"/>
            <w:tcBorders>
              <w:left w:val="nil"/>
              <w:right w:val="nil"/>
            </w:tcBorders>
            <w:shd w:val="clear" w:color="auto" w:fill="auto"/>
          </w:tcPr>
          <w:p w14:paraId="69F4C5F3" w14:textId="77777777" w:rsidR="005F104B" w:rsidRPr="00C9506C" w:rsidRDefault="005F104B" w:rsidP="007E28B9">
            <w:pPr>
              <w:spacing w:after="0" w:line="360" w:lineRule="auto"/>
              <w:rPr>
                <w:color w:val="000000"/>
                <w:lang w:val="en-US"/>
              </w:rPr>
            </w:pPr>
            <w:r w:rsidRPr="00C9506C">
              <w:rPr>
                <w:rStyle w:val="Ninguno"/>
              </w:rPr>
              <w:t>18.62 (27)</w:t>
            </w:r>
          </w:p>
        </w:tc>
        <w:tc>
          <w:tcPr>
            <w:tcW w:w="0" w:type="auto"/>
            <w:tcBorders>
              <w:left w:val="nil"/>
              <w:right w:val="nil"/>
            </w:tcBorders>
            <w:shd w:val="clear" w:color="auto" w:fill="auto"/>
          </w:tcPr>
          <w:p w14:paraId="6E5AE419" w14:textId="77777777" w:rsidR="005F104B" w:rsidRPr="00C9506C" w:rsidRDefault="005F104B" w:rsidP="007E28B9">
            <w:pPr>
              <w:spacing w:after="0" w:line="360" w:lineRule="auto"/>
              <w:rPr>
                <w:color w:val="000000"/>
                <w:lang w:val="en-US"/>
              </w:rPr>
            </w:pPr>
            <w:r w:rsidRPr="00C9506C">
              <w:rPr>
                <w:rStyle w:val="Ninguno"/>
              </w:rPr>
              <w:t>15.25 (18)</w:t>
            </w:r>
          </w:p>
        </w:tc>
        <w:tc>
          <w:tcPr>
            <w:tcW w:w="0" w:type="auto"/>
            <w:tcBorders>
              <w:left w:val="nil"/>
              <w:right w:val="nil"/>
            </w:tcBorders>
          </w:tcPr>
          <w:p w14:paraId="2FED97B5" w14:textId="77777777" w:rsidR="005F104B" w:rsidRPr="00C9506C" w:rsidRDefault="005F104B" w:rsidP="007E28B9">
            <w:pPr>
              <w:spacing w:after="0" w:line="360" w:lineRule="auto"/>
              <w:rPr>
                <w:rStyle w:val="Ninguno"/>
              </w:rPr>
            </w:pPr>
          </w:p>
        </w:tc>
        <w:tc>
          <w:tcPr>
            <w:tcW w:w="0" w:type="auto"/>
            <w:tcBorders>
              <w:left w:val="nil"/>
              <w:right w:val="nil"/>
            </w:tcBorders>
          </w:tcPr>
          <w:p w14:paraId="48E1C1B6" w14:textId="77777777" w:rsidR="005F104B" w:rsidRPr="00C9506C" w:rsidRDefault="005F104B" w:rsidP="007E28B9">
            <w:pPr>
              <w:spacing w:after="0" w:line="360" w:lineRule="auto"/>
              <w:rPr>
                <w:rStyle w:val="Ninguno"/>
              </w:rPr>
            </w:pPr>
          </w:p>
        </w:tc>
      </w:tr>
      <w:tr w:rsidR="005F104B" w:rsidRPr="00C9506C" w14:paraId="45A34D41" w14:textId="77777777" w:rsidTr="007E28B9">
        <w:tc>
          <w:tcPr>
            <w:tcW w:w="0" w:type="auto"/>
            <w:shd w:val="clear" w:color="auto" w:fill="auto"/>
          </w:tcPr>
          <w:p w14:paraId="513073C5" w14:textId="77777777" w:rsidR="005F104B" w:rsidRPr="00C9506C" w:rsidRDefault="005F104B" w:rsidP="007E28B9">
            <w:pPr>
              <w:spacing w:after="0" w:line="360" w:lineRule="auto"/>
              <w:ind w:left="284"/>
              <w:rPr>
                <w:bCs/>
                <w:color w:val="000000"/>
                <w:lang w:val="en-US"/>
              </w:rPr>
            </w:pPr>
            <w:r w:rsidRPr="00C9506C">
              <w:rPr>
                <w:bCs/>
                <w:color w:val="000000"/>
                <w:lang w:val="en-US"/>
              </w:rPr>
              <w:t>Unemployed (with unemployment benefits)</w:t>
            </w:r>
          </w:p>
        </w:tc>
        <w:tc>
          <w:tcPr>
            <w:tcW w:w="0" w:type="auto"/>
            <w:shd w:val="clear" w:color="auto" w:fill="auto"/>
          </w:tcPr>
          <w:p w14:paraId="4AD62F79" w14:textId="77777777" w:rsidR="005F104B" w:rsidRPr="00C9506C" w:rsidRDefault="005F104B" w:rsidP="007E28B9">
            <w:pPr>
              <w:spacing w:after="0" w:line="360" w:lineRule="auto"/>
              <w:rPr>
                <w:color w:val="000000"/>
                <w:lang w:val="en-US"/>
              </w:rPr>
            </w:pPr>
            <w:r w:rsidRPr="00C9506C">
              <w:rPr>
                <w:rStyle w:val="Ninguno"/>
              </w:rPr>
              <w:t>19.31 (28)</w:t>
            </w:r>
          </w:p>
        </w:tc>
        <w:tc>
          <w:tcPr>
            <w:tcW w:w="0" w:type="auto"/>
            <w:shd w:val="clear" w:color="auto" w:fill="auto"/>
          </w:tcPr>
          <w:p w14:paraId="15E805CF" w14:textId="77777777" w:rsidR="005F104B" w:rsidRPr="00C9506C" w:rsidRDefault="005F104B" w:rsidP="007E28B9">
            <w:pPr>
              <w:spacing w:after="0" w:line="360" w:lineRule="auto"/>
              <w:rPr>
                <w:color w:val="000000"/>
                <w:lang w:val="en-US"/>
              </w:rPr>
            </w:pPr>
            <w:r w:rsidRPr="00C9506C">
              <w:rPr>
                <w:rStyle w:val="Ninguno"/>
              </w:rPr>
              <w:t>15.25 (18)</w:t>
            </w:r>
          </w:p>
        </w:tc>
        <w:tc>
          <w:tcPr>
            <w:tcW w:w="0" w:type="auto"/>
          </w:tcPr>
          <w:p w14:paraId="0133894E" w14:textId="77777777" w:rsidR="005F104B" w:rsidRPr="00C9506C" w:rsidRDefault="005F104B" w:rsidP="007E28B9">
            <w:pPr>
              <w:spacing w:after="0" w:line="360" w:lineRule="auto"/>
              <w:rPr>
                <w:rStyle w:val="Ninguno"/>
              </w:rPr>
            </w:pPr>
          </w:p>
        </w:tc>
        <w:tc>
          <w:tcPr>
            <w:tcW w:w="0" w:type="auto"/>
          </w:tcPr>
          <w:p w14:paraId="3127242B" w14:textId="77777777" w:rsidR="005F104B" w:rsidRPr="00C9506C" w:rsidRDefault="005F104B" w:rsidP="007E28B9">
            <w:pPr>
              <w:spacing w:after="0" w:line="360" w:lineRule="auto"/>
              <w:rPr>
                <w:rStyle w:val="Ninguno"/>
              </w:rPr>
            </w:pPr>
          </w:p>
        </w:tc>
      </w:tr>
      <w:tr w:rsidR="005F104B" w:rsidRPr="00C9506C" w14:paraId="5CDAC8F3" w14:textId="77777777" w:rsidTr="007E28B9">
        <w:tc>
          <w:tcPr>
            <w:tcW w:w="0" w:type="auto"/>
            <w:tcBorders>
              <w:left w:val="nil"/>
              <w:right w:val="nil"/>
            </w:tcBorders>
            <w:shd w:val="clear" w:color="auto" w:fill="auto"/>
          </w:tcPr>
          <w:p w14:paraId="24D78E78" w14:textId="77777777" w:rsidR="005F104B" w:rsidRPr="00C9506C" w:rsidRDefault="005F104B" w:rsidP="007E28B9">
            <w:pPr>
              <w:spacing w:after="0" w:line="360" w:lineRule="auto"/>
              <w:ind w:left="284"/>
              <w:rPr>
                <w:bCs/>
                <w:color w:val="000000"/>
                <w:lang w:val="en-US"/>
              </w:rPr>
            </w:pPr>
            <w:r w:rsidRPr="00C9506C">
              <w:rPr>
                <w:bCs/>
                <w:color w:val="000000"/>
                <w:lang w:val="en-US"/>
              </w:rPr>
              <w:t>Unemployed (without benefits)</w:t>
            </w:r>
          </w:p>
        </w:tc>
        <w:tc>
          <w:tcPr>
            <w:tcW w:w="0" w:type="auto"/>
            <w:tcBorders>
              <w:left w:val="nil"/>
              <w:right w:val="nil"/>
            </w:tcBorders>
            <w:shd w:val="clear" w:color="auto" w:fill="auto"/>
          </w:tcPr>
          <w:p w14:paraId="7C815746" w14:textId="77777777" w:rsidR="005F104B" w:rsidRPr="00C9506C" w:rsidRDefault="005F104B" w:rsidP="007E28B9">
            <w:pPr>
              <w:spacing w:after="0" w:line="360" w:lineRule="auto"/>
              <w:rPr>
                <w:color w:val="000000"/>
                <w:lang w:val="en-US"/>
              </w:rPr>
            </w:pPr>
            <w:r w:rsidRPr="00C9506C">
              <w:rPr>
                <w:rStyle w:val="Ninguno"/>
              </w:rPr>
              <w:t>13.79 (20)</w:t>
            </w:r>
          </w:p>
        </w:tc>
        <w:tc>
          <w:tcPr>
            <w:tcW w:w="0" w:type="auto"/>
            <w:tcBorders>
              <w:left w:val="nil"/>
              <w:right w:val="nil"/>
            </w:tcBorders>
            <w:shd w:val="clear" w:color="auto" w:fill="auto"/>
          </w:tcPr>
          <w:p w14:paraId="08FE15CA" w14:textId="77777777" w:rsidR="005F104B" w:rsidRPr="00C9506C" w:rsidRDefault="005F104B" w:rsidP="007E28B9">
            <w:pPr>
              <w:spacing w:after="0" w:line="360" w:lineRule="auto"/>
              <w:rPr>
                <w:color w:val="000000"/>
                <w:lang w:val="en-US"/>
              </w:rPr>
            </w:pPr>
            <w:r w:rsidRPr="00C9506C">
              <w:rPr>
                <w:rStyle w:val="Ninguno"/>
              </w:rPr>
              <w:t>11.86 (14)</w:t>
            </w:r>
          </w:p>
        </w:tc>
        <w:tc>
          <w:tcPr>
            <w:tcW w:w="0" w:type="auto"/>
            <w:tcBorders>
              <w:left w:val="nil"/>
              <w:right w:val="nil"/>
            </w:tcBorders>
          </w:tcPr>
          <w:p w14:paraId="16969584" w14:textId="77777777" w:rsidR="005F104B" w:rsidRPr="00C9506C" w:rsidRDefault="005F104B" w:rsidP="007E28B9">
            <w:pPr>
              <w:spacing w:after="0" w:line="360" w:lineRule="auto"/>
              <w:rPr>
                <w:rStyle w:val="Ninguno"/>
              </w:rPr>
            </w:pPr>
          </w:p>
        </w:tc>
        <w:tc>
          <w:tcPr>
            <w:tcW w:w="0" w:type="auto"/>
            <w:tcBorders>
              <w:left w:val="nil"/>
              <w:right w:val="nil"/>
            </w:tcBorders>
          </w:tcPr>
          <w:p w14:paraId="29F2A619" w14:textId="77777777" w:rsidR="005F104B" w:rsidRPr="00C9506C" w:rsidRDefault="005F104B" w:rsidP="007E28B9">
            <w:pPr>
              <w:spacing w:after="0" w:line="360" w:lineRule="auto"/>
              <w:rPr>
                <w:rStyle w:val="Ninguno"/>
              </w:rPr>
            </w:pPr>
          </w:p>
        </w:tc>
      </w:tr>
      <w:tr w:rsidR="005F104B" w:rsidRPr="00C9506C" w14:paraId="51031782" w14:textId="77777777" w:rsidTr="007E28B9">
        <w:tc>
          <w:tcPr>
            <w:tcW w:w="0" w:type="auto"/>
            <w:shd w:val="clear" w:color="auto" w:fill="auto"/>
          </w:tcPr>
          <w:p w14:paraId="505BF123" w14:textId="77777777" w:rsidR="005F104B" w:rsidRPr="00C9506C" w:rsidRDefault="005F104B" w:rsidP="007E28B9">
            <w:pPr>
              <w:spacing w:after="0" w:line="360" w:lineRule="auto"/>
              <w:ind w:left="284"/>
              <w:rPr>
                <w:bCs/>
                <w:color w:val="000000"/>
                <w:lang w:val="en-US"/>
              </w:rPr>
            </w:pPr>
            <w:r w:rsidRPr="00C9506C">
              <w:rPr>
                <w:bCs/>
                <w:color w:val="000000"/>
                <w:lang w:val="en-US"/>
              </w:rPr>
              <w:t>Retired</w:t>
            </w:r>
          </w:p>
        </w:tc>
        <w:tc>
          <w:tcPr>
            <w:tcW w:w="0" w:type="auto"/>
            <w:shd w:val="clear" w:color="auto" w:fill="auto"/>
          </w:tcPr>
          <w:p w14:paraId="723EA3E7" w14:textId="77777777" w:rsidR="005F104B" w:rsidRPr="00C9506C" w:rsidRDefault="005F104B" w:rsidP="007E28B9">
            <w:pPr>
              <w:spacing w:after="0" w:line="360" w:lineRule="auto"/>
              <w:rPr>
                <w:color w:val="000000"/>
                <w:lang w:val="en-US"/>
              </w:rPr>
            </w:pPr>
            <w:r w:rsidRPr="00C9506C">
              <w:rPr>
                <w:rStyle w:val="Ninguno"/>
              </w:rPr>
              <w:t>10.20 (12)</w:t>
            </w:r>
          </w:p>
        </w:tc>
        <w:tc>
          <w:tcPr>
            <w:tcW w:w="0" w:type="auto"/>
            <w:shd w:val="clear" w:color="auto" w:fill="auto"/>
          </w:tcPr>
          <w:p w14:paraId="6822CD1A" w14:textId="77777777" w:rsidR="005F104B" w:rsidRPr="00C9506C" w:rsidRDefault="005F104B" w:rsidP="007E28B9">
            <w:pPr>
              <w:spacing w:after="0" w:line="360" w:lineRule="auto"/>
              <w:rPr>
                <w:color w:val="000000"/>
                <w:lang w:val="en-US"/>
              </w:rPr>
            </w:pPr>
            <w:r w:rsidRPr="00C9506C">
              <w:rPr>
                <w:rStyle w:val="Ninguno"/>
              </w:rPr>
              <w:t>10.17 (12)</w:t>
            </w:r>
          </w:p>
        </w:tc>
        <w:tc>
          <w:tcPr>
            <w:tcW w:w="0" w:type="auto"/>
          </w:tcPr>
          <w:p w14:paraId="1A2345C6" w14:textId="77777777" w:rsidR="005F104B" w:rsidRPr="00C9506C" w:rsidRDefault="005F104B" w:rsidP="007E28B9">
            <w:pPr>
              <w:spacing w:after="0" w:line="360" w:lineRule="auto"/>
              <w:rPr>
                <w:rStyle w:val="Ninguno"/>
              </w:rPr>
            </w:pPr>
          </w:p>
        </w:tc>
        <w:tc>
          <w:tcPr>
            <w:tcW w:w="0" w:type="auto"/>
          </w:tcPr>
          <w:p w14:paraId="563882E9" w14:textId="77777777" w:rsidR="005F104B" w:rsidRPr="00C9506C" w:rsidRDefault="005F104B" w:rsidP="007E28B9">
            <w:pPr>
              <w:spacing w:after="0" w:line="360" w:lineRule="auto"/>
              <w:rPr>
                <w:rStyle w:val="Ninguno"/>
              </w:rPr>
            </w:pPr>
          </w:p>
        </w:tc>
      </w:tr>
      <w:tr w:rsidR="005F104B" w:rsidRPr="00C9506C" w14:paraId="22ADA626" w14:textId="77777777" w:rsidTr="007E28B9">
        <w:tc>
          <w:tcPr>
            <w:tcW w:w="0" w:type="auto"/>
            <w:tcBorders>
              <w:left w:val="nil"/>
              <w:right w:val="nil"/>
            </w:tcBorders>
            <w:shd w:val="clear" w:color="auto" w:fill="auto"/>
          </w:tcPr>
          <w:p w14:paraId="7EA9C185" w14:textId="77777777" w:rsidR="005F104B" w:rsidRPr="00C9506C" w:rsidRDefault="005F104B" w:rsidP="007E28B9">
            <w:pPr>
              <w:spacing w:after="0" w:line="360" w:lineRule="auto"/>
              <w:rPr>
                <w:b/>
                <w:bCs/>
                <w:color w:val="000000"/>
                <w:lang w:val="en-US"/>
              </w:rPr>
            </w:pPr>
            <w:r w:rsidRPr="00C9506C">
              <w:rPr>
                <w:b/>
                <w:bCs/>
                <w:color w:val="000000"/>
                <w:lang w:val="en-US"/>
              </w:rPr>
              <w:t>Place of birth, % (n)</w:t>
            </w:r>
          </w:p>
        </w:tc>
        <w:tc>
          <w:tcPr>
            <w:tcW w:w="0" w:type="auto"/>
            <w:tcBorders>
              <w:left w:val="nil"/>
              <w:right w:val="nil"/>
            </w:tcBorders>
            <w:shd w:val="clear" w:color="auto" w:fill="auto"/>
          </w:tcPr>
          <w:p w14:paraId="51720FB7" w14:textId="77777777" w:rsidR="005F104B" w:rsidRPr="00C9506C" w:rsidRDefault="005F104B" w:rsidP="007E28B9">
            <w:pPr>
              <w:spacing w:after="0" w:line="360" w:lineRule="auto"/>
              <w:rPr>
                <w:color w:val="000000"/>
                <w:lang w:val="en-US"/>
              </w:rPr>
            </w:pPr>
          </w:p>
        </w:tc>
        <w:tc>
          <w:tcPr>
            <w:tcW w:w="0" w:type="auto"/>
            <w:tcBorders>
              <w:left w:val="nil"/>
              <w:right w:val="nil"/>
            </w:tcBorders>
            <w:shd w:val="clear" w:color="auto" w:fill="auto"/>
          </w:tcPr>
          <w:p w14:paraId="1FD1B7D3" w14:textId="77777777" w:rsidR="005F104B" w:rsidRPr="00C9506C" w:rsidRDefault="005F104B" w:rsidP="007E28B9">
            <w:pPr>
              <w:spacing w:after="0" w:line="360" w:lineRule="auto"/>
              <w:rPr>
                <w:color w:val="000000"/>
                <w:lang w:val="en-US"/>
              </w:rPr>
            </w:pPr>
          </w:p>
        </w:tc>
        <w:tc>
          <w:tcPr>
            <w:tcW w:w="0" w:type="auto"/>
            <w:tcBorders>
              <w:left w:val="nil"/>
              <w:right w:val="nil"/>
            </w:tcBorders>
          </w:tcPr>
          <w:p w14:paraId="4B85D30C" w14:textId="77777777" w:rsidR="005F104B" w:rsidRPr="00C9506C" w:rsidRDefault="005F104B" w:rsidP="007E28B9">
            <w:pPr>
              <w:spacing w:after="0" w:line="360" w:lineRule="auto"/>
              <w:rPr>
                <w:color w:val="000000"/>
                <w:lang w:val="en-US"/>
              </w:rPr>
            </w:pPr>
            <w:r>
              <w:rPr>
                <w:color w:val="000000"/>
                <w:lang w:val="en-US"/>
              </w:rPr>
              <w:t>0.912</w:t>
            </w:r>
          </w:p>
        </w:tc>
        <w:tc>
          <w:tcPr>
            <w:tcW w:w="0" w:type="auto"/>
            <w:tcBorders>
              <w:left w:val="nil"/>
              <w:right w:val="nil"/>
            </w:tcBorders>
          </w:tcPr>
          <w:p w14:paraId="67FE5271" w14:textId="77777777" w:rsidR="005F104B" w:rsidRPr="00C9506C" w:rsidRDefault="005F104B" w:rsidP="007E28B9">
            <w:pPr>
              <w:spacing w:after="0" w:line="360" w:lineRule="auto"/>
              <w:rPr>
                <w:color w:val="000000"/>
                <w:lang w:val="en-US"/>
              </w:rPr>
            </w:pPr>
            <w:r>
              <w:rPr>
                <w:color w:val="000000"/>
                <w:lang w:val="en-US"/>
              </w:rPr>
              <w:t>0.589</w:t>
            </w:r>
          </w:p>
        </w:tc>
      </w:tr>
      <w:tr w:rsidR="005F104B" w:rsidRPr="00C9506C" w14:paraId="1B479281" w14:textId="77777777" w:rsidTr="007E28B9">
        <w:tc>
          <w:tcPr>
            <w:tcW w:w="0" w:type="auto"/>
            <w:shd w:val="clear" w:color="auto" w:fill="auto"/>
          </w:tcPr>
          <w:p w14:paraId="7ACBC543" w14:textId="77777777" w:rsidR="005F104B" w:rsidRPr="00C9506C" w:rsidRDefault="005F104B" w:rsidP="007E28B9">
            <w:pPr>
              <w:spacing w:after="0" w:line="360" w:lineRule="auto"/>
              <w:ind w:left="284"/>
              <w:rPr>
                <w:bCs/>
                <w:color w:val="000000"/>
                <w:lang w:val="en-US"/>
              </w:rPr>
            </w:pPr>
            <w:r w:rsidRPr="00C9506C">
              <w:rPr>
                <w:bCs/>
                <w:color w:val="000000"/>
                <w:lang w:val="en-US"/>
              </w:rPr>
              <w:t>Catalonia</w:t>
            </w:r>
          </w:p>
        </w:tc>
        <w:tc>
          <w:tcPr>
            <w:tcW w:w="0" w:type="auto"/>
            <w:shd w:val="clear" w:color="auto" w:fill="auto"/>
          </w:tcPr>
          <w:p w14:paraId="765B83C9" w14:textId="77777777" w:rsidR="005F104B" w:rsidRPr="00C9506C" w:rsidRDefault="005F104B" w:rsidP="007E28B9">
            <w:pPr>
              <w:spacing w:after="0" w:line="360" w:lineRule="auto"/>
              <w:rPr>
                <w:color w:val="000000"/>
                <w:lang w:val="en-US"/>
              </w:rPr>
            </w:pPr>
            <w:r w:rsidRPr="00C9506C">
              <w:rPr>
                <w:rStyle w:val="Ninguno"/>
              </w:rPr>
              <w:t>50.34 (73)</w:t>
            </w:r>
          </w:p>
        </w:tc>
        <w:tc>
          <w:tcPr>
            <w:tcW w:w="0" w:type="auto"/>
            <w:shd w:val="clear" w:color="auto" w:fill="auto"/>
          </w:tcPr>
          <w:p w14:paraId="2FDBBE51" w14:textId="77777777" w:rsidR="005F104B" w:rsidRPr="00C9506C" w:rsidRDefault="005F104B" w:rsidP="007E28B9">
            <w:pPr>
              <w:spacing w:after="0" w:line="360" w:lineRule="auto"/>
              <w:rPr>
                <w:color w:val="000000"/>
                <w:lang w:val="en-US"/>
              </w:rPr>
            </w:pPr>
            <w:r w:rsidRPr="00C9506C">
              <w:rPr>
                <w:rStyle w:val="Ninguno"/>
              </w:rPr>
              <w:t>51.72 (60)</w:t>
            </w:r>
          </w:p>
        </w:tc>
        <w:tc>
          <w:tcPr>
            <w:tcW w:w="0" w:type="auto"/>
          </w:tcPr>
          <w:p w14:paraId="1C20EC7D" w14:textId="77777777" w:rsidR="005F104B" w:rsidRPr="00C9506C" w:rsidRDefault="005F104B" w:rsidP="007E28B9">
            <w:pPr>
              <w:spacing w:after="0" w:line="360" w:lineRule="auto"/>
              <w:rPr>
                <w:rStyle w:val="Ninguno"/>
              </w:rPr>
            </w:pPr>
          </w:p>
        </w:tc>
        <w:tc>
          <w:tcPr>
            <w:tcW w:w="0" w:type="auto"/>
          </w:tcPr>
          <w:p w14:paraId="361D40B1" w14:textId="77777777" w:rsidR="005F104B" w:rsidRPr="00C9506C" w:rsidRDefault="005F104B" w:rsidP="007E28B9">
            <w:pPr>
              <w:spacing w:after="0" w:line="360" w:lineRule="auto"/>
              <w:rPr>
                <w:rStyle w:val="Ninguno"/>
              </w:rPr>
            </w:pPr>
          </w:p>
        </w:tc>
      </w:tr>
      <w:tr w:rsidR="005F104B" w:rsidRPr="00C9506C" w14:paraId="466F2395" w14:textId="77777777" w:rsidTr="007E28B9">
        <w:tc>
          <w:tcPr>
            <w:tcW w:w="0" w:type="auto"/>
            <w:tcBorders>
              <w:left w:val="nil"/>
              <w:right w:val="nil"/>
            </w:tcBorders>
            <w:shd w:val="clear" w:color="auto" w:fill="auto"/>
          </w:tcPr>
          <w:p w14:paraId="23CC2E4A" w14:textId="77777777" w:rsidR="005F104B" w:rsidRPr="00C9506C" w:rsidRDefault="005F104B" w:rsidP="007E28B9">
            <w:pPr>
              <w:spacing w:after="0" w:line="360" w:lineRule="auto"/>
              <w:ind w:left="284"/>
              <w:rPr>
                <w:bCs/>
                <w:color w:val="000000"/>
                <w:lang w:val="en-US"/>
              </w:rPr>
            </w:pPr>
            <w:r w:rsidRPr="00C9506C">
              <w:rPr>
                <w:bCs/>
                <w:color w:val="000000"/>
                <w:lang w:val="en-US"/>
              </w:rPr>
              <w:t>Other Spanish regions</w:t>
            </w:r>
          </w:p>
        </w:tc>
        <w:tc>
          <w:tcPr>
            <w:tcW w:w="0" w:type="auto"/>
            <w:tcBorders>
              <w:left w:val="nil"/>
              <w:right w:val="nil"/>
            </w:tcBorders>
            <w:shd w:val="clear" w:color="auto" w:fill="auto"/>
          </w:tcPr>
          <w:p w14:paraId="6B189509" w14:textId="77777777" w:rsidR="005F104B" w:rsidRPr="00C9506C" w:rsidRDefault="005F104B" w:rsidP="007E28B9">
            <w:pPr>
              <w:spacing w:after="0" w:line="360" w:lineRule="auto"/>
              <w:rPr>
                <w:color w:val="000000"/>
                <w:lang w:val="en-US"/>
              </w:rPr>
            </w:pPr>
            <w:r w:rsidRPr="00C9506C">
              <w:rPr>
                <w:rStyle w:val="Ninguno"/>
              </w:rPr>
              <w:t>31.72 (46)</w:t>
            </w:r>
          </w:p>
        </w:tc>
        <w:tc>
          <w:tcPr>
            <w:tcW w:w="0" w:type="auto"/>
            <w:tcBorders>
              <w:left w:val="nil"/>
              <w:right w:val="nil"/>
            </w:tcBorders>
            <w:shd w:val="clear" w:color="auto" w:fill="auto"/>
          </w:tcPr>
          <w:p w14:paraId="291A7767" w14:textId="77777777" w:rsidR="005F104B" w:rsidRPr="00C9506C" w:rsidRDefault="005F104B" w:rsidP="007E28B9">
            <w:pPr>
              <w:spacing w:after="0" w:line="360" w:lineRule="auto"/>
              <w:rPr>
                <w:color w:val="000000"/>
                <w:lang w:val="en-US"/>
              </w:rPr>
            </w:pPr>
            <w:r w:rsidRPr="00C9506C">
              <w:rPr>
                <w:rStyle w:val="Ninguno"/>
              </w:rPr>
              <w:t>29.31 (34)</w:t>
            </w:r>
          </w:p>
        </w:tc>
        <w:tc>
          <w:tcPr>
            <w:tcW w:w="0" w:type="auto"/>
            <w:tcBorders>
              <w:left w:val="nil"/>
              <w:right w:val="nil"/>
            </w:tcBorders>
          </w:tcPr>
          <w:p w14:paraId="77636B14" w14:textId="77777777" w:rsidR="005F104B" w:rsidRPr="00C9506C" w:rsidRDefault="005F104B" w:rsidP="007E28B9">
            <w:pPr>
              <w:spacing w:after="0" w:line="360" w:lineRule="auto"/>
              <w:rPr>
                <w:rStyle w:val="Ninguno"/>
              </w:rPr>
            </w:pPr>
          </w:p>
        </w:tc>
        <w:tc>
          <w:tcPr>
            <w:tcW w:w="0" w:type="auto"/>
            <w:tcBorders>
              <w:left w:val="nil"/>
              <w:right w:val="nil"/>
            </w:tcBorders>
          </w:tcPr>
          <w:p w14:paraId="3C0FD51A" w14:textId="77777777" w:rsidR="005F104B" w:rsidRPr="00C9506C" w:rsidRDefault="005F104B" w:rsidP="007E28B9">
            <w:pPr>
              <w:spacing w:after="0" w:line="360" w:lineRule="auto"/>
              <w:rPr>
                <w:rStyle w:val="Ninguno"/>
              </w:rPr>
            </w:pPr>
          </w:p>
        </w:tc>
      </w:tr>
      <w:tr w:rsidR="005F104B" w:rsidRPr="00C9506C" w14:paraId="7066862B" w14:textId="77777777" w:rsidTr="007E28B9">
        <w:tc>
          <w:tcPr>
            <w:tcW w:w="0" w:type="auto"/>
            <w:shd w:val="clear" w:color="auto" w:fill="auto"/>
          </w:tcPr>
          <w:p w14:paraId="30B4DC81" w14:textId="77777777" w:rsidR="005F104B" w:rsidRPr="00C9506C" w:rsidRDefault="005F104B" w:rsidP="007E28B9">
            <w:pPr>
              <w:spacing w:after="0" w:line="360" w:lineRule="auto"/>
              <w:ind w:left="284"/>
              <w:rPr>
                <w:bCs/>
                <w:color w:val="000000"/>
                <w:lang w:val="en-US"/>
              </w:rPr>
            </w:pPr>
            <w:r w:rsidRPr="00C9506C">
              <w:rPr>
                <w:bCs/>
                <w:color w:val="000000"/>
                <w:lang w:val="en-US"/>
              </w:rPr>
              <w:t>Other countries</w:t>
            </w:r>
          </w:p>
        </w:tc>
        <w:tc>
          <w:tcPr>
            <w:tcW w:w="0" w:type="auto"/>
            <w:shd w:val="clear" w:color="auto" w:fill="auto"/>
          </w:tcPr>
          <w:p w14:paraId="257BFE62" w14:textId="77777777" w:rsidR="005F104B" w:rsidRPr="00C9506C" w:rsidRDefault="005F104B" w:rsidP="007E28B9">
            <w:pPr>
              <w:spacing w:after="0" w:line="360" w:lineRule="auto"/>
              <w:rPr>
                <w:color w:val="000000"/>
                <w:lang w:val="en-US"/>
              </w:rPr>
            </w:pPr>
            <w:r w:rsidRPr="00C9506C">
              <w:rPr>
                <w:rStyle w:val="Ninguno"/>
              </w:rPr>
              <w:t>17.93 (26)</w:t>
            </w:r>
          </w:p>
        </w:tc>
        <w:tc>
          <w:tcPr>
            <w:tcW w:w="0" w:type="auto"/>
            <w:shd w:val="clear" w:color="auto" w:fill="auto"/>
          </w:tcPr>
          <w:p w14:paraId="20DAADF3" w14:textId="77777777" w:rsidR="005F104B" w:rsidRPr="00C9506C" w:rsidRDefault="005F104B" w:rsidP="007E28B9">
            <w:pPr>
              <w:spacing w:after="0" w:line="360" w:lineRule="auto"/>
              <w:rPr>
                <w:color w:val="000000"/>
                <w:lang w:val="en-US"/>
              </w:rPr>
            </w:pPr>
            <w:r w:rsidRPr="00C9506C">
              <w:rPr>
                <w:rStyle w:val="Ninguno"/>
              </w:rPr>
              <w:t>18.97 (22)</w:t>
            </w:r>
          </w:p>
        </w:tc>
        <w:tc>
          <w:tcPr>
            <w:tcW w:w="0" w:type="auto"/>
          </w:tcPr>
          <w:p w14:paraId="00500D89" w14:textId="77777777" w:rsidR="005F104B" w:rsidRPr="00C9506C" w:rsidRDefault="005F104B" w:rsidP="007E28B9">
            <w:pPr>
              <w:spacing w:after="0" w:line="360" w:lineRule="auto"/>
              <w:rPr>
                <w:rStyle w:val="Ninguno"/>
              </w:rPr>
            </w:pPr>
          </w:p>
        </w:tc>
        <w:tc>
          <w:tcPr>
            <w:tcW w:w="0" w:type="auto"/>
          </w:tcPr>
          <w:p w14:paraId="1A23F479" w14:textId="77777777" w:rsidR="005F104B" w:rsidRPr="00C9506C" w:rsidRDefault="005F104B" w:rsidP="007E28B9">
            <w:pPr>
              <w:spacing w:after="0" w:line="360" w:lineRule="auto"/>
              <w:rPr>
                <w:rStyle w:val="Ninguno"/>
              </w:rPr>
            </w:pPr>
          </w:p>
        </w:tc>
      </w:tr>
      <w:tr w:rsidR="005F104B" w:rsidRPr="000900F5" w14:paraId="71D358DD" w14:textId="77777777" w:rsidTr="007E28B9">
        <w:tc>
          <w:tcPr>
            <w:tcW w:w="0" w:type="auto"/>
            <w:tcBorders>
              <w:left w:val="nil"/>
              <w:right w:val="nil"/>
            </w:tcBorders>
            <w:shd w:val="clear" w:color="auto" w:fill="auto"/>
          </w:tcPr>
          <w:p w14:paraId="28362161" w14:textId="77777777" w:rsidR="005F104B" w:rsidRPr="00C9506C" w:rsidRDefault="005F104B" w:rsidP="007E28B9">
            <w:pPr>
              <w:spacing w:after="0" w:line="360" w:lineRule="auto"/>
              <w:rPr>
                <w:b/>
                <w:bCs/>
                <w:color w:val="000000"/>
                <w:lang w:val="en-US"/>
              </w:rPr>
            </w:pPr>
            <w:r w:rsidRPr="00C9506C">
              <w:rPr>
                <w:b/>
                <w:bCs/>
                <w:color w:val="000000"/>
                <w:lang w:val="en-US"/>
              </w:rPr>
              <w:t>Mental disorders according to DSM-IV criteria, % (n)</w:t>
            </w:r>
          </w:p>
        </w:tc>
        <w:tc>
          <w:tcPr>
            <w:tcW w:w="0" w:type="auto"/>
            <w:tcBorders>
              <w:left w:val="nil"/>
              <w:right w:val="nil"/>
            </w:tcBorders>
            <w:shd w:val="clear" w:color="auto" w:fill="auto"/>
          </w:tcPr>
          <w:p w14:paraId="3FAB58BC" w14:textId="77777777" w:rsidR="005F104B" w:rsidRPr="00C9506C" w:rsidRDefault="005F104B" w:rsidP="007E28B9">
            <w:pPr>
              <w:spacing w:after="0" w:line="360" w:lineRule="auto"/>
              <w:rPr>
                <w:color w:val="000000"/>
                <w:lang w:val="en-US"/>
              </w:rPr>
            </w:pPr>
          </w:p>
        </w:tc>
        <w:tc>
          <w:tcPr>
            <w:tcW w:w="0" w:type="auto"/>
            <w:tcBorders>
              <w:left w:val="nil"/>
              <w:right w:val="nil"/>
            </w:tcBorders>
            <w:shd w:val="clear" w:color="auto" w:fill="auto"/>
          </w:tcPr>
          <w:p w14:paraId="2B77FD9D" w14:textId="77777777" w:rsidR="005F104B" w:rsidRPr="00C9506C" w:rsidRDefault="005F104B" w:rsidP="007E28B9">
            <w:pPr>
              <w:spacing w:after="0" w:line="360" w:lineRule="auto"/>
              <w:rPr>
                <w:color w:val="000000"/>
                <w:lang w:val="en-US"/>
              </w:rPr>
            </w:pPr>
          </w:p>
        </w:tc>
        <w:tc>
          <w:tcPr>
            <w:tcW w:w="0" w:type="auto"/>
            <w:tcBorders>
              <w:left w:val="nil"/>
              <w:right w:val="nil"/>
            </w:tcBorders>
          </w:tcPr>
          <w:p w14:paraId="3549374B" w14:textId="77777777" w:rsidR="005F104B" w:rsidRPr="00C9506C" w:rsidRDefault="005F104B" w:rsidP="007E28B9">
            <w:pPr>
              <w:spacing w:after="0" w:line="360" w:lineRule="auto"/>
              <w:rPr>
                <w:color w:val="000000"/>
                <w:lang w:val="en-US"/>
              </w:rPr>
            </w:pPr>
          </w:p>
        </w:tc>
        <w:tc>
          <w:tcPr>
            <w:tcW w:w="0" w:type="auto"/>
            <w:tcBorders>
              <w:left w:val="nil"/>
              <w:right w:val="nil"/>
            </w:tcBorders>
          </w:tcPr>
          <w:p w14:paraId="54DB081E" w14:textId="77777777" w:rsidR="005F104B" w:rsidRPr="00C9506C" w:rsidRDefault="005F104B" w:rsidP="007E28B9">
            <w:pPr>
              <w:spacing w:after="0" w:line="360" w:lineRule="auto"/>
              <w:rPr>
                <w:color w:val="000000"/>
                <w:lang w:val="en-US"/>
              </w:rPr>
            </w:pPr>
          </w:p>
        </w:tc>
      </w:tr>
      <w:tr w:rsidR="005F104B" w:rsidRPr="00C9506C" w14:paraId="7C5B7C4E" w14:textId="77777777" w:rsidTr="007E28B9">
        <w:tc>
          <w:tcPr>
            <w:tcW w:w="0" w:type="auto"/>
            <w:shd w:val="clear" w:color="auto" w:fill="auto"/>
          </w:tcPr>
          <w:p w14:paraId="5404FAB0" w14:textId="77777777" w:rsidR="005F104B" w:rsidRPr="00C9506C" w:rsidRDefault="005F104B" w:rsidP="007E28B9">
            <w:pPr>
              <w:spacing w:after="0" w:line="360" w:lineRule="auto"/>
              <w:ind w:left="284"/>
              <w:rPr>
                <w:bCs/>
                <w:color w:val="000000"/>
                <w:lang w:val="en-US"/>
              </w:rPr>
            </w:pPr>
            <w:r w:rsidRPr="00C9506C">
              <w:rPr>
                <w:color w:val="000000"/>
              </w:rPr>
              <w:t>Major depression</w:t>
            </w:r>
          </w:p>
        </w:tc>
        <w:tc>
          <w:tcPr>
            <w:tcW w:w="0" w:type="auto"/>
            <w:shd w:val="clear" w:color="auto" w:fill="auto"/>
          </w:tcPr>
          <w:p w14:paraId="5E121B0F" w14:textId="77777777" w:rsidR="005F104B" w:rsidRPr="00C9506C" w:rsidRDefault="005F104B" w:rsidP="007E28B9">
            <w:pPr>
              <w:spacing w:after="0" w:line="360" w:lineRule="auto"/>
              <w:rPr>
                <w:color w:val="000000"/>
                <w:lang w:val="en-US"/>
              </w:rPr>
            </w:pPr>
            <w:r w:rsidRPr="00C9506C">
              <w:rPr>
                <w:rStyle w:val="Ninguno"/>
              </w:rPr>
              <w:t>33.79 (49)</w:t>
            </w:r>
          </w:p>
        </w:tc>
        <w:tc>
          <w:tcPr>
            <w:tcW w:w="0" w:type="auto"/>
            <w:shd w:val="clear" w:color="auto" w:fill="auto"/>
          </w:tcPr>
          <w:p w14:paraId="77A50894" w14:textId="77777777" w:rsidR="005F104B" w:rsidRPr="00C9506C" w:rsidRDefault="005F104B" w:rsidP="007E28B9">
            <w:pPr>
              <w:spacing w:after="0" w:line="360" w:lineRule="auto"/>
              <w:rPr>
                <w:color w:val="000000"/>
                <w:lang w:val="en-US"/>
              </w:rPr>
            </w:pPr>
            <w:r w:rsidRPr="00C9506C">
              <w:rPr>
                <w:rStyle w:val="Ninguno"/>
              </w:rPr>
              <w:t>27.12 (32)</w:t>
            </w:r>
          </w:p>
        </w:tc>
        <w:tc>
          <w:tcPr>
            <w:tcW w:w="0" w:type="auto"/>
          </w:tcPr>
          <w:p w14:paraId="114718D2" w14:textId="77777777" w:rsidR="005F104B" w:rsidRPr="00C9506C" w:rsidRDefault="005F104B" w:rsidP="007E28B9">
            <w:pPr>
              <w:spacing w:after="0" w:line="360" w:lineRule="auto"/>
              <w:rPr>
                <w:rStyle w:val="Ninguno"/>
              </w:rPr>
            </w:pPr>
            <w:r>
              <w:rPr>
                <w:rStyle w:val="Ninguno"/>
              </w:rPr>
              <w:t>0.244</w:t>
            </w:r>
          </w:p>
        </w:tc>
        <w:tc>
          <w:tcPr>
            <w:tcW w:w="0" w:type="auto"/>
          </w:tcPr>
          <w:p w14:paraId="6F8FD7EC" w14:textId="77777777" w:rsidR="005F104B" w:rsidRPr="00C9506C" w:rsidRDefault="005F104B" w:rsidP="007E28B9">
            <w:pPr>
              <w:spacing w:after="0" w:line="360" w:lineRule="auto"/>
              <w:rPr>
                <w:rStyle w:val="Ninguno"/>
              </w:rPr>
            </w:pPr>
            <w:r>
              <w:rPr>
                <w:rStyle w:val="Ninguno"/>
              </w:rPr>
              <w:t>0.188</w:t>
            </w:r>
          </w:p>
        </w:tc>
      </w:tr>
      <w:tr w:rsidR="005F104B" w:rsidRPr="00C9506C" w14:paraId="60FB7600" w14:textId="77777777" w:rsidTr="007E28B9">
        <w:tc>
          <w:tcPr>
            <w:tcW w:w="0" w:type="auto"/>
            <w:tcBorders>
              <w:left w:val="nil"/>
              <w:right w:val="nil"/>
            </w:tcBorders>
            <w:shd w:val="clear" w:color="auto" w:fill="auto"/>
          </w:tcPr>
          <w:p w14:paraId="5CBCBB0A" w14:textId="77777777" w:rsidR="005F104B" w:rsidRPr="00C9506C" w:rsidRDefault="005F104B" w:rsidP="007E28B9">
            <w:pPr>
              <w:spacing w:after="0" w:line="360" w:lineRule="auto"/>
              <w:ind w:left="284"/>
              <w:rPr>
                <w:bCs/>
                <w:color w:val="000000"/>
                <w:lang w:val="en-US"/>
              </w:rPr>
            </w:pPr>
            <w:r w:rsidRPr="000900F5">
              <w:rPr>
                <w:color w:val="000000"/>
                <w:lang w:val="en-US"/>
              </w:rPr>
              <w:lastRenderedPageBreak/>
              <w:t>Past episode of major depression</w:t>
            </w:r>
          </w:p>
        </w:tc>
        <w:tc>
          <w:tcPr>
            <w:tcW w:w="0" w:type="auto"/>
            <w:tcBorders>
              <w:left w:val="nil"/>
              <w:right w:val="nil"/>
            </w:tcBorders>
            <w:shd w:val="clear" w:color="auto" w:fill="auto"/>
          </w:tcPr>
          <w:p w14:paraId="4F604E77" w14:textId="77777777" w:rsidR="005F104B" w:rsidRPr="00C9506C" w:rsidRDefault="005F104B" w:rsidP="007E28B9">
            <w:pPr>
              <w:spacing w:after="0" w:line="360" w:lineRule="auto"/>
              <w:rPr>
                <w:color w:val="000000"/>
                <w:lang w:val="en-US"/>
              </w:rPr>
            </w:pPr>
            <w:r w:rsidRPr="00C9506C">
              <w:rPr>
                <w:rStyle w:val="Ninguno"/>
              </w:rPr>
              <w:t>16.55 (24)</w:t>
            </w:r>
          </w:p>
        </w:tc>
        <w:tc>
          <w:tcPr>
            <w:tcW w:w="0" w:type="auto"/>
            <w:tcBorders>
              <w:left w:val="nil"/>
              <w:right w:val="nil"/>
            </w:tcBorders>
            <w:shd w:val="clear" w:color="auto" w:fill="auto"/>
          </w:tcPr>
          <w:p w14:paraId="3CAF1149" w14:textId="77777777" w:rsidR="005F104B" w:rsidRPr="00C9506C" w:rsidRDefault="005F104B" w:rsidP="007E28B9">
            <w:pPr>
              <w:spacing w:after="0" w:line="360" w:lineRule="auto"/>
              <w:rPr>
                <w:color w:val="000000"/>
                <w:lang w:val="en-US"/>
              </w:rPr>
            </w:pPr>
            <w:r w:rsidRPr="00C9506C">
              <w:rPr>
                <w:rStyle w:val="Ninguno"/>
              </w:rPr>
              <w:t>14.41 (17)</w:t>
            </w:r>
          </w:p>
        </w:tc>
        <w:tc>
          <w:tcPr>
            <w:tcW w:w="0" w:type="auto"/>
            <w:tcBorders>
              <w:left w:val="nil"/>
              <w:right w:val="nil"/>
            </w:tcBorders>
          </w:tcPr>
          <w:p w14:paraId="2336E022" w14:textId="77777777" w:rsidR="005F104B" w:rsidRPr="00C9506C" w:rsidRDefault="005F104B" w:rsidP="007E28B9">
            <w:pPr>
              <w:spacing w:after="0" w:line="360" w:lineRule="auto"/>
              <w:rPr>
                <w:rStyle w:val="Ninguno"/>
              </w:rPr>
            </w:pPr>
            <w:r>
              <w:rPr>
                <w:rStyle w:val="Ninguno"/>
              </w:rPr>
              <w:t>0.633</w:t>
            </w:r>
          </w:p>
        </w:tc>
        <w:tc>
          <w:tcPr>
            <w:tcW w:w="0" w:type="auto"/>
            <w:tcBorders>
              <w:left w:val="nil"/>
              <w:right w:val="nil"/>
            </w:tcBorders>
          </w:tcPr>
          <w:p w14:paraId="0B413E30" w14:textId="77777777" w:rsidR="005F104B" w:rsidRPr="00C9506C" w:rsidRDefault="005F104B" w:rsidP="007E28B9">
            <w:pPr>
              <w:spacing w:after="0" w:line="360" w:lineRule="auto"/>
              <w:rPr>
                <w:rStyle w:val="Ninguno"/>
              </w:rPr>
            </w:pPr>
            <w:r>
              <w:rPr>
                <w:rStyle w:val="Ninguno"/>
              </w:rPr>
              <w:t>0.295</w:t>
            </w:r>
          </w:p>
        </w:tc>
      </w:tr>
      <w:tr w:rsidR="005F104B" w:rsidRPr="00C9506C" w14:paraId="16CFAFF6" w14:textId="77777777" w:rsidTr="007E28B9">
        <w:tc>
          <w:tcPr>
            <w:tcW w:w="0" w:type="auto"/>
            <w:shd w:val="clear" w:color="auto" w:fill="auto"/>
          </w:tcPr>
          <w:p w14:paraId="29EAD18B" w14:textId="77777777" w:rsidR="005F104B" w:rsidRPr="00C9506C" w:rsidRDefault="005F104B" w:rsidP="007E28B9">
            <w:pPr>
              <w:spacing w:after="0" w:line="360" w:lineRule="auto"/>
              <w:ind w:left="284"/>
              <w:rPr>
                <w:bCs/>
                <w:color w:val="000000"/>
                <w:lang w:val="en-US"/>
              </w:rPr>
            </w:pPr>
            <w:r w:rsidRPr="00C9506C">
              <w:rPr>
                <w:color w:val="000000"/>
              </w:rPr>
              <w:t>Dysthymia</w:t>
            </w:r>
          </w:p>
        </w:tc>
        <w:tc>
          <w:tcPr>
            <w:tcW w:w="0" w:type="auto"/>
            <w:shd w:val="clear" w:color="auto" w:fill="auto"/>
          </w:tcPr>
          <w:p w14:paraId="3075786B" w14:textId="77777777" w:rsidR="005F104B" w:rsidRPr="00C9506C" w:rsidRDefault="005F104B" w:rsidP="007E28B9">
            <w:pPr>
              <w:spacing w:after="0" w:line="360" w:lineRule="auto"/>
              <w:rPr>
                <w:rStyle w:val="Ninguno"/>
              </w:rPr>
            </w:pPr>
            <w:r>
              <w:rPr>
                <w:rStyle w:val="Ninguno"/>
              </w:rPr>
              <w:t>8.28 (12)</w:t>
            </w:r>
          </w:p>
        </w:tc>
        <w:tc>
          <w:tcPr>
            <w:tcW w:w="0" w:type="auto"/>
            <w:shd w:val="clear" w:color="auto" w:fill="auto"/>
          </w:tcPr>
          <w:p w14:paraId="2599802F" w14:textId="77777777" w:rsidR="005F104B" w:rsidRPr="00C9506C" w:rsidRDefault="005F104B" w:rsidP="007E28B9">
            <w:pPr>
              <w:spacing w:after="0" w:line="360" w:lineRule="auto"/>
              <w:rPr>
                <w:rStyle w:val="Ninguno"/>
              </w:rPr>
            </w:pPr>
            <w:r>
              <w:rPr>
                <w:rStyle w:val="Ninguno"/>
              </w:rPr>
              <w:t>1.69 (2)</w:t>
            </w:r>
          </w:p>
        </w:tc>
        <w:tc>
          <w:tcPr>
            <w:tcW w:w="0" w:type="auto"/>
          </w:tcPr>
          <w:p w14:paraId="0CD7405A" w14:textId="77777777" w:rsidR="005F104B" w:rsidRPr="00C9506C" w:rsidRDefault="005F104B" w:rsidP="007E28B9">
            <w:pPr>
              <w:spacing w:after="0" w:line="360" w:lineRule="auto"/>
              <w:rPr>
                <w:rStyle w:val="Ninguno"/>
              </w:rPr>
            </w:pPr>
            <w:r>
              <w:rPr>
                <w:rStyle w:val="Ninguno"/>
              </w:rPr>
              <w:t>0.018</w:t>
            </w:r>
          </w:p>
        </w:tc>
        <w:tc>
          <w:tcPr>
            <w:tcW w:w="0" w:type="auto"/>
          </w:tcPr>
          <w:p w14:paraId="38CC75CB" w14:textId="77777777" w:rsidR="005F104B" w:rsidRPr="00C9506C" w:rsidRDefault="005F104B" w:rsidP="007E28B9">
            <w:pPr>
              <w:spacing w:after="0" w:line="360" w:lineRule="auto"/>
              <w:rPr>
                <w:rStyle w:val="Ninguno"/>
              </w:rPr>
            </w:pPr>
            <w:r>
              <w:rPr>
                <w:rStyle w:val="Ninguno"/>
              </w:rPr>
              <w:t>0.708</w:t>
            </w:r>
          </w:p>
        </w:tc>
      </w:tr>
      <w:tr w:rsidR="005F104B" w:rsidRPr="00C9506C" w14:paraId="38ED7E1F" w14:textId="77777777" w:rsidTr="007E28B9">
        <w:tc>
          <w:tcPr>
            <w:tcW w:w="0" w:type="auto"/>
            <w:tcBorders>
              <w:left w:val="nil"/>
              <w:right w:val="nil"/>
            </w:tcBorders>
            <w:shd w:val="clear" w:color="auto" w:fill="auto"/>
          </w:tcPr>
          <w:p w14:paraId="389E2139" w14:textId="77777777" w:rsidR="005F104B" w:rsidRPr="00C9506C" w:rsidRDefault="005F104B" w:rsidP="007E28B9">
            <w:pPr>
              <w:spacing w:after="0" w:line="360" w:lineRule="auto"/>
              <w:ind w:left="284"/>
              <w:rPr>
                <w:bCs/>
                <w:color w:val="000000"/>
                <w:lang w:val="en-US"/>
              </w:rPr>
            </w:pPr>
            <w:r w:rsidRPr="00C9506C">
              <w:rPr>
                <w:color w:val="000000"/>
              </w:rPr>
              <w:t>Panic disorder</w:t>
            </w:r>
          </w:p>
        </w:tc>
        <w:tc>
          <w:tcPr>
            <w:tcW w:w="0" w:type="auto"/>
            <w:tcBorders>
              <w:left w:val="nil"/>
              <w:right w:val="nil"/>
            </w:tcBorders>
            <w:shd w:val="clear" w:color="auto" w:fill="auto"/>
          </w:tcPr>
          <w:p w14:paraId="256D4BAB" w14:textId="77777777" w:rsidR="005F104B" w:rsidRPr="00C9506C" w:rsidRDefault="005F104B" w:rsidP="007E28B9">
            <w:pPr>
              <w:spacing w:after="0" w:line="360" w:lineRule="auto"/>
              <w:rPr>
                <w:rStyle w:val="Ninguno"/>
              </w:rPr>
            </w:pPr>
            <w:r w:rsidRPr="00C9506C">
              <w:rPr>
                <w:rStyle w:val="Ninguno"/>
              </w:rPr>
              <w:t>18.62 (27)</w:t>
            </w:r>
          </w:p>
        </w:tc>
        <w:tc>
          <w:tcPr>
            <w:tcW w:w="0" w:type="auto"/>
            <w:tcBorders>
              <w:left w:val="nil"/>
              <w:right w:val="nil"/>
            </w:tcBorders>
            <w:shd w:val="clear" w:color="auto" w:fill="auto"/>
          </w:tcPr>
          <w:p w14:paraId="6CFCAF4B" w14:textId="77777777" w:rsidR="005F104B" w:rsidRPr="00C9506C" w:rsidRDefault="005F104B" w:rsidP="007E28B9">
            <w:pPr>
              <w:spacing w:after="0" w:line="360" w:lineRule="auto"/>
              <w:rPr>
                <w:rStyle w:val="Ninguno"/>
              </w:rPr>
            </w:pPr>
            <w:r w:rsidRPr="00C9506C">
              <w:rPr>
                <w:rStyle w:val="Ninguno"/>
              </w:rPr>
              <w:t>12.71 (15)</w:t>
            </w:r>
          </w:p>
        </w:tc>
        <w:tc>
          <w:tcPr>
            <w:tcW w:w="0" w:type="auto"/>
            <w:tcBorders>
              <w:left w:val="nil"/>
              <w:right w:val="nil"/>
            </w:tcBorders>
          </w:tcPr>
          <w:p w14:paraId="34DDB7B9" w14:textId="77777777" w:rsidR="005F104B" w:rsidRPr="00C9506C" w:rsidRDefault="005F104B" w:rsidP="007E28B9">
            <w:pPr>
              <w:spacing w:after="0" w:line="360" w:lineRule="auto"/>
              <w:rPr>
                <w:rStyle w:val="Ninguno"/>
              </w:rPr>
            </w:pPr>
            <w:r>
              <w:rPr>
                <w:rStyle w:val="Ninguno"/>
              </w:rPr>
              <w:t>0.193</w:t>
            </w:r>
          </w:p>
        </w:tc>
        <w:tc>
          <w:tcPr>
            <w:tcW w:w="0" w:type="auto"/>
            <w:tcBorders>
              <w:left w:val="nil"/>
              <w:right w:val="nil"/>
            </w:tcBorders>
          </w:tcPr>
          <w:p w14:paraId="38DE0834" w14:textId="77777777" w:rsidR="005F104B" w:rsidRPr="00C9506C" w:rsidRDefault="005F104B" w:rsidP="007E28B9">
            <w:pPr>
              <w:spacing w:after="0" w:line="360" w:lineRule="auto"/>
              <w:rPr>
                <w:rStyle w:val="Ninguno"/>
              </w:rPr>
            </w:pPr>
            <w:r>
              <w:rPr>
                <w:rStyle w:val="Ninguno"/>
              </w:rPr>
              <w:t>0.787</w:t>
            </w:r>
          </w:p>
        </w:tc>
      </w:tr>
      <w:tr w:rsidR="005F104B" w:rsidRPr="00C9506C" w14:paraId="1DB65864" w14:textId="77777777" w:rsidTr="007E28B9">
        <w:tc>
          <w:tcPr>
            <w:tcW w:w="0" w:type="auto"/>
            <w:tcBorders>
              <w:left w:val="nil"/>
              <w:right w:val="nil"/>
            </w:tcBorders>
            <w:shd w:val="clear" w:color="auto" w:fill="auto"/>
          </w:tcPr>
          <w:p w14:paraId="0A0C2CD4" w14:textId="77777777" w:rsidR="005F104B" w:rsidRPr="00C9506C" w:rsidRDefault="005F104B" w:rsidP="007E28B9">
            <w:pPr>
              <w:spacing w:after="0" w:line="360" w:lineRule="auto"/>
              <w:ind w:left="284"/>
              <w:rPr>
                <w:bCs/>
                <w:color w:val="000000"/>
                <w:lang w:val="en-US"/>
              </w:rPr>
            </w:pPr>
            <w:r w:rsidRPr="00C9506C">
              <w:rPr>
                <w:color w:val="000000"/>
              </w:rPr>
              <w:t xml:space="preserve">      Panic disorder with agoraphobia</w:t>
            </w:r>
          </w:p>
        </w:tc>
        <w:tc>
          <w:tcPr>
            <w:tcW w:w="0" w:type="auto"/>
            <w:tcBorders>
              <w:left w:val="nil"/>
              <w:right w:val="nil"/>
            </w:tcBorders>
            <w:shd w:val="clear" w:color="auto" w:fill="auto"/>
          </w:tcPr>
          <w:p w14:paraId="10207206" w14:textId="77777777" w:rsidR="005F104B" w:rsidRPr="00C9506C" w:rsidRDefault="005F104B" w:rsidP="007E28B9">
            <w:pPr>
              <w:spacing w:after="0" w:line="360" w:lineRule="auto"/>
              <w:rPr>
                <w:rStyle w:val="Ninguno"/>
              </w:rPr>
            </w:pPr>
            <w:r>
              <w:rPr>
                <w:rStyle w:val="Ninguno"/>
              </w:rPr>
              <w:t>8.97 (13)</w:t>
            </w:r>
          </w:p>
        </w:tc>
        <w:tc>
          <w:tcPr>
            <w:tcW w:w="0" w:type="auto"/>
            <w:tcBorders>
              <w:left w:val="nil"/>
              <w:right w:val="nil"/>
            </w:tcBorders>
            <w:shd w:val="clear" w:color="auto" w:fill="auto"/>
          </w:tcPr>
          <w:p w14:paraId="47C2FBB6" w14:textId="77777777" w:rsidR="005F104B" w:rsidRPr="00C9506C" w:rsidRDefault="005F104B" w:rsidP="007E28B9">
            <w:pPr>
              <w:spacing w:after="0" w:line="360" w:lineRule="auto"/>
              <w:rPr>
                <w:rStyle w:val="Ninguno"/>
              </w:rPr>
            </w:pPr>
            <w:r>
              <w:rPr>
                <w:rStyle w:val="Ninguno"/>
              </w:rPr>
              <w:t>2.54 (3)</w:t>
            </w:r>
          </w:p>
        </w:tc>
        <w:tc>
          <w:tcPr>
            <w:tcW w:w="0" w:type="auto"/>
            <w:tcBorders>
              <w:left w:val="nil"/>
              <w:right w:val="nil"/>
            </w:tcBorders>
          </w:tcPr>
          <w:p w14:paraId="1E3F636A" w14:textId="77777777" w:rsidR="005F104B" w:rsidRPr="00C9506C" w:rsidRDefault="005F104B" w:rsidP="007E28B9">
            <w:pPr>
              <w:spacing w:after="0" w:line="360" w:lineRule="auto"/>
              <w:rPr>
                <w:rStyle w:val="Ninguno"/>
              </w:rPr>
            </w:pPr>
            <w:r>
              <w:rPr>
                <w:rStyle w:val="Ninguno"/>
              </w:rPr>
              <w:t>0.030</w:t>
            </w:r>
          </w:p>
        </w:tc>
        <w:tc>
          <w:tcPr>
            <w:tcW w:w="0" w:type="auto"/>
            <w:tcBorders>
              <w:left w:val="nil"/>
              <w:right w:val="nil"/>
            </w:tcBorders>
          </w:tcPr>
          <w:p w14:paraId="00D59B60" w14:textId="77777777" w:rsidR="005F104B" w:rsidRPr="00C9506C" w:rsidRDefault="005F104B" w:rsidP="007E28B9">
            <w:pPr>
              <w:spacing w:after="0" w:line="360" w:lineRule="auto"/>
              <w:rPr>
                <w:rStyle w:val="Ninguno"/>
              </w:rPr>
            </w:pPr>
            <w:r>
              <w:rPr>
                <w:rStyle w:val="Ninguno"/>
              </w:rPr>
              <w:t>0.462</w:t>
            </w:r>
          </w:p>
        </w:tc>
      </w:tr>
      <w:tr w:rsidR="005F104B" w:rsidRPr="00C9506C" w14:paraId="32D53E4C" w14:textId="77777777" w:rsidTr="007E28B9">
        <w:tc>
          <w:tcPr>
            <w:tcW w:w="0" w:type="auto"/>
            <w:tcBorders>
              <w:left w:val="nil"/>
              <w:right w:val="nil"/>
            </w:tcBorders>
            <w:shd w:val="clear" w:color="auto" w:fill="auto"/>
          </w:tcPr>
          <w:p w14:paraId="7769B5BD" w14:textId="77777777" w:rsidR="005F104B" w:rsidRPr="00C9506C" w:rsidRDefault="005F104B" w:rsidP="007E28B9">
            <w:pPr>
              <w:spacing w:after="0" w:line="360" w:lineRule="auto"/>
              <w:ind w:left="284"/>
              <w:rPr>
                <w:bCs/>
                <w:color w:val="000000"/>
                <w:lang w:val="en-US"/>
              </w:rPr>
            </w:pPr>
            <w:r w:rsidRPr="00C9506C">
              <w:rPr>
                <w:color w:val="000000"/>
              </w:rPr>
              <w:t>Social phobia</w:t>
            </w:r>
          </w:p>
        </w:tc>
        <w:tc>
          <w:tcPr>
            <w:tcW w:w="0" w:type="auto"/>
            <w:tcBorders>
              <w:left w:val="nil"/>
              <w:right w:val="nil"/>
            </w:tcBorders>
            <w:shd w:val="clear" w:color="auto" w:fill="auto"/>
          </w:tcPr>
          <w:p w14:paraId="2D6E0EF5" w14:textId="77777777" w:rsidR="005F104B" w:rsidRPr="00C9506C" w:rsidRDefault="005F104B" w:rsidP="007E28B9">
            <w:pPr>
              <w:spacing w:after="0" w:line="360" w:lineRule="auto"/>
              <w:rPr>
                <w:color w:val="000000"/>
                <w:lang w:val="en-US"/>
              </w:rPr>
            </w:pPr>
            <w:r w:rsidRPr="00C9506C">
              <w:rPr>
                <w:rStyle w:val="Ninguno"/>
              </w:rPr>
              <w:t>4.14 (6)</w:t>
            </w:r>
          </w:p>
        </w:tc>
        <w:tc>
          <w:tcPr>
            <w:tcW w:w="0" w:type="auto"/>
            <w:tcBorders>
              <w:left w:val="nil"/>
              <w:right w:val="nil"/>
            </w:tcBorders>
            <w:shd w:val="clear" w:color="auto" w:fill="auto"/>
          </w:tcPr>
          <w:p w14:paraId="72408F76" w14:textId="77777777" w:rsidR="005F104B" w:rsidRPr="00C9506C" w:rsidRDefault="005F104B" w:rsidP="007E28B9">
            <w:pPr>
              <w:spacing w:after="0" w:line="360" w:lineRule="auto"/>
              <w:rPr>
                <w:color w:val="000000"/>
                <w:lang w:val="en-US"/>
              </w:rPr>
            </w:pPr>
            <w:r w:rsidRPr="00C9506C">
              <w:rPr>
                <w:rStyle w:val="Ninguno"/>
              </w:rPr>
              <w:t>3.39 (4)</w:t>
            </w:r>
          </w:p>
        </w:tc>
        <w:tc>
          <w:tcPr>
            <w:tcW w:w="0" w:type="auto"/>
            <w:tcBorders>
              <w:left w:val="nil"/>
              <w:right w:val="nil"/>
            </w:tcBorders>
          </w:tcPr>
          <w:p w14:paraId="31CCA67E" w14:textId="77777777" w:rsidR="005F104B" w:rsidRPr="00C9506C" w:rsidRDefault="005F104B" w:rsidP="007E28B9">
            <w:pPr>
              <w:spacing w:after="0" w:line="360" w:lineRule="auto"/>
              <w:rPr>
                <w:rStyle w:val="Ninguno"/>
              </w:rPr>
            </w:pPr>
            <w:r>
              <w:rPr>
                <w:rStyle w:val="Ninguno"/>
              </w:rPr>
              <w:t>0.752</w:t>
            </w:r>
          </w:p>
        </w:tc>
        <w:tc>
          <w:tcPr>
            <w:tcW w:w="0" w:type="auto"/>
            <w:tcBorders>
              <w:left w:val="nil"/>
              <w:right w:val="nil"/>
            </w:tcBorders>
          </w:tcPr>
          <w:p w14:paraId="131BF6BC" w14:textId="77777777" w:rsidR="005F104B" w:rsidRPr="00C9506C" w:rsidRDefault="005F104B" w:rsidP="007E28B9">
            <w:pPr>
              <w:spacing w:after="0" w:line="360" w:lineRule="auto"/>
              <w:rPr>
                <w:rStyle w:val="Ninguno"/>
              </w:rPr>
            </w:pPr>
            <w:r>
              <w:rPr>
                <w:rStyle w:val="Ninguno"/>
              </w:rPr>
              <w:t>0.765</w:t>
            </w:r>
          </w:p>
        </w:tc>
      </w:tr>
      <w:tr w:rsidR="005F104B" w:rsidRPr="00C9506C" w14:paraId="224631AA" w14:textId="77777777" w:rsidTr="007E28B9">
        <w:tc>
          <w:tcPr>
            <w:tcW w:w="0" w:type="auto"/>
            <w:tcBorders>
              <w:left w:val="nil"/>
              <w:right w:val="nil"/>
            </w:tcBorders>
            <w:shd w:val="clear" w:color="auto" w:fill="auto"/>
          </w:tcPr>
          <w:p w14:paraId="39C3C5B2" w14:textId="77777777" w:rsidR="005F104B" w:rsidRPr="00C9506C" w:rsidRDefault="005F104B" w:rsidP="007E28B9">
            <w:pPr>
              <w:spacing w:after="0" w:line="360" w:lineRule="auto"/>
              <w:ind w:left="284"/>
              <w:rPr>
                <w:bCs/>
                <w:color w:val="000000"/>
                <w:lang w:val="en-US"/>
              </w:rPr>
            </w:pPr>
            <w:r w:rsidRPr="00C9506C">
              <w:rPr>
                <w:color w:val="000000"/>
              </w:rPr>
              <w:t>Specific phobia</w:t>
            </w:r>
          </w:p>
        </w:tc>
        <w:tc>
          <w:tcPr>
            <w:tcW w:w="0" w:type="auto"/>
            <w:tcBorders>
              <w:left w:val="nil"/>
              <w:right w:val="nil"/>
            </w:tcBorders>
            <w:shd w:val="clear" w:color="auto" w:fill="auto"/>
          </w:tcPr>
          <w:p w14:paraId="26842092" w14:textId="77777777" w:rsidR="005F104B" w:rsidRPr="00C9506C" w:rsidRDefault="005F104B" w:rsidP="007E28B9">
            <w:pPr>
              <w:spacing w:after="0" w:line="360" w:lineRule="auto"/>
              <w:rPr>
                <w:color w:val="000000"/>
                <w:lang w:val="en-US"/>
              </w:rPr>
            </w:pPr>
            <w:r w:rsidRPr="00C9506C">
              <w:rPr>
                <w:rStyle w:val="Ninguno"/>
              </w:rPr>
              <w:t>0.69 (1)</w:t>
            </w:r>
          </w:p>
        </w:tc>
        <w:tc>
          <w:tcPr>
            <w:tcW w:w="0" w:type="auto"/>
            <w:tcBorders>
              <w:left w:val="nil"/>
              <w:right w:val="nil"/>
            </w:tcBorders>
            <w:shd w:val="clear" w:color="auto" w:fill="auto"/>
          </w:tcPr>
          <w:p w14:paraId="35E251E3" w14:textId="77777777" w:rsidR="005F104B" w:rsidRPr="00C9506C" w:rsidRDefault="005F104B" w:rsidP="007E28B9">
            <w:pPr>
              <w:spacing w:after="0" w:line="360" w:lineRule="auto"/>
              <w:rPr>
                <w:color w:val="000000"/>
                <w:lang w:val="en-US"/>
              </w:rPr>
            </w:pPr>
            <w:r w:rsidRPr="00C9506C">
              <w:rPr>
                <w:rStyle w:val="Ninguno"/>
              </w:rPr>
              <w:t>0 (0)</w:t>
            </w:r>
          </w:p>
        </w:tc>
        <w:tc>
          <w:tcPr>
            <w:tcW w:w="0" w:type="auto"/>
            <w:tcBorders>
              <w:left w:val="nil"/>
              <w:right w:val="nil"/>
            </w:tcBorders>
          </w:tcPr>
          <w:p w14:paraId="466C4AEE" w14:textId="77777777" w:rsidR="005F104B" w:rsidRPr="00C9506C" w:rsidRDefault="005F104B" w:rsidP="007E28B9">
            <w:pPr>
              <w:spacing w:after="0" w:line="360" w:lineRule="auto"/>
              <w:rPr>
                <w:rStyle w:val="Ninguno"/>
              </w:rPr>
            </w:pPr>
            <w:r>
              <w:rPr>
                <w:rStyle w:val="Ninguno"/>
              </w:rPr>
              <w:t>0.366</w:t>
            </w:r>
          </w:p>
        </w:tc>
        <w:tc>
          <w:tcPr>
            <w:tcW w:w="0" w:type="auto"/>
            <w:tcBorders>
              <w:left w:val="nil"/>
              <w:right w:val="nil"/>
            </w:tcBorders>
          </w:tcPr>
          <w:p w14:paraId="438361A8" w14:textId="77777777" w:rsidR="005F104B" w:rsidRPr="00C9506C" w:rsidRDefault="005F104B" w:rsidP="007E28B9">
            <w:pPr>
              <w:spacing w:after="0" w:line="360" w:lineRule="auto"/>
              <w:rPr>
                <w:rStyle w:val="Ninguno"/>
              </w:rPr>
            </w:pPr>
            <w:r>
              <w:rPr>
                <w:rStyle w:val="Ninguno"/>
              </w:rPr>
              <w:t>0.298</w:t>
            </w:r>
          </w:p>
        </w:tc>
      </w:tr>
      <w:tr w:rsidR="005F104B" w:rsidRPr="00C9506C" w14:paraId="32DC7DCA" w14:textId="77777777" w:rsidTr="007E28B9">
        <w:tc>
          <w:tcPr>
            <w:tcW w:w="0" w:type="auto"/>
            <w:tcBorders>
              <w:left w:val="nil"/>
              <w:right w:val="nil"/>
            </w:tcBorders>
            <w:shd w:val="clear" w:color="auto" w:fill="auto"/>
          </w:tcPr>
          <w:p w14:paraId="79EC131B" w14:textId="77777777" w:rsidR="005F104B" w:rsidRPr="00C9506C" w:rsidRDefault="005F104B" w:rsidP="007E28B9">
            <w:pPr>
              <w:spacing w:after="0" w:line="360" w:lineRule="auto"/>
              <w:ind w:left="284"/>
              <w:rPr>
                <w:bCs/>
                <w:color w:val="000000"/>
                <w:lang w:val="en-US"/>
              </w:rPr>
            </w:pPr>
            <w:r w:rsidRPr="00C9506C">
              <w:rPr>
                <w:color w:val="000000"/>
              </w:rPr>
              <w:t>Generalized anxiety disorder</w:t>
            </w:r>
          </w:p>
        </w:tc>
        <w:tc>
          <w:tcPr>
            <w:tcW w:w="0" w:type="auto"/>
            <w:tcBorders>
              <w:left w:val="nil"/>
              <w:right w:val="nil"/>
            </w:tcBorders>
            <w:shd w:val="clear" w:color="auto" w:fill="auto"/>
          </w:tcPr>
          <w:p w14:paraId="70A5F688" w14:textId="77777777" w:rsidR="005F104B" w:rsidRPr="00C9506C" w:rsidRDefault="005F104B" w:rsidP="007E28B9">
            <w:pPr>
              <w:spacing w:after="0" w:line="360" w:lineRule="auto"/>
              <w:rPr>
                <w:color w:val="000000"/>
                <w:lang w:val="en-US"/>
              </w:rPr>
            </w:pPr>
            <w:r w:rsidRPr="00C9506C">
              <w:rPr>
                <w:rStyle w:val="Ninguno"/>
              </w:rPr>
              <w:t>4.83 (7)</w:t>
            </w:r>
          </w:p>
        </w:tc>
        <w:tc>
          <w:tcPr>
            <w:tcW w:w="0" w:type="auto"/>
            <w:tcBorders>
              <w:left w:val="nil"/>
              <w:right w:val="nil"/>
            </w:tcBorders>
            <w:shd w:val="clear" w:color="auto" w:fill="auto"/>
          </w:tcPr>
          <w:p w14:paraId="29EFA5D6" w14:textId="77777777" w:rsidR="005F104B" w:rsidRPr="00C9506C" w:rsidRDefault="005F104B" w:rsidP="007E28B9">
            <w:pPr>
              <w:spacing w:after="0" w:line="360" w:lineRule="auto"/>
              <w:rPr>
                <w:color w:val="000000"/>
                <w:lang w:val="en-US"/>
              </w:rPr>
            </w:pPr>
            <w:r w:rsidRPr="00C9506C">
              <w:rPr>
                <w:rStyle w:val="Ninguno"/>
              </w:rPr>
              <w:t>2.54 (3)</w:t>
            </w:r>
          </w:p>
        </w:tc>
        <w:tc>
          <w:tcPr>
            <w:tcW w:w="0" w:type="auto"/>
            <w:tcBorders>
              <w:left w:val="nil"/>
              <w:right w:val="nil"/>
            </w:tcBorders>
          </w:tcPr>
          <w:p w14:paraId="69B9C1E8" w14:textId="77777777" w:rsidR="005F104B" w:rsidRPr="00C9506C" w:rsidRDefault="005F104B" w:rsidP="007E28B9">
            <w:pPr>
              <w:spacing w:after="0" w:line="360" w:lineRule="auto"/>
              <w:rPr>
                <w:rStyle w:val="Ninguno"/>
              </w:rPr>
            </w:pPr>
            <w:r>
              <w:rPr>
                <w:rStyle w:val="Ninguno"/>
              </w:rPr>
              <w:t>0.335</w:t>
            </w:r>
          </w:p>
        </w:tc>
        <w:tc>
          <w:tcPr>
            <w:tcW w:w="0" w:type="auto"/>
            <w:tcBorders>
              <w:left w:val="nil"/>
              <w:right w:val="nil"/>
            </w:tcBorders>
          </w:tcPr>
          <w:p w14:paraId="1650BFD8" w14:textId="77777777" w:rsidR="005F104B" w:rsidRPr="00C9506C" w:rsidRDefault="005F104B" w:rsidP="007E28B9">
            <w:pPr>
              <w:spacing w:after="0" w:line="360" w:lineRule="auto"/>
              <w:rPr>
                <w:rStyle w:val="Ninguno"/>
              </w:rPr>
            </w:pPr>
            <w:r>
              <w:rPr>
                <w:rStyle w:val="Ninguno"/>
              </w:rPr>
              <w:t>0.176</w:t>
            </w:r>
          </w:p>
        </w:tc>
      </w:tr>
      <w:tr w:rsidR="005F104B" w:rsidRPr="00C9506C" w14:paraId="17A9A61B" w14:textId="77777777" w:rsidTr="007E28B9">
        <w:tc>
          <w:tcPr>
            <w:tcW w:w="0" w:type="auto"/>
            <w:tcBorders>
              <w:left w:val="nil"/>
              <w:right w:val="nil"/>
            </w:tcBorders>
            <w:shd w:val="clear" w:color="auto" w:fill="auto"/>
          </w:tcPr>
          <w:p w14:paraId="4FD26A53" w14:textId="77777777" w:rsidR="005F104B" w:rsidRPr="00C9506C" w:rsidRDefault="005F104B" w:rsidP="007E28B9">
            <w:pPr>
              <w:spacing w:after="0" w:line="360" w:lineRule="auto"/>
              <w:ind w:left="284"/>
              <w:rPr>
                <w:bCs/>
                <w:color w:val="000000"/>
                <w:lang w:val="en-US"/>
              </w:rPr>
            </w:pPr>
            <w:r w:rsidRPr="00C9506C">
              <w:rPr>
                <w:color w:val="000000"/>
              </w:rPr>
              <w:t>Adjustment disorder</w:t>
            </w:r>
          </w:p>
        </w:tc>
        <w:tc>
          <w:tcPr>
            <w:tcW w:w="0" w:type="auto"/>
            <w:tcBorders>
              <w:left w:val="nil"/>
              <w:right w:val="nil"/>
            </w:tcBorders>
            <w:shd w:val="clear" w:color="auto" w:fill="auto"/>
          </w:tcPr>
          <w:p w14:paraId="5645D7FB" w14:textId="77777777" w:rsidR="005F104B" w:rsidRPr="00C9506C" w:rsidRDefault="005F104B" w:rsidP="007E28B9">
            <w:pPr>
              <w:spacing w:after="0" w:line="360" w:lineRule="auto"/>
              <w:rPr>
                <w:color w:val="000000"/>
                <w:lang w:val="en-US"/>
              </w:rPr>
            </w:pPr>
            <w:r w:rsidRPr="00C9506C">
              <w:rPr>
                <w:rStyle w:val="Ninguno"/>
              </w:rPr>
              <w:t>8.97 (13)</w:t>
            </w:r>
          </w:p>
        </w:tc>
        <w:tc>
          <w:tcPr>
            <w:tcW w:w="0" w:type="auto"/>
            <w:tcBorders>
              <w:left w:val="nil"/>
              <w:right w:val="nil"/>
            </w:tcBorders>
            <w:shd w:val="clear" w:color="auto" w:fill="auto"/>
          </w:tcPr>
          <w:p w14:paraId="507B8C41" w14:textId="77777777" w:rsidR="005F104B" w:rsidRPr="00C9506C" w:rsidRDefault="005F104B" w:rsidP="007E28B9">
            <w:pPr>
              <w:spacing w:after="0" w:line="360" w:lineRule="auto"/>
              <w:rPr>
                <w:color w:val="000000"/>
                <w:lang w:val="en-US"/>
              </w:rPr>
            </w:pPr>
            <w:r w:rsidRPr="00C9506C">
              <w:rPr>
                <w:rStyle w:val="Ninguno"/>
              </w:rPr>
              <w:t>13.56 (16)</w:t>
            </w:r>
          </w:p>
        </w:tc>
        <w:tc>
          <w:tcPr>
            <w:tcW w:w="0" w:type="auto"/>
            <w:tcBorders>
              <w:left w:val="nil"/>
              <w:right w:val="nil"/>
            </w:tcBorders>
          </w:tcPr>
          <w:p w14:paraId="2EC06BD0" w14:textId="77777777" w:rsidR="005F104B" w:rsidRPr="00C9506C" w:rsidRDefault="005F104B" w:rsidP="007E28B9">
            <w:pPr>
              <w:spacing w:after="0" w:line="360" w:lineRule="auto"/>
              <w:rPr>
                <w:rStyle w:val="Ninguno"/>
              </w:rPr>
            </w:pPr>
            <w:r>
              <w:rPr>
                <w:rStyle w:val="Ninguno"/>
              </w:rPr>
              <w:t>0.237</w:t>
            </w:r>
          </w:p>
        </w:tc>
        <w:tc>
          <w:tcPr>
            <w:tcW w:w="0" w:type="auto"/>
            <w:tcBorders>
              <w:left w:val="nil"/>
              <w:right w:val="nil"/>
            </w:tcBorders>
          </w:tcPr>
          <w:p w14:paraId="26F4C801" w14:textId="77777777" w:rsidR="005F104B" w:rsidRPr="00C9506C" w:rsidRDefault="005F104B" w:rsidP="007E28B9">
            <w:pPr>
              <w:spacing w:after="0" w:line="360" w:lineRule="auto"/>
              <w:rPr>
                <w:rStyle w:val="Ninguno"/>
              </w:rPr>
            </w:pPr>
            <w:r>
              <w:rPr>
                <w:rStyle w:val="Ninguno"/>
              </w:rPr>
              <w:t>0.989</w:t>
            </w:r>
          </w:p>
        </w:tc>
      </w:tr>
      <w:tr w:rsidR="005F104B" w:rsidRPr="00C9506C" w14:paraId="30CDB126" w14:textId="77777777" w:rsidTr="007E28B9">
        <w:tc>
          <w:tcPr>
            <w:tcW w:w="0" w:type="auto"/>
            <w:shd w:val="clear" w:color="auto" w:fill="auto"/>
          </w:tcPr>
          <w:p w14:paraId="6256282F" w14:textId="77777777" w:rsidR="005F104B" w:rsidRPr="00C9506C" w:rsidRDefault="005F104B" w:rsidP="007E28B9">
            <w:pPr>
              <w:spacing w:after="0" w:line="360" w:lineRule="auto"/>
              <w:rPr>
                <w:b/>
                <w:bCs/>
                <w:color w:val="000000"/>
                <w:lang w:val="en-US"/>
              </w:rPr>
            </w:pPr>
            <w:r w:rsidRPr="00C9506C">
              <w:rPr>
                <w:b/>
                <w:bCs/>
                <w:color w:val="000000"/>
                <w:lang w:val="en-US"/>
              </w:rPr>
              <w:t>Health related quality of life, mean EQ-5D-3L score (SE)</w:t>
            </w:r>
          </w:p>
        </w:tc>
        <w:tc>
          <w:tcPr>
            <w:tcW w:w="0" w:type="auto"/>
            <w:shd w:val="clear" w:color="auto" w:fill="auto"/>
          </w:tcPr>
          <w:p w14:paraId="1E506CC4" w14:textId="77777777" w:rsidR="005F104B" w:rsidRPr="00C9506C" w:rsidRDefault="005F104B" w:rsidP="007E28B9">
            <w:pPr>
              <w:spacing w:after="0" w:line="360" w:lineRule="auto"/>
              <w:rPr>
                <w:color w:val="000000"/>
                <w:lang w:val="en-US"/>
              </w:rPr>
            </w:pPr>
            <w:r w:rsidRPr="00C9506C">
              <w:rPr>
                <w:rStyle w:val="Ninguno"/>
              </w:rPr>
              <w:t>0.571 (0.017)</w:t>
            </w:r>
          </w:p>
        </w:tc>
        <w:tc>
          <w:tcPr>
            <w:tcW w:w="0" w:type="auto"/>
            <w:shd w:val="clear" w:color="auto" w:fill="auto"/>
          </w:tcPr>
          <w:p w14:paraId="0E695EF1" w14:textId="77777777" w:rsidR="005F104B" w:rsidRPr="00C9506C" w:rsidRDefault="005F104B" w:rsidP="007E28B9">
            <w:pPr>
              <w:spacing w:after="0" w:line="360" w:lineRule="auto"/>
              <w:rPr>
                <w:color w:val="000000"/>
                <w:lang w:val="en-US"/>
              </w:rPr>
            </w:pPr>
            <w:r w:rsidRPr="00C9506C">
              <w:rPr>
                <w:rStyle w:val="Ninguno"/>
              </w:rPr>
              <w:t>0.605 (0.017)</w:t>
            </w:r>
          </w:p>
        </w:tc>
        <w:tc>
          <w:tcPr>
            <w:tcW w:w="0" w:type="auto"/>
          </w:tcPr>
          <w:p w14:paraId="7B6BFED1" w14:textId="77777777" w:rsidR="005F104B" w:rsidRPr="00C9506C" w:rsidRDefault="005F104B" w:rsidP="007E28B9">
            <w:pPr>
              <w:spacing w:after="0" w:line="360" w:lineRule="auto"/>
              <w:rPr>
                <w:rStyle w:val="Ninguno"/>
              </w:rPr>
            </w:pPr>
            <w:r>
              <w:rPr>
                <w:rStyle w:val="Ninguno"/>
              </w:rPr>
              <w:t>0.167</w:t>
            </w:r>
          </w:p>
        </w:tc>
        <w:tc>
          <w:tcPr>
            <w:tcW w:w="0" w:type="auto"/>
          </w:tcPr>
          <w:p w14:paraId="791B8BC3" w14:textId="77777777" w:rsidR="005F104B" w:rsidRPr="00C9506C" w:rsidRDefault="005F104B" w:rsidP="007E28B9">
            <w:pPr>
              <w:spacing w:after="0" w:line="360" w:lineRule="auto"/>
              <w:rPr>
                <w:rStyle w:val="Ninguno"/>
              </w:rPr>
            </w:pPr>
            <w:r>
              <w:rPr>
                <w:rStyle w:val="Ninguno"/>
              </w:rPr>
              <w:t>0.634</w:t>
            </w:r>
          </w:p>
        </w:tc>
      </w:tr>
      <w:tr w:rsidR="005F104B" w:rsidRPr="00C9506C" w14:paraId="72646FDA" w14:textId="77777777" w:rsidTr="007E28B9">
        <w:tc>
          <w:tcPr>
            <w:tcW w:w="0" w:type="auto"/>
            <w:tcBorders>
              <w:left w:val="nil"/>
              <w:right w:val="nil"/>
            </w:tcBorders>
            <w:shd w:val="clear" w:color="auto" w:fill="auto"/>
          </w:tcPr>
          <w:p w14:paraId="5E11DBA4" w14:textId="77777777" w:rsidR="005F104B" w:rsidRPr="00C9506C" w:rsidRDefault="005F104B" w:rsidP="007E28B9">
            <w:pPr>
              <w:spacing w:after="0" w:line="360" w:lineRule="auto"/>
              <w:rPr>
                <w:b/>
                <w:bCs/>
                <w:color w:val="000000"/>
                <w:lang w:val="en-US"/>
              </w:rPr>
            </w:pPr>
            <w:r w:rsidRPr="00C9506C">
              <w:rPr>
                <w:rStyle w:val="Ninguno"/>
                <w:b/>
                <w:bCs/>
              </w:rPr>
              <w:t>Disability, mean WHODAS score (SE)</w:t>
            </w:r>
          </w:p>
        </w:tc>
        <w:tc>
          <w:tcPr>
            <w:tcW w:w="0" w:type="auto"/>
            <w:tcBorders>
              <w:left w:val="nil"/>
              <w:right w:val="nil"/>
            </w:tcBorders>
            <w:shd w:val="clear" w:color="auto" w:fill="auto"/>
          </w:tcPr>
          <w:p w14:paraId="6E23FE70" w14:textId="77777777" w:rsidR="005F104B" w:rsidRPr="00C9506C" w:rsidRDefault="005F104B" w:rsidP="007E28B9">
            <w:pPr>
              <w:spacing w:after="0" w:line="360" w:lineRule="auto"/>
              <w:rPr>
                <w:rStyle w:val="Ninguno"/>
              </w:rPr>
            </w:pPr>
            <w:r>
              <w:rPr>
                <w:rStyle w:val="Ninguno"/>
              </w:rPr>
              <w:t>39.28 (1.81)</w:t>
            </w:r>
          </w:p>
        </w:tc>
        <w:tc>
          <w:tcPr>
            <w:tcW w:w="0" w:type="auto"/>
            <w:tcBorders>
              <w:left w:val="nil"/>
              <w:right w:val="nil"/>
            </w:tcBorders>
            <w:shd w:val="clear" w:color="auto" w:fill="auto"/>
          </w:tcPr>
          <w:p w14:paraId="75E5030C" w14:textId="77777777" w:rsidR="005F104B" w:rsidRPr="00C9506C" w:rsidRDefault="005F104B" w:rsidP="007E28B9">
            <w:pPr>
              <w:spacing w:after="0" w:line="360" w:lineRule="auto"/>
              <w:rPr>
                <w:rStyle w:val="Ninguno"/>
              </w:rPr>
            </w:pPr>
            <w:r>
              <w:rPr>
                <w:rStyle w:val="Ninguno"/>
              </w:rPr>
              <w:t>32.93 (1.82)</w:t>
            </w:r>
          </w:p>
        </w:tc>
        <w:tc>
          <w:tcPr>
            <w:tcW w:w="0" w:type="auto"/>
            <w:tcBorders>
              <w:left w:val="nil"/>
              <w:right w:val="nil"/>
            </w:tcBorders>
          </w:tcPr>
          <w:p w14:paraId="6DB2E702" w14:textId="77777777" w:rsidR="005F104B" w:rsidRPr="00C9506C" w:rsidRDefault="005F104B" w:rsidP="007E28B9">
            <w:pPr>
              <w:spacing w:after="0" w:line="360" w:lineRule="auto"/>
              <w:rPr>
                <w:rStyle w:val="Ninguno"/>
              </w:rPr>
            </w:pPr>
            <w:r>
              <w:rPr>
                <w:rStyle w:val="Ninguno"/>
              </w:rPr>
              <w:t>0.015</w:t>
            </w:r>
          </w:p>
        </w:tc>
        <w:tc>
          <w:tcPr>
            <w:tcW w:w="0" w:type="auto"/>
            <w:tcBorders>
              <w:left w:val="nil"/>
              <w:right w:val="nil"/>
            </w:tcBorders>
          </w:tcPr>
          <w:p w14:paraId="0355171D" w14:textId="77777777" w:rsidR="005F104B" w:rsidRPr="00C9506C" w:rsidRDefault="005F104B" w:rsidP="007E28B9">
            <w:pPr>
              <w:spacing w:after="0" w:line="360" w:lineRule="auto"/>
              <w:rPr>
                <w:rStyle w:val="Ninguno"/>
              </w:rPr>
            </w:pPr>
            <w:r>
              <w:rPr>
                <w:rStyle w:val="Ninguno"/>
              </w:rPr>
              <w:t>0.191</w:t>
            </w:r>
          </w:p>
        </w:tc>
      </w:tr>
      <w:tr w:rsidR="005F104B" w:rsidRPr="00C9506C" w14:paraId="08F6376B" w14:textId="77777777" w:rsidTr="007E28B9">
        <w:tc>
          <w:tcPr>
            <w:tcW w:w="0" w:type="auto"/>
            <w:tcBorders>
              <w:left w:val="nil"/>
              <w:right w:val="nil"/>
            </w:tcBorders>
            <w:shd w:val="clear" w:color="auto" w:fill="auto"/>
          </w:tcPr>
          <w:p w14:paraId="1223E082" w14:textId="77777777" w:rsidR="005F104B" w:rsidRPr="00C9506C" w:rsidRDefault="005F104B" w:rsidP="007E28B9">
            <w:pPr>
              <w:spacing w:after="0" w:line="360" w:lineRule="auto"/>
              <w:rPr>
                <w:b/>
                <w:bCs/>
                <w:color w:val="000000"/>
                <w:lang w:val="en-US"/>
              </w:rPr>
            </w:pPr>
            <w:r w:rsidRPr="00C9506C">
              <w:rPr>
                <w:rStyle w:val="Ninguno"/>
                <w:b/>
                <w:bCs/>
              </w:rPr>
              <w:t>Beliefs about medication, mean BMQ (general medication) score (SE)</w:t>
            </w:r>
          </w:p>
        </w:tc>
        <w:tc>
          <w:tcPr>
            <w:tcW w:w="0" w:type="auto"/>
            <w:tcBorders>
              <w:left w:val="nil"/>
              <w:right w:val="nil"/>
            </w:tcBorders>
            <w:shd w:val="clear" w:color="auto" w:fill="auto"/>
          </w:tcPr>
          <w:p w14:paraId="05688B69" w14:textId="77777777" w:rsidR="005F104B" w:rsidRPr="00C9506C" w:rsidRDefault="005F104B" w:rsidP="007E28B9">
            <w:pPr>
              <w:spacing w:after="0" w:line="360" w:lineRule="auto"/>
              <w:rPr>
                <w:rStyle w:val="Ninguno"/>
              </w:rPr>
            </w:pPr>
            <w:r>
              <w:rPr>
                <w:rStyle w:val="Ninguno"/>
              </w:rPr>
              <w:t>22.46 (0.44)</w:t>
            </w:r>
          </w:p>
        </w:tc>
        <w:tc>
          <w:tcPr>
            <w:tcW w:w="0" w:type="auto"/>
            <w:tcBorders>
              <w:left w:val="nil"/>
              <w:right w:val="nil"/>
            </w:tcBorders>
            <w:shd w:val="clear" w:color="auto" w:fill="auto"/>
          </w:tcPr>
          <w:p w14:paraId="16B8E6C1" w14:textId="77777777" w:rsidR="005F104B" w:rsidRPr="00C9506C" w:rsidRDefault="005F104B" w:rsidP="007E28B9">
            <w:pPr>
              <w:spacing w:after="0" w:line="360" w:lineRule="auto"/>
              <w:rPr>
                <w:rStyle w:val="Ninguno"/>
              </w:rPr>
            </w:pPr>
            <w:r>
              <w:rPr>
                <w:rStyle w:val="Ninguno"/>
              </w:rPr>
              <w:t>24.31 (0.51)</w:t>
            </w:r>
          </w:p>
        </w:tc>
        <w:tc>
          <w:tcPr>
            <w:tcW w:w="0" w:type="auto"/>
            <w:tcBorders>
              <w:left w:val="nil"/>
              <w:right w:val="nil"/>
            </w:tcBorders>
          </w:tcPr>
          <w:p w14:paraId="4E794903" w14:textId="77777777" w:rsidR="005F104B" w:rsidRPr="00C9506C" w:rsidRDefault="005F104B" w:rsidP="007E28B9">
            <w:pPr>
              <w:spacing w:after="0" w:line="360" w:lineRule="auto"/>
              <w:rPr>
                <w:rStyle w:val="Ninguno"/>
              </w:rPr>
            </w:pPr>
            <w:r>
              <w:rPr>
                <w:rStyle w:val="Ninguno"/>
              </w:rPr>
              <w:t>0.006</w:t>
            </w:r>
          </w:p>
        </w:tc>
        <w:tc>
          <w:tcPr>
            <w:tcW w:w="0" w:type="auto"/>
            <w:tcBorders>
              <w:left w:val="nil"/>
              <w:right w:val="nil"/>
            </w:tcBorders>
          </w:tcPr>
          <w:p w14:paraId="1DF2DC32" w14:textId="77777777" w:rsidR="005F104B" w:rsidRPr="00C9506C" w:rsidRDefault="005F104B" w:rsidP="007E28B9">
            <w:pPr>
              <w:spacing w:after="0" w:line="360" w:lineRule="auto"/>
              <w:rPr>
                <w:rStyle w:val="Ninguno"/>
              </w:rPr>
            </w:pPr>
            <w:r>
              <w:rPr>
                <w:rStyle w:val="Ninguno"/>
              </w:rPr>
              <w:t>0.444</w:t>
            </w:r>
          </w:p>
        </w:tc>
      </w:tr>
      <w:tr w:rsidR="005F104B" w:rsidRPr="00C9506C" w14:paraId="7E076264" w14:textId="77777777" w:rsidTr="007E28B9">
        <w:tc>
          <w:tcPr>
            <w:tcW w:w="0" w:type="auto"/>
            <w:tcBorders>
              <w:left w:val="nil"/>
              <w:right w:val="nil"/>
            </w:tcBorders>
            <w:shd w:val="clear" w:color="auto" w:fill="auto"/>
          </w:tcPr>
          <w:p w14:paraId="68B8C1C2" w14:textId="77777777" w:rsidR="005F104B" w:rsidRPr="00C9506C" w:rsidRDefault="005F104B" w:rsidP="007E28B9">
            <w:pPr>
              <w:spacing w:after="0" w:line="360" w:lineRule="auto"/>
              <w:rPr>
                <w:b/>
                <w:bCs/>
                <w:color w:val="000000"/>
                <w:lang w:val="en-US"/>
              </w:rPr>
            </w:pPr>
            <w:r w:rsidRPr="00C9506C">
              <w:rPr>
                <w:b/>
                <w:bCs/>
                <w:color w:val="000000"/>
                <w:lang w:val="en-US"/>
              </w:rPr>
              <w:t>Comorbidities</w:t>
            </w:r>
          </w:p>
        </w:tc>
        <w:tc>
          <w:tcPr>
            <w:tcW w:w="0" w:type="auto"/>
            <w:tcBorders>
              <w:left w:val="nil"/>
              <w:right w:val="nil"/>
            </w:tcBorders>
            <w:shd w:val="clear" w:color="auto" w:fill="auto"/>
          </w:tcPr>
          <w:p w14:paraId="12EE3108" w14:textId="77777777" w:rsidR="005F104B" w:rsidRPr="00C9506C" w:rsidRDefault="005F104B" w:rsidP="007E28B9">
            <w:pPr>
              <w:spacing w:after="0" w:line="360" w:lineRule="auto"/>
              <w:rPr>
                <w:color w:val="000000"/>
                <w:lang w:val="en-US"/>
              </w:rPr>
            </w:pPr>
          </w:p>
        </w:tc>
        <w:tc>
          <w:tcPr>
            <w:tcW w:w="0" w:type="auto"/>
            <w:tcBorders>
              <w:left w:val="nil"/>
              <w:right w:val="nil"/>
            </w:tcBorders>
            <w:shd w:val="clear" w:color="auto" w:fill="auto"/>
          </w:tcPr>
          <w:p w14:paraId="56DBB58E" w14:textId="77777777" w:rsidR="005F104B" w:rsidRPr="00C9506C" w:rsidRDefault="005F104B" w:rsidP="007E28B9">
            <w:pPr>
              <w:spacing w:after="0" w:line="360" w:lineRule="auto"/>
              <w:rPr>
                <w:color w:val="000000"/>
                <w:lang w:val="en-US"/>
              </w:rPr>
            </w:pPr>
          </w:p>
        </w:tc>
        <w:tc>
          <w:tcPr>
            <w:tcW w:w="0" w:type="auto"/>
            <w:tcBorders>
              <w:left w:val="nil"/>
              <w:right w:val="nil"/>
            </w:tcBorders>
          </w:tcPr>
          <w:p w14:paraId="45D0E486" w14:textId="77777777" w:rsidR="005F104B" w:rsidRPr="00C9506C" w:rsidRDefault="005F104B" w:rsidP="007E28B9">
            <w:pPr>
              <w:spacing w:after="0" w:line="360" w:lineRule="auto"/>
              <w:rPr>
                <w:color w:val="000000"/>
                <w:lang w:val="en-US"/>
              </w:rPr>
            </w:pPr>
          </w:p>
        </w:tc>
        <w:tc>
          <w:tcPr>
            <w:tcW w:w="0" w:type="auto"/>
            <w:tcBorders>
              <w:left w:val="nil"/>
              <w:right w:val="nil"/>
            </w:tcBorders>
          </w:tcPr>
          <w:p w14:paraId="79DBBDA5" w14:textId="77777777" w:rsidR="005F104B" w:rsidRPr="00C9506C" w:rsidRDefault="005F104B" w:rsidP="007E28B9">
            <w:pPr>
              <w:spacing w:after="0" w:line="360" w:lineRule="auto"/>
              <w:rPr>
                <w:color w:val="000000"/>
                <w:lang w:val="en-US"/>
              </w:rPr>
            </w:pPr>
          </w:p>
        </w:tc>
      </w:tr>
      <w:tr w:rsidR="005F104B" w:rsidRPr="00C9506C" w14:paraId="7CD6AFCA" w14:textId="77777777" w:rsidTr="007E28B9">
        <w:tc>
          <w:tcPr>
            <w:tcW w:w="0" w:type="auto"/>
            <w:shd w:val="clear" w:color="auto" w:fill="auto"/>
          </w:tcPr>
          <w:p w14:paraId="7C56957A" w14:textId="77777777" w:rsidR="005F104B" w:rsidRPr="00C9506C" w:rsidRDefault="005F104B" w:rsidP="007E28B9">
            <w:pPr>
              <w:spacing w:after="0" w:line="360" w:lineRule="auto"/>
              <w:ind w:left="284"/>
              <w:rPr>
                <w:bCs/>
                <w:color w:val="000000"/>
                <w:lang w:val="en-US"/>
              </w:rPr>
            </w:pPr>
            <w:r w:rsidRPr="00C9506C">
              <w:rPr>
                <w:bCs/>
                <w:color w:val="000000"/>
                <w:lang w:val="en-US"/>
              </w:rPr>
              <w:t>Cardiovascular diseases, % (n)</w:t>
            </w:r>
          </w:p>
        </w:tc>
        <w:tc>
          <w:tcPr>
            <w:tcW w:w="0" w:type="auto"/>
            <w:shd w:val="clear" w:color="auto" w:fill="auto"/>
          </w:tcPr>
          <w:p w14:paraId="20B172F7" w14:textId="77777777" w:rsidR="005F104B" w:rsidRPr="00C9506C" w:rsidRDefault="005F104B" w:rsidP="007E28B9">
            <w:pPr>
              <w:spacing w:after="0" w:line="360" w:lineRule="auto"/>
              <w:rPr>
                <w:color w:val="000000"/>
                <w:lang w:val="en-US"/>
              </w:rPr>
            </w:pPr>
            <w:r w:rsidRPr="00C9506C">
              <w:rPr>
                <w:color w:val="000000"/>
                <w:lang w:val="en-US"/>
              </w:rPr>
              <w:t>37.24 (54)</w:t>
            </w:r>
          </w:p>
        </w:tc>
        <w:tc>
          <w:tcPr>
            <w:tcW w:w="0" w:type="auto"/>
            <w:shd w:val="clear" w:color="auto" w:fill="auto"/>
          </w:tcPr>
          <w:p w14:paraId="52943B21" w14:textId="77777777" w:rsidR="005F104B" w:rsidRPr="00C9506C" w:rsidRDefault="005F104B" w:rsidP="007E28B9">
            <w:pPr>
              <w:spacing w:after="0" w:line="360" w:lineRule="auto"/>
              <w:rPr>
                <w:color w:val="000000"/>
                <w:lang w:val="en-US"/>
              </w:rPr>
            </w:pPr>
            <w:r w:rsidRPr="00C9506C">
              <w:rPr>
                <w:color w:val="000000"/>
                <w:lang w:val="en-US"/>
              </w:rPr>
              <w:t>35.59 (42)</w:t>
            </w:r>
          </w:p>
        </w:tc>
        <w:tc>
          <w:tcPr>
            <w:tcW w:w="0" w:type="auto"/>
          </w:tcPr>
          <w:p w14:paraId="1BAD532E" w14:textId="77777777" w:rsidR="005F104B" w:rsidRPr="00C9506C" w:rsidRDefault="005F104B" w:rsidP="007E28B9">
            <w:pPr>
              <w:spacing w:after="0" w:line="360" w:lineRule="auto"/>
              <w:rPr>
                <w:color w:val="000000"/>
                <w:lang w:val="en-US"/>
              </w:rPr>
            </w:pPr>
            <w:r>
              <w:rPr>
                <w:color w:val="000000"/>
                <w:lang w:val="en-US"/>
              </w:rPr>
              <w:t>0.782</w:t>
            </w:r>
          </w:p>
        </w:tc>
        <w:tc>
          <w:tcPr>
            <w:tcW w:w="0" w:type="auto"/>
          </w:tcPr>
          <w:p w14:paraId="635CDEA8" w14:textId="77777777" w:rsidR="005F104B" w:rsidRPr="00C9506C" w:rsidRDefault="005F104B" w:rsidP="007E28B9">
            <w:pPr>
              <w:spacing w:after="0" w:line="360" w:lineRule="auto"/>
              <w:rPr>
                <w:color w:val="000000"/>
                <w:lang w:val="en-US"/>
              </w:rPr>
            </w:pPr>
            <w:r>
              <w:rPr>
                <w:color w:val="000000"/>
                <w:lang w:val="en-US"/>
              </w:rPr>
              <w:t>0.623</w:t>
            </w:r>
          </w:p>
        </w:tc>
      </w:tr>
      <w:tr w:rsidR="005F104B" w:rsidRPr="00C9506C" w14:paraId="13E7174A" w14:textId="77777777" w:rsidTr="007E28B9">
        <w:tc>
          <w:tcPr>
            <w:tcW w:w="0" w:type="auto"/>
            <w:tcBorders>
              <w:left w:val="nil"/>
              <w:right w:val="nil"/>
            </w:tcBorders>
            <w:shd w:val="clear" w:color="auto" w:fill="auto"/>
          </w:tcPr>
          <w:p w14:paraId="5322D3A4" w14:textId="77777777" w:rsidR="005F104B" w:rsidRPr="00C9506C" w:rsidRDefault="005F104B" w:rsidP="007E28B9">
            <w:pPr>
              <w:spacing w:after="0" w:line="360" w:lineRule="auto"/>
              <w:ind w:left="284"/>
              <w:rPr>
                <w:bCs/>
                <w:color w:val="000000"/>
                <w:lang w:val="en-US"/>
              </w:rPr>
            </w:pPr>
            <w:r w:rsidRPr="00C9506C">
              <w:rPr>
                <w:bCs/>
                <w:color w:val="000000"/>
                <w:lang w:val="en-US"/>
              </w:rPr>
              <w:t>Respiratory diseases, % (n)</w:t>
            </w:r>
          </w:p>
        </w:tc>
        <w:tc>
          <w:tcPr>
            <w:tcW w:w="0" w:type="auto"/>
            <w:tcBorders>
              <w:left w:val="nil"/>
              <w:right w:val="nil"/>
            </w:tcBorders>
            <w:shd w:val="clear" w:color="auto" w:fill="auto"/>
          </w:tcPr>
          <w:p w14:paraId="7A1E0CC5" w14:textId="77777777" w:rsidR="005F104B" w:rsidRPr="00C9506C" w:rsidRDefault="005F104B" w:rsidP="007E28B9">
            <w:pPr>
              <w:spacing w:after="0" w:line="360" w:lineRule="auto"/>
              <w:rPr>
                <w:color w:val="000000"/>
                <w:lang w:val="en-US"/>
              </w:rPr>
            </w:pPr>
            <w:r w:rsidRPr="00C9506C">
              <w:rPr>
                <w:color w:val="000000"/>
                <w:lang w:val="en-US"/>
              </w:rPr>
              <w:t>7.59 (11)</w:t>
            </w:r>
          </w:p>
        </w:tc>
        <w:tc>
          <w:tcPr>
            <w:tcW w:w="0" w:type="auto"/>
            <w:tcBorders>
              <w:left w:val="nil"/>
              <w:right w:val="nil"/>
            </w:tcBorders>
            <w:shd w:val="clear" w:color="auto" w:fill="auto"/>
          </w:tcPr>
          <w:p w14:paraId="6DDCEBBB" w14:textId="77777777" w:rsidR="005F104B" w:rsidRPr="00C9506C" w:rsidRDefault="005F104B" w:rsidP="007E28B9">
            <w:pPr>
              <w:spacing w:after="0" w:line="360" w:lineRule="auto"/>
              <w:rPr>
                <w:color w:val="000000"/>
                <w:lang w:val="en-US"/>
              </w:rPr>
            </w:pPr>
            <w:r w:rsidRPr="00C9506C">
              <w:rPr>
                <w:color w:val="000000"/>
                <w:lang w:val="en-US"/>
              </w:rPr>
              <w:t>10.17 (12)</w:t>
            </w:r>
          </w:p>
        </w:tc>
        <w:tc>
          <w:tcPr>
            <w:tcW w:w="0" w:type="auto"/>
            <w:tcBorders>
              <w:left w:val="nil"/>
              <w:right w:val="nil"/>
            </w:tcBorders>
          </w:tcPr>
          <w:p w14:paraId="4F4C630A" w14:textId="77777777" w:rsidR="005F104B" w:rsidRPr="00C9506C" w:rsidRDefault="005F104B" w:rsidP="007E28B9">
            <w:pPr>
              <w:spacing w:after="0" w:line="360" w:lineRule="auto"/>
              <w:rPr>
                <w:color w:val="000000"/>
                <w:lang w:val="en-US"/>
              </w:rPr>
            </w:pPr>
            <w:r>
              <w:rPr>
                <w:color w:val="000000"/>
                <w:lang w:val="en-US"/>
              </w:rPr>
              <w:t>0.461</w:t>
            </w:r>
          </w:p>
        </w:tc>
        <w:tc>
          <w:tcPr>
            <w:tcW w:w="0" w:type="auto"/>
            <w:tcBorders>
              <w:left w:val="nil"/>
              <w:right w:val="nil"/>
            </w:tcBorders>
          </w:tcPr>
          <w:p w14:paraId="40804515" w14:textId="77777777" w:rsidR="005F104B" w:rsidRPr="00C9506C" w:rsidRDefault="005F104B" w:rsidP="007E28B9">
            <w:pPr>
              <w:spacing w:after="0" w:line="360" w:lineRule="auto"/>
              <w:rPr>
                <w:color w:val="000000"/>
                <w:lang w:val="en-US"/>
              </w:rPr>
            </w:pPr>
            <w:r>
              <w:rPr>
                <w:color w:val="000000"/>
                <w:lang w:val="en-US"/>
              </w:rPr>
              <w:t>0.474</w:t>
            </w:r>
          </w:p>
        </w:tc>
      </w:tr>
      <w:tr w:rsidR="005F104B" w:rsidRPr="00C9506C" w14:paraId="497D7205" w14:textId="77777777" w:rsidTr="007E28B9">
        <w:tc>
          <w:tcPr>
            <w:tcW w:w="0" w:type="auto"/>
            <w:shd w:val="clear" w:color="auto" w:fill="auto"/>
          </w:tcPr>
          <w:p w14:paraId="23753180" w14:textId="77777777" w:rsidR="005F104B" w:rsidRPr="00C9506C" w:rsidRDefault="005F104B" w:rsidP="007E28B9">
            <w:pPr>
              <w:spacing w:after="0" w:line="360" w:lineRule="auto"/>
              <w:ind w:left="284"/>
              <w:rPr>
                <w:bCs/>
                <w:color w:val="000000"/>
                <w:lang w:val="en-US"/>
              </w:rPr>
            </w:pPr>
            <w:r w:rsidRPr="00C9506C">
              <w:rPr>
                <w:bCs/>
                <w:color w:val="000000"/>
                <w:lang w:val="en-US"/>
              </w:rPr>
              <w:t>Pain, % (n)</w:t>
            </w:r>
          </w:p>
        </w:tc>
        <w:tc>
          <w:tcPr>
            <w:tcW w:w="0" w:type="auto"/>
            <w:shd w:val="clear" w:color="auto" w:fill="auto"/>
          </w:tcPr>
          <w:p w14:paraId="61F8B724" w14:textId="77777777" w:rsidR="005F104B" w:rsidRPr="00C9506C" w:rsidRDefault="005F104B" w:rsidP="007E28B9">
            <w:pPr>
              <w:spacing w:after="0" w:line="360" w:lineRule="auto"/>
              <w:rPr>
                <w:color w:val="000000"/>
                <w:lang w:val="en-US"/>
              </w:rPr>
            </w:pPr>
            <w:r w:rsidRPr="00C9506C">
              <w:rPr>
                <w:color w:val="000000"/>
                <w:lang w:val="en-US"/>
              </w:rPr>
              <w:t>57.24 (83)</w:t>
            </w:r>
          </w:p>
        </w:tc>
        <w:tc>
          <w:tcPr>
            <w:tcW w:w="0" w:type="auto"/>
            <w:shd w:val="clear" w:color="auto" w:fill="auto"/>
          </w:tcPr>
          <w:p w14:paraId="1D96D066" w14:textId="77777777" w:rsidR="005F104B" w:rsidRPr="00C9506C" w:rsidRDefault="005F104B" w:rsidP="007E28B9">
            <w:pPr>
              <w:spacing w:after="0" w:line="360" w:lineRule="auto"/>
              <w:rPr>
                <w:color w:val="000000"/>
                <w:lang w:val="en-US"/>
              </w:rPr>
            </w:pPr>
            <w:r w:rsidRPr="00C9506C">
              <w:rPr>
                <w:color w:val="000000"/>
                <w:lang w:val="en-US"/>
              </w:rPr>
              <w:t>63.56 (75)</w:t>
            </w:r>
          </w:p>
        </w:tc>
        <w:tc>
          <w:tcPr>
            <w:tcW w:w="0" w:type="auto"/>
          </w:tcPr>
          <w:p w14:paraId="3DC5973F" w14:textId="77777777" w:rsidR="005F104B" w:rsidRPr="00C9506C" w:rsidRDefault="005F104B" w:rsidP="007E28B9">
            <w:pPr>
              <w:spacing w:after="0" w:line="360" w:lineRule="auto"/>
              <w:rPr>
                <w:color w:val="000000"/>
                <w:lang w:val="en-US"/>
              </w:rPr>
            </w:pPr>
            <w:r>
              <w:rPr>
                <w:color w:val="000000"/>
                <w:lang w:val="en-US"/>
              </w:rPr>
              <w:t>0.298</w:t>
            </w:r>
          </w:p>
        </w:tc>
        <w:tc>
          <w:tcPr>
            <w:tcW w:w="0" w:type="auto"/>
          </w:tcPr>
          <w:p w14:paraId="60481C95" w14:textId="77777777" w:rsidR="005F104B" w:rsidRPr="00C9506C" w:rsidRDefault="005F104B" w:rsidP="007E28B9">
            <w:pPr>
              <w:spacing w:after="0" w:line="360" w:lineRule="auto"/>
              <w:rPr>
                <w:color w:val="000000"/>
                <w:lang w:val="en-US"/>
              </w:rPr>
            </w:pPr>
            <w:r>
              <w:rPr>
                <w:color w:val="000000"/>
                <w:lang w:val="en-US"/>
              </w:rPr>
              <w:t>0.543</w:t>
            </w:r>
          </w:p>
        </w:tc>
      </w:tr>
      <w:tr w:rsidR="005F104B" w:rsidRPr="00C9506C" w14:paraId="6B9FE373" w14:textId="77777777" w:rsidTr="007E28B9">
        <w:tc>
          <w:tcPr>
            <w:tcW w:w="0" w:type="auto"/>
            <w:tcBorders>
              <w:left w:val="nil"/>
              <w:right w:val="nil"/>
            </w:tcBorders>
            <w:shd w:val="clear" w:color="auto" w:fill="auto"/>
          </w:tcPr>
          <w:p w14:paraId="6C8C0740" w14:textId="77777777" w:rsidR="005F104B" w:rsidRPr="00C9506C" w:rsidRDefault="005F104B" w:rsidP="007E28B9">
            <w:pPr>
              <w:spacing w:after="0" w:line="360" w:lineRule="auto"/>
              <w:ind w:left="284"/>
              <w:rPr>
                <w:bCs/>
                <w:color w:val="000000"/>
                <w:lang w:val="en-US"/>
              </w:rPr>
            </w:pPr>
            <w:r w:rsidRPr="00C9506C">
              <w:rPr>
                <w:bCs/>
                <w:color w:val="000000"/>
                <w:lang w:val="en-US"/>
              </w:rPr>
              <w:t>Digestive diseases, % (n)</w:t>
            </w:r>
          </w:p>
        </w:tc>
        <w:tc>
          <w:tcPr>
            <w:tcW w:w="0" w:type="auto"/>
            <w:tcBorders>
              <w:left w:val="nil"/>
              <w:right w:val="nil"/>
            </w:tcBorders>
            <w:shd w:val="clear" w:color="auto" w:fill="auto"/>
          </w:tcPr>
          <w:p w14:paraId="52FF0F7F" w14:textId="77777777" w:rsidR="005F104B" w:rsidRPr="00C9506C" w:rsidRDefault="005F104B" w:rsidP="007E28B9">
            <w:pPr>
              <w:spacing w:after="0" w:line="360" w:lineRule="auto"/>
              <w:rPr>
                <w:color w:val="000000"/>
                <w:lang w:val="en-US"/>
              </w:rPr>
            </w:pPr>
            <w:r w:rsidRPr="00C9506C">
              <w:rPr>
                <w:color w:val="000000"/>
                <w:lang w:val="en-US"/>
              </w:rPr>
              <w:t>80.28 (12)</w:t>
            </w:r>
          </w:p>
        </w:tc>
        <w:tc>
          <w:tcPr>
            <w:tcW w:w="0" w:type="auto"/>
            <w:tcBorders>
              <w:left w:val="nil"/>
              <w:right w:val="nil"/>
            </w:tcBorders>
            <w:shd w:val="clear" w:color="auto" w:fill="auto"/>
          </w:tcPr>
          <w:p w14:paraId="1E024EAF" w14:textId="77777777" w:rsidR="005F104B" w:rsidRPr="00C9506C" w:rsidRDefault="005F104B" w:rsidP="007E28B9">
            <w:pPr>
              <w:spacing w:after="0" w:line="360" w:lineRule="auto"/>
              <w:rPr>
                <w:color w:val="000000"/>
                <w:lang w:val="en-US"/>
              </w:rPr>
            </w:pPr>
            <w:r w:rsidRPr="00C9506C">
              <w:rPr>
                <w:color w:val="000000"/>
                <w:lang w:val="en-US"/>
              </w:rPr>
              <w:t>11.02 (13)</w:t>
            </w:r>
          </w:p>
        </w:tc>
        <w:tc>
          <w:tcPr>
            <w:tcW w:w="0" w:type="auto"/>
            <w:tcBorders>
              <w:left w:val="nil"/>
              <w:right w:val="nil"/>
            </w:tcBorders>
          </w:tcPr>
          <w:p w14:paraId="5991575B" w14:textId="77777777" w:rsidR="005F104B" w:rsidRPr="00C9506C" w:rsidRDefault="005F104B" w:rsidP="007E28B9">
            <w:pPr>
              <w:spacing w:after="0" w:line="360" w:lineRule="auto"/>
              <w:rPr>
                <w:color w:val="000000"/>
                <w:lang w:val="en-US"/>
              </w:rPr>
            </w:pPr>
            <w:r>
              <w:rPr>
                <w:color w:val="000000"/>
                <w:lang w:val="en-US"/>
              </w:rPr>
              <w:t>0.451</w:t>
            </w:r>
          </w:p>
        </w:tc>
        <w:tc>
          <w:tcPr>
            <w:tcW w:w="0" w:type="auto"/>
            <w:tcBorders>
              <w:left w:val="nil"/>
              <w:right w:val="nil"/>
            </w:tcBorders>
          </w:tcPr>
          <w:p w14:paraId="37D11859" w14:textId="77777777" w:rsidR="005F104B" w:rsidRPr="00C9506C" w:rsidRDefault="005F104B" w:rsidP="007E28B9">
            <w:pPr>
              <w:spacing w:after="0" w:line="360" w:lineRule="auto"/>
              <w:rPr>
                <w:color w:val="000000"/>
                <w:lang w:val="en-US"/>
              </w:rPr>
            </w:pPr>
            <w:r>
              <w:rPr>
                <w:color w:val="000000"/>
                <w:lang w:val="en-US"/>
              </w:rPr>
              <w:t>0.513</w:t>
            </w:r>
          </w:p>
        </w:tc>
      </w:tr>
      <w:tr w:rsidR="005F104B" w:rsidRPr="00C9506C" w14:paraId="09C81221" w14:textId="77777777" w:rsidTr="007E28B9">
        <w:tc>
          <w:tcPr>
            <w:tcW w:w="0" w:type="auto"/>
            <w:shd w:val="clear" w:color="auto" w:fill="auto"/>
          </w:tcPr>
          <w:p w14:paraId="6FE599CD" w14:textId="77777777" w:rsidR="005F104B" w:rsidRPr="00C9506C" w:rsidRDefault="005F104B" w:rsidP="007E28B9">
            <w:pPr>
              <w:spacing w:after="0" w:line="360" w:lineRule="auto"/>
              <w:ind w:left="284"/>
              <w:rPr>
                <w:bCs/>
                <w:color w:val="000000"/>
                <w:lang w:val="en-US"/>
              </w:rPr>
            </w:pPr>
            <w:r w:rsidRPr="00C9506C">
              <w:rPr>
                <w:bCs/>
                <w:color w:val="000000"/>
                <w:lang w:val="en-US"/>
              </w:rPr>
              <w:t>Sense organs diseases, % (n)</w:t>
            </w:r>
          </w:p>
        </w:tc>
        <w:tc>
          <w:tcPr>
            <w:tcW w:w="0" w:type="auto"/>
            <w:shd w:val="clear" w:color="auto" w:fill="auto"/>
          </w:tcPr>
          <w:p w14:paraId="564A4462" w14:textId="77777777" w:rsidR="005F104B" w:rsidRPr="00C9506C" w:rsidRDefault="005F104B" w:rsidP="007E28B9">
            <w:pPr>
              <w:spacing w:after="0" w:line="360" w:lineRule="auto"/>
              <w:rPr>
                <w:color w:val="000000"/>
                <w:lang w:val="en-US"/>
              </w:rPr>
            </w:pPr>
            <w:r w:rsidRPr="00C9506C">
              <w:rPr>
                <w:color w:val="000000"/>
                <w:lang w:val="en-US"/>
              </w:rPr>
              <w:t>51.03 (74)</w:t>
            </w:r>
          </w:p>
        </w:tc>
        <w:tc>
          <w:tcPr>
            <w:tcW w:w="0" w:type="auto"/>
            <w:shd w:val="clear" w:color="auto" w:fill="auto"/>
          </w:tcPr>
          <w:p w14:paraId="7A2E47A1" w14:textId="77777777" w:rsidR="005F104B" w:rsidRPr="00C9506C" w:rsidRDefault="005F104B" w:rsidP="007E28B9">
            <w:pPr>
              <w:spacing w:after="0" w:line="360" w:lineRule="auto"/>
              <w:rPr>
                <w:color w:val="000000"/>
                <w:lang w:val="en-US"/>
              </w:rPr>
            </w:pPr>
            <w:r w:rsidRPr="00C9506C">
              <w:rPr>
                <w:color w:val="000000"/>
                <w:lang w:val="en-US"/>
              </w:rPr>
              <w:t>45.76 (54)</w:t>
            </w:r>
          </w:p>
        </w:tc>
        <w:tc>
          <w:tcPr>
            <w:tcW w:w="0" w:type="auto"/>
          </w:tcPr>
          <w:p w14:paraId="5C7ED822" w14:textId="77777777" w:rsidR="005F104B" w:rsidRPr="00C9506C" w:rsidRDefault="005F104B" w:rsidP="007E28B9">
            <w:pPr>
              <w:spacing w:after="0" w:line="360" w:lineRule="auto"/>
              <w:rPr>
                <w:color w:val="000000"/>
                <w:lang w:val="en-US"/>
              </w:rPr>
            </w:pPr>
            <w:r>
              <w:rPr>
                <w:color w:val="000000"/>
                <w:lang w:val="en-US"/>
              </w:rPr>
              <w:t>0.395</w:t>
            </w:r>
          </w:p>
        </w:tc>
        <w:tc>
          <w:tcPr>
            <w:tcW w:w="0" w:type="auto"/>
          </w:tcPr>
          <w:p w14:paraId="093678E1" w14:textId="77777777" w:rsidR="005F104B" w:rsidRPr="00C9506C" w:rsidRDefault="005F104B" w:rsidP="007E28B9">
            <w:pPr>
              <w:spacing w:after="0" w:line="360" w:lineRule="auto"/>
              <w:rPr>
                <w:color w:val="000000"/>
                <w:lang w:val="en-US"/>
              </w:rPr>
            </w:pPr>
            <w:r>
              <w:rPr>
                <w:color w:val="000000"/>
                <w:lang w:val="en-US"/>
              </w:rPr>
              <w:t>0.674</w:t>
            </w:r>
          </w:p>
        </w:tc>
      </w:tr>
      <w:tr w:rsidR="005F104B" w:rsidRPr="00C9506C" w14:paraId="4FAC675A" w14:textId="77777777" w:rsidTr="007E28B9">
        <w:tc>
          <w:tcPr>
            <w:tcW w:w="0" w:type="auto"/>
            <w:tcBorders>
              <w:left w:val="nil"/>
              <w:right w:val="nil"/>
            </w:tcBorders>
            <w:shd w:val="clear" w:color="auto" w:fill="auto"/>
          </w:tcPr>
          <w:p w14:paraId="5B6C2CEA" w14:textId="77777777" w:rsidR="005F104B" w:rsidRPr="00C9506C" w:rsidRDefault="005F104B" w:rsidP="007E28B9">
            <w:pPr>
              <w:spacing w:after="0" w:line="360" w:lineRule="auto"/>
              <w:rPr>
                <w:b/>
                <w:bCs/>
                <w:color w:val="000000"/>
                <w:lang w:val="en-US"/>
              </w:rPr>
            </w:pPr>
            <w:r>
              <w:rPr>
                <w:b/>
                <w:bCs/>
                <w:color w:val="000000"/>
                <w:lang w:val="en-US"/>
              </w:rPr>
              <w:t>GP</w:t>
            </w:r>
            <w:r w:rsidRPr="00C9506C">
              <w:rPr>
                <w:b/>
                <w:bCs/>
                <w:color w:val="000000"/>
                <w:lang w:val="en-US"/>
              </w:rPr>
              <w:t xml:space="preserve"> characteristics </w:t>
            </w:r>
          </w:p>
        </w:tc>
        <w:tc>
          <w:tcPr>
            <w:tcW w:w="0" w:type="auto"/>
            <w:tcBorders>
              <w:left w:val="nil"/>
              <w:right w:val="nil"/>
            </w:tcBorders>
            <w:shd w:val="clear" w:color="auto" w:fill="auto"/>
          </w:tcPr>
          <w:p w14:paraId="6003FE4C" w14:textId="77777777" w:rsidR="005F104B" w:rsidRPr="00C9506C" w:rsidRDefault="005F104B" w:rsidP="007E28B9">
            <w:pPr>
              <w:spacing w:after="0" w:line="360" w:lineRule="auto"/>
              <w:rPr>
                <w:color w:val="000000"/>
                <w:lang w:val="en-US"/>
              </w:rPr>
            </w:pPr>
          </w:p>
        </w:tc>
        <w:tc>
          <w:tcPr>
            <w:tcW w:w="0" w:type="auto"/>
            <w:tcBorders>
              <w:left w:val="nil"/>
              <w:right w:val="nil"/>
            </w:tcBorders>
            <w:shd w:val="clear" w:color="auto" w:fill="auto"/>
          </w:tcPr>
          <w:p w14:paraId="143F9C07" w14:textId="77777777" w:rsidR="005F104B" w:rsidRPr="00C9506C" w:rsidRDefault="005F104B" w:rsidP="007E28B9">
            <w:pPr>
              <w:spacing w:after="0" w:line="360" w:lineRule="auto"/>
              <w:rPr>
                <w:color w:val="000000"/>
                <w:lang w:val="en-US"/>
              </w:rPr>
            </w:pPr>
          </w:p>
        </w:tc>
        <w:tc>
          <w:tcPr>
            <w:tcW w:w="0" w:type="auto"/>
            <w:tcBorders>
              <w:left w:val="nil"/>
              <w:right w:val="nil"/>
            </w:tcBorders>
          </w:tcPr>
          <w:p w14:paraId="67517A07" w14:textId="77777777" w:rsidR="005F104B" w:rsidRPr="00C9506C" w:rsidRDefault="005F104B" w:rsidP="007E28B9">
            <w:pPr>
              <w:spacing w:after="0" w:line="360" w:lineRule="auto"/>
              <w:rPr>
                <w:color w:val="000000"/>
                <w:lang w:val="en-US"/>
              </w:rPr>
            </w:pPr>
          </w:p>
        </w:tc>
        <w:tc>
          <w:tcPr>
            <w:tcW w:w="0" w:type="auto"/>
            <w:tcBorders>
              <w:left w:val="nil"/>
              <w:right w:val="nil"/>
            </w:tcBorders>
          </w:tcPr>
          <w:p w14:paraId="3BC3554E" w14:textId="77777777" w:rsidR="005F104B" w:rsidRPr="00C9506C" w:rsidRDefault="005F104B" w:rsidP="007E28B9">
            <w:pPr>
              <w:spacing w:after="0" w:line="360" w:lineRule="auto"/>
              <w:rPr>
                <w:color w:val="000000"/>
                <w:lang w:val="en-US"/>
              </w:rPr>
            </w:pPr>
          </w:p>
        </w:tc>
      </w:tr>
      <w:tr w:rsidR="005F104B" w:rsidRPr="00C9506C" w14:paraId="0FFCC7D7" w14:textId="77777777" w:rsidTr="007E28B9">
        <w:tc>
          <w:tcPr>
            <w:tcW w:w="0" w:type="auto"/>
            <w:shd w:val="clear" w:color="auto" w:fill="auto"/>
          </w:tcPr>
          <w:p w14:paraId="2405D59E" w14:textId="77777777" w:rsidR="005F104B" w:rsidRPr="00C9506C" w:rsidRDefault="005F104B" w:rsidP="007E28B9">
            <w:pPr>
              <w:spacing w:after="0" w:line="360" w:lineRule="auto"/>
              <w:ind w:left="284"/>
              <w:rPr>
                <w:bCs/>
                <w:color w:val="000000"/>
                <w:lang w:val="en-US"/>
              </w:rPr>
            </w:pPr>
            <w:r w:rsidRPr="00C9506C">
              <w:rPr>
                <w:bCs/>
                <w:color w:val="000000"/>
                <w:lang w:val="en-US"/>
              </w:rPr>
              <w:t>Gender, % women (n)</w:t>
            </w:r>
          </w:p>
        </w:tc>
        <w:tc>
          <w:tcPr>
            <w:tcW w:w="0" w:type="auto"/>
            <w:shd w:val="clear" w:color="auto" w:fill="auto"/>
          </w:tcPr>
          <w:p w14:paraId="0EE0D3C9" w14:textId="77777777" w:rsidR="005F104B" w:rsidRPr="00C9506C" w:rsidRDefault="005F104B" w:rsidP="007E28B9">
            <w:pPr>
              <w:spacing w:after="0" w:line="360" w:lineRule="auto"/>
              <w:rPr>
                <w:color w:val="000000"/>
                <w:lang w:val="en-US"/>
              </w:rPr>
            </w:pPr>
            <w:r w:rsidRPr="00C9506C">
              <w:rPr>
                <w:color w:val="000000"/>
                <w:lang w:val="en-US"/>
              </w:rPr>
              <w:t>82.76 (120)</w:t>
            </w:r>
          </w:p>
        </w:tc>
        <w:tc>
          <w:tcPr>
            <w:tcW w:w="0" w:type="auto"/>
            <w:shd w:val="clear" w:color="auto" w:fill="auto"/>
          </w:tcPr>
          <w:p w14:paraId="62298123" w14:textId="77777777" w:rsidR="005F104B" w:rsidRPr="00C9506C" w:rsidRDefault="005F104B" w:rsidP="007E28B9">
            <w:pPr>
              <w:spacing w:after="0" w:line="360" w:lineRule="auto"/>
              <w:rPr>
                <w:color w:val="000000"/>
                <w:lang w:val="en-US"/>
              </w:rPr>
            </w:pPr>
            <w:r w:rsidRPr="00C9506C">
              <w:rPr>
                <w:color w:val="000000"/>
                <w:lang w:val="en-US"/>
              </w:rPr>
              <w:t>84.75 (100)</w:t>
            </w:r>
          </w:p>
        </w:tc>
        <w:tc>
          <w:tcPr>
            <w:tcW w:w="0" w:type="auto"/>
          </w:tcPr>
          <w:p w14:paraId="6D4C019D" w14:textId="77777777" w:rsidR="005F104B" w:rsidRPr="00C9506C" w:rsidRDefault="005F104B" w:rsidP="007E28B9">
            <w:pPr>
              <w:spacing w:after="0" w:line="360" w:lineRule="auto"/>
              <w:rPr>
                <w:color w:val="000000"/>
                <w:lang w:val="en-US"/>
              </w:rPr>
            </w:pPr>
            <w:r>
              <w:rPr>
                <w:color w:val="000000"/>
                <w:lang w:val="en-US"/>
              </w:rPr>
              <w:t>0.665</w:t>
            </w:r>
          </w:p>
        </w:tc>
        <w:tc>
          <w:tcPr>
            <w:tcW w:w="0" w:type="auto"/>
          </w:tcPr>
          <w:p w14:paraId="17E6E570" w14:textId="77777777" w:rsidR="005F104B" w:rsidRPr="00C9506C" w:rsidRDefault="005F104B" w:rsidP="007E28B9">
            <w:pPr>
              <w:spacing w:after="0" w:line="360" w:lineRule="auto"/>
              <w:rPr>
                <w:color w:val="000000"/>
                <w:lang w:val="en-US"/>
              </w:rPr>
            </w:pPr>
            <w:r>
              <w:rPr>
                <w:color w:val="000000"/>
                <w:lang w:val="en-US"/>
              </w:rPr>
              <w:t>0.824</w:t>
            </w:r>
          </w:p>
        </w:tc>
      </w:tr>
      <w:tr w:rsidR="005F104B" w:rsidRPr="00C9506C" w14:paraId="232B988A" w14:textId="77777777" w:rsidTr="007E28B9">
        <w:tc>
          <w:tcPr>
            <w:tcW w:w="0" w:type="auto"/>
            <w:tcBorders>
              <w:left w:val="nil"/>
              <w:right w:val="nil"/>
            </w:tcBorders>
            <w:shd w:val="clear" w:color="auto" w:fill="auto"/>
          </w:tcPr>
          <w:p w14:paraId="6F8B47E3" w14:textId="77777777" w:rsidR="005F104B" w:rsidRPr="00C9506C" w:rsidRDefault="005F104B" w:rsidP="007E28B9">
            <w:pPr>
              <w:spacing w:after="0" w:line="360" w:lineRule="auto"/>
              <w:ind w:left="284"/>
              <w:rPr>
                <w:bCs/>
                <w:color w:val="000000"/>
                <w:lang w:val="en-US"/>
              </w:rPr>
            </w:pPr>
            <w:r w:rsidRPr="00C9506C">
              <w:rPr>
                <w:bCs/>
                <w:color w:val="000000"/>
                <w:lang w:val="en-US"/>
              </w:rPr>
              <w:t>Age, mean (SE)</w:t>
            </w:r>
          </w:p>
        </w:tc>
        <w:tc>
          <w:tcPr>
            <w:tcW w:w="0" w:type="auto"/>
            <w:tcBorders>
              <w:left w:val="nil"/>
              <w:right w:val="nil"/>
            </w:tcBorders>
            <w:shd w:val="clear" w:color="auto" w:fill="auto"/>
          </w:tcPr>
          <w:p w14:paraId="4D51C5ED" w14:textId="77777777" w:rsidR="005F104B" w:rsidRPr="00C9506C" w:rsidRDefault="005F104B" w:rsidP="007E28B9">
            <w:pPr>
              <w:spacing w:after="0" w:line="360" w:lineRule="auto"/>
              <w:rPr>
                <w:color w:val="000000"/>
                <w:lang w:val="en-US"/>
              </w:rPr>
            </w:pPr>
            <w:r w:rsidRPr="00C9506C">
              <w:rPr>
                <w:color w:val="000000"/>
                <w:lang w:val="en-US"/>
              </w:rPr>
              <w:t>46.07 (0.55)</w:t>
            </w:r>
          </w:p>
        </w:tc>
        <w:tc>
          <w:tcPr>
            <w:tcW w:w="0" w:type="auto"/>
            <w:tcBorders>
              <w:left w:val="nil"/>
              <w:right w:val="nil"/>
            </w:tcBorders>
            <w:shd w:val="clear" w:color="auto" w:fill="auto"/>
          </w:tcPr>
          <w:p w14:paraId="5522F5AE" w14:textId="77777777" w:rsidR="005F104B" w:rsidRPr="00C9506C" w:rsidRDefault="005F104B" w:rsidP="007E28B9">
            <w:pPr>
              <w:spacing w:after="0" w:line="360" w:lineRule="auto"/>
              <w:rPr>
                <w:color w:val="000000"/>
                <w:lang w:val="en-US"/>
              </w:rPr>
            </w:pPr>
            <w:r w:rsidRPr="00C9506C">
              <w:rPr>
                <w:color w:val="000000"/>
                <w:lang w:val="en-US"/>
              </w:rPr>
              <w:t>45.61 (0.62)</w:t>
            </w:r>
          </w:p>
        </w:tc>
        <w:tc>
          <w:tcPr>
            <w:tcW w:w="0" w:type="auto"/>
            <w:tcBorders>
              <w:left w:val="nil"/>
              <w:right w:val="nil"/>
            </w:tcBorders>
          </w:tcPr>
          <w:p w14:paraId="3937F339" w14:textId="77777777" w:rsidR="005F104B" w:rsidRPr="00C9506C" w:rsidRDefault="005F104B" w:rsidP="007E28B9">
            <w:pPr>
              <w:spacing w:after="0" w:line="360" w:lineRule="auto"/>
              <w:rPr>
                <w:color w:val="000000"/>
                <w:lang w:val="en-US"/>
              </w:rPr>
            </w:pPr>
            <w:r>
              <w:rPr>
                <w:color w:val="000000"/>
                <w:lang w:val="en-US"/>
              </w:rPr>
              <w:t>0.579</w:t>
            </w:r>
          </w:p>
        </w:tc>
        <w:tc>
          <w:tcPr>
            <w:tcW w:w="0" w:type="auto"/>
            <w:tcBorders>
              <w:left w:val="nil"/>
              <w:right w:val="nil"/>
            </w:tcBorders>
          </w:tcPr>
          <w:p w14:paraId="327A9179" w14:textId="77777777" w:rsidR="005F104B" w:rsidRPr="00C9506C" w:rsidRDefault="005F104B" w:rsidP="007E28B9">
            <w:pPr>
              <w:spacing w:after="0" w:line="360" w:lineRule="auto"/>
              <w:rPr>
                <w:color w:val="000000"/>
                <w:lang w:val="en-US"/>
              </w:rPr>
            </w:pPr>
            <w:r>
              <w:rPr>
                <w:color w:val="000000"/>
                <w:lang w:val="en-US"/>
              </w:rPr>
              <w:t>0.231</w:t>
            </w:r>
          </w:p>
        </w:tc>
      </w:tr>
      <w:tr w:rsidR="005F104B" w:rsidRPr="00C9506C" w14:paraId="01A162A8" w14:textId="77777777" w:rsidTr="007E28B9">
        <w:tc>
          <w:tcPr>
            <w:tcW w:w="0" w:type="auto"/>
            <w:tcBorders>
              <w:left w:val="nil"/>
              <w:right w:val="nil"/>
            </w:tcBorders>
            <w:shd w:val="clear" w:color="auto" w:fill="auto"/>
          </w:tcPr>
          <w:p w14:paraId="5A87A7D8" w14:textId="77777777" w:rsidR="005F104B" w:rsidRPr="00C9506C" w:rsidRDefault="005F104B" w:rsidP="007E28B9">
            <w:pPr>
              <w:spacing w:after="0" w:line="360" w:lineRule="auto"/>
              <w:rPr>
                <w:b/>
                <w:bCs/>
                <w:color w:val="000000"/>
                <w:vertAlign w:val="superscript"/>
                <w:lang w:val="en-US"/>
              </w:rPr>
            </w:pPr>
            <w:r w:rsidRPr="00C9506C">
              <w:rPr>
                <w:b/>
                <w:bCs/>
                <w:lang w:val="en-US"/>
              </w:rPr>
              <w:t>Mean number of non-pharmacological</w:t>
            </w:r>
            <w:r>
              <w:rPr>
                <w:b/>
                <w:bCs/>
                <w:lang w:val="en-US"/>
              </w:rPr>
              <w:t xml:space="preserve"> interventions received during follow-up (SE)</w:t>
            </w:r>
            <w:r>
              <w:rPr>
                <w:b/>
                <w:bCs/>
                <w:vertAlign w:val="superscript"/>
                <w:lang w:val="en-US"/>
              </w:rPr>
              <w:t>$</w:t>
            </w:r>
          </w:p>
        </w:tc>
        <w:tc>
          <w:tcPr>
            <w:tcW w:w="0" w:type="auto"/>
            <w:tcBorders>
              <w:left w:val="nil"/>
              <w:right w:val="nil"/>
            </w:tcBorders>
            <w:shd w:val="clear" w:color="auto" w:fill="auto"/>
          </w:tcPr>
          <w:p w14:paraId="213EEEC6" w14:textId="77777777" w:rsidR="005F104B" w:rsidRPr="00C9506C" w:rsidRDefault="005F104B" w:rsidP="007E28B9">
            <w:pPr>
              <w:spacing w:after="0" w:line="360" w:lineRule="auto"/>
              <w:rPr>
                <w:color w:val="000000"/>
                <w:lang w:val="en-US"/>
              </w:rPr>
            </w:pPr>
            <w:r>
              <w:rPr>
                <w:bCs/>
                <w:lang w:val="en-US"/>
              </w:rPr>
              <w:t>1,05 (0.10)</w:t>
            </w:r>
          </w:p>
        </w:tc>
        <w:tc>
          <w:tcPr>
            <w:tcW w:w="0" w:type="auto"/>
            <w:tcBorders>
              <w:left w:val="nil"/>
              <w:right w:val="nil"/>
            </w:tcBorders>
            <w:shd w:val="clear" w:color="auto" w:fill="auto"/>
          </w:tcPr>
          <w:p w14:paraId="065AEB97" w14:textId="77777777" w:rsidR="005F104B" w:rsidRPr="00C9506C" w:rsidRDefault="005F104B" w:rsidP="007E28B9">
            <w:pPr>
              <w:spacing w:after="0" w:line="360" w:lineRule="auto"/>
              <w:rPr>
                <w:color w:val="000000"/>
                <w:lang w:val="en-US"/>
              </w:rPr>
            </w:pPr>
            <w:r>
              <w:rPr>
                <w:bCs/>
                <w:lang w:val="en-US"/>
              </w:rPr>
              <w:t>1,40 (0.09)</w:t>
            </w:r>
          </w:p>
        </w:tc>
        <w:tc>
          <w:tcPr>
            <w:tcW w:w="0" w:type="auto"/>
            <w:tcBorders>
              <w:left w:val="nil"/>
              <w:right w:val="nil"/>
            </w:tcBorders>
          </w:tcPr>
          <w:p w14:paraId="690CA22C" w14:textId="77777777" w:rsidR="005F104B" w:rsidRPr="00C9506C" w:rsidRDefault="005F104B" w:rsidP="007E28B9">
            <w:pPr>
              <w:spacing w:after="0" w:line="360" w:lineRule="auto"/>
              <w:rPr>
                <w:bCs/>
                <w:lang w:val="en-US"/>
              </w:rPr>
            </w:pPr>
            <w:r>
              <w:rPr>
                <w:bCs/>
                <w:lang w:val="en-US"/>
              </w:rPr>
              <w:t>0.009</w:t>
            </w:r>
          </w:p>
        </w:tc>
        <w:tc>
          <w:tcPr>
            <w:tcW w:w="0" w:type="auto"/>
            <w:tcBorders>
              <w:left w:val="nil"/>
              <w:right w:val="nil"/>
            </w:tcBorders>
          </w:tcPr>
          <w:p w14:paraId="24B6532B" w14:textId="77777777" w:rsidR="005F104B" w:rsidRPr="00C9506C" w:rsidRDefault="005F104B" w:rsidP="007E28B9">
            <w:pPr>
              <w:spacing w:after="0" w:line="360" w:lineRule="auto"/>
              <w:rPr>
                <w:bCs/>
                <w:lang w:val="en-US"/>
              </w:rPr>
            </w:pPr>
            <w:r>
              <w:rPr>
                <w:bCs/>
                <w:lang w:val="en-US"/>
              </w:rPr>
              <w:t>n.a.</w:t>
            </w:r>
          </w:p>
        </w:tc>
      </w:tr>
      <w:tr w:rsidR="005F104B" w:rsidRPr="00C9506C" w14:paraId="490CCC4E" w14:textId="77777777" w:rsidTr="007E28B9">
        <w:tc>
          <w:tcPr>
            <w:tcW w:w="0" w:type="auto"/>
            <w:tcBorders>
              <w:left w:val="nil"/>
              <w:right w:val="nil"/>
            </w:tcBorders>
            <w:shd w:val="clear" w:color="auto" w:fill="auto"/>
          </w:tcPr>
          <w:p w14:paraId="275265D4" w14:textId="77777777" w:rsidR="005F104B" w:rsidRPr="00C9506C" w:rsidRDefault="005F104B" w:rsidP="007E28B9">
            <w:pPr>
              <w:spacing w:after="0" w:line="360" w:lineRule="auto"/>
              <w:rPr>
                <w:b/>
                <w:bCs/>
                <w:color w:val="000000"/>
                <w:vertAlign w:val="superscript"/>
                <w:lang w:val="en-US"/>
              </w:rPr>
            </w:pPr>
            <w:r w:rsidRPr="00C9506C">
              <w:rPr>
                <w:b/>
                <w:bCs/>
                <w:lang w:val="en-US"/>
              </w:rPr>
              <w:t>Mean number of follow-up visits in primary care (SE)</w:t>
            </w:r>
            <w:r>
              <w:rPr>
                <w:vertAlign w:val="superscript"/>
                <w:lang w:val="en-US"/>
              </w:rPr>
              <w:t>$</w:t>
            </w:r>
          </w:p>
        </w:tc>
        <w:tc>
          <w:tcPr>
            <w:tcW w:w="0" w:type="auto"/>
            <w:tcBorders>
              <w:left w:val="nil"/>
              <w:right w:val="nil"/>
            </w:tcBorders>
            <w:shd w:val="clear" w:color="auto" w:fill="auto"/>
          </w:tcPr>
          <w:p w14:paraId="1F194299" w14:textId="77777777" w:rsidR="005F104B" w:rsidRPr="00C9506C" w:rsidRDefault="005F104B" w:rsidP="007E28B9">
            <w:pPr>
              <w:spacing w:after="0" w:line="360" w:lineRule="auto"/>
              <w:rPr>
                <w:color w:val="000000"/>
                <w:lang w:val="en-US"/>
              </w:rPr>
            </w:pPr>
            <w:r w:rsidRPr="00C9506C">
              <w:rPr>
                <w:lang w:val="en-US"/>
              </w:rPr>
              <w:t>5.26 (0.52)</w:t>
            </w:r>
          </w:p>
        </w:tc>
        <w:tc>
          <w:tcPr>
            <w:tcW w:w="0" w:type="auto"/>
            <w:tcBorders>
              <w:left w:val="nil"/>
              <w:right w:val="nil"/>
            </w:tcBorders>
            <w:shd w:val="clear" w:color="auto" w:fill="auto"/>
          </w:tcPr>
          <w:p w14:paraId="271C98A0" w14:textId="77777777" w:rsidR="005F104B" w:rsidRPr="00C9506C" w:rsidRDefault="005F104B" w:rsidP="007E28B9">
            <w:pPr>
              <w:spacing w:after="0" w:line="360" w:lineRule="auto"/>
              <w:rPr>
                <w:color w:val="000000"/>
                <w:lang w:val="en-US"/>
              </w:rPr>
            </w:pPr>
            <w:r w:rsidRPr="00C9506C">
              <w:rPr>
                <w:color w:val="000000"/>
                <w:lang w:val="en-US"/>
              </w:rPr>
              <w:t>4.90 (0.45)</w:t>
            </w:r>
          </w:p>
        </w:tc>
        <w:tc>
          <w:tcPr>
            <w:tcW w:w="0" w:type="auto"/>
            <w:tcBorders>
              <w:left w:val="nil"/>
              <w:right w:val="nil"/>
            </w:tcBorders>
          </w:tcPr>
          <w:p w14:paraId="0F17F454" w14:textId="77777777" w:rsidR="005F104B" w:rsidRPr="00C9506C" w:rsidRDefault="005F104B" w:rsidP="007E28B9">
            <w:pPr>
              <w:spacing w:after="0" w:line="360" w:lineRule="auto"/>
              <w:rPr>
                <w:color w:val="000000"/>
                <w:lang w:val="en-US"/>
              </w:rPr>
            </w:pPr>
            <w:r>
              <w:rPr>
                <w:color w:val="000000"/>
                <w:lang w:val="en-US"/>
              </w:rPr>
              <w:t>0.621</w:t>
            </w:r>
          </w:p>
        </w:tc>
        <w:tc>
          <w:tcPr>
            <w:tcW w:w="0" w:type="auto"/>
            <w:tcBorders>
              <w:left w:val="nil"/>
              <w:right w:val="nil"/>
            </w:tcBorders>
          </w:tcPr>
          <w:p w14:paraId="2504ED35" w14:textId="77777777" w:rsidR="005F104B" w:rsidRPr="00C9506C" w:rsidRDefault="005F104B" w:rsidP="007E28B9">
            <w:pPr>
              <w:spacing w:after="0" w:line="360" w:lineRule="auto"/>
              <w:rPr>
                <w:color w:val="000000"/>
                <w:lang w:val="en-US"/>
              </w:rPr>
            </w:pPr>
            <w:r>
              <w:rPr>
                <w:color w:val="000000"/>
                <w:lang w:val="en-US"/>
              </w:rPr>
              <w:t>n.a.</w:t>
            </w:r>
          </w:p>
        </w:tc>
      </w:tr>
      <w:tr w:rsidR="005F104B" w:rsidRPr="000900F5" w14:paraId="44F4E93C" w14:textId="77777777" w:rsidTr="007E28B9">
        <w:tc>
          <w:tcPr>
            <w:tcW w:w="0" w:type="auto"/>
            <w:tcBorders>
              <w:left w:val="nil"/>
              <w:right w:val="nil"/>
            </w:tcBorders>
            <w:shd w:val="clear" w:color="auto" w:fill="auto"/>
          </w:tcPr>
          <w:p w14:paraId="0B069775" w14:textId="77777777" w:rsidR="005F104B" w:rsidRPr="00C9506C" w:rsidRDefault="005F104B" w:rsidP="007E28B9">
            <w:pPr>
              <w:spacing w:after="0" w:line="360" w:lineRule="auto"/>
              <w:rPr>
                <w:b/>
                <w:bCs/>
                <w:color w:val="000000"/>
                <w:lang w:val="en-US"/>
              </w:rPr>
            </w:pPr>
            <w:r w:rsidRPr="00C9506C">
              <w:rPr>
                <w:b/>
                <w:bCs/>
                <w:lang w:val="en-US"/>
              </w:rPr>
              <w:t>Non-pharmacological interventions received, % (n)</w:t>
            </w:r>
            <w:r w:rsidRPr="00C9506C">
              <w:rPr>
                <w:b/>
                <w:bCs/>
                <w:vertAlign w:val="superscript"/>
                <w:lang w:val="en-US"/>
              </w:rPr>
              <w:t>$</w:t>
            </w:r>
          </w:p>
        </w:tc>
        <w:tc>
          <w:tcPr>
            <w:tcW w:w="0" w:type="auto"/>
            <w:tcBorders>
              <w:left w:val="nil"/>
              <w:right w:val="nil"/>
            </w:tcBorders>
            <w:shd w:val="clear" w:color="auto" w:fill="auto"/>
          </w:tcPr>
          <w:p w14:paraId="16ED0779" w14:textId="77777777" w:rsidR="005F104B" w:rsidRPr="00C9506C" w:rsidRDefault="005F104B" w:rsidP="007E28B9">
            <w:pPr>
              <w:spacing w:after="0" w:line="360" w:lineRule="auto"/>
              <w:rPr>
                <w:color w:val="000000"/>
                <w:lang w:val="en-US"/>
              </w:rPr>
            </w:pPr>
          </w:p>
        </w:tc>
        <w:tc>
          <w:tcPr>
            <w:tcW w:w="0" w:type="auto"/>
            <w:tcBorders>
              <w:left w:val="nil"/>
              <w:right w:val="nil"/>
            </w:tcBorders>
            <w:shd w:val="clear" w:color="auto" w:fill="auto"/>
          </w:tcPr>
          <w:p w14:paraId="1E4467A1" w14:textId="77777777" w:rsidR="005F104B" w:rsidRPr="00C9506C" w:rsidRDefault="005F104B" w:rsidP="007E28B9">
            <w:pPr>
              <w:spacing w:after="0" w:line="360" w:lineRule="auto"/>
              <w:rPr>
                <w:color w:val="000000"/>
                <w:lang w:val="en-US"/>
              </w:rPr>
            </w:pPr>
          </w:p>
        </w:tc>
        <w:tc>
          <w:tcPr>
            <w:tcW w:w="0" w:type="auto"/>
            <w:tcBorders>
              <w:left w:val="nil"/>
              <w:right w:val="nil"/>
            </w:tcBorders>
          </w:tcPr>
          <w:p w14:paraId="41484795" w14:textId="77777777" w:rsidR="005F104B" w:rsidRPr="00C9506C" w:rsidRDefault="005F104B" w:rsidP="007E28B9">
            <w:pPr>
              <w:spacing w:after="0" w:line="360" w:lineRule="auto"/>
              <w:rPr>
                <w:color w:val="000000"/>
                <w:lang w:val="en-US"/>
              </w:rPr>
            </w:pPr>
          </w:p>
        </w:tc>
        <w:tc>
          <w:tcPr>
            <w:tcW w:w="0" w:type="auto"/>
            <w:tcBorders>
              <w:left w:val="nil"/>
              <w:right w:val="nil"/>
            </w:tcBorders>
          </w:tcPr>
          <w:p w14:paraId="0CEEEC89" w14:textId="77777777" w:rsidR="005F104B" w:rsidRPr="00C9506C" w:rsidRDefault="005F104B" w:rsidP="007E28B9">
            <w:pPr>
              <w:spacing w:after="0" w:line="360" w:lineRule="auto"/>
              <w:rPr>
                <w:color w:val="000000"/>
                <w:lang w:val="en-US"/>
              </w:rPr>
            </w:pPr>
          </w:p>
        </w:tc>
      </w:tr>
    </w:tbl>
    <w:p w14:paraId="27030303" w14:textId="77777777" w:rsidR="005F104B" w:rsidRPr="00464E67" w:rsidRDefault="005F104B" w:rsidP="004F3E5A">
      <w:pPr>
        <w:jc w:val="both"/>
        <w:rPr>
          <w:rFonts w:ascii="Times New Roman" w:hAnsi="Times New Roman" w:cs="Times New Roman"/>
          <w:lang w:val="en-US"/>
        </w:rPr>
      </w:pPr>
    </w:p>
    <w:p w14:paraId="5A329F62" w14:textId="77777777" w:rsidR="00F51D8E" w:rsidRPr="00C9506C" w:rsidRDefault="00F51D8E" w:rsidP="00F51D8E">
      <w:pPr>
        <w:rPr>
          <w:lang w:val="en-US"/>
        </w:rPr>
      </w:pPr>
      <w:r w:rsidRPr="00C9506C">
        <w:rPr>
          <w:lang w:val="en-US"/>
        </w:rPr>
        <w:lastRenderedPageBreak/>
        <w:t xml:space="preserve">Table </w:t>
      </w:r>
      <w:r>
        <w:rPr>
          <w:lang w:val="en-US"/>
        </w:rPr>
        <w:t>3</w:t>
      </w:r>
      <w:r w:rsidRPr="00C9506C">
        <w:rPr>
          <w:lang w:val="en-US"/>
        </w:rPr>
        <w:t xml:space="preserve">. Antidepressants incremental cost-utility ratios at 6 and 12-month follow-up for the main and sensitivity analyses*  </w:t>
      </w:r>
    </w:p>
    <w:tbl>
      <w:tblPr>
        <w:tblStyle w:val="TableGrid"/>
        <w:tblW w:w="14283"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3369"/>
        <w:gridCol w:w="1734"/>
        <w:gridCol w:w="1843"/>
        <w:gridCol w:w="1533"/>
        <w:gridCol w:w="2335"/>
        <w:gridCol w:w="1802"/>
        <w:gridCol w:w="1667"/>
      </w:tblGrid>
      <w:tr w:rsidR="00F51D8E" w:rsidRPr="0037024D" w14:paraId="2A5D367D" w14:textId="77777777" w:rsidTr="007E28B9">
        <w:trPr>
          <w:trHeight w:val="765"/>
        </w:trPr>
        <w:tc>
          <w:tcPr>
            <w:tcW w:w="3369" w:type="dxa"/>
            <w:noWrap/>
            <w:hideMark/>
          </w:tcPr>
          <w:p w14:paraId="6319683D" w14:textId="77777777" w:rsidR="00F51D8E" w:rsidRPr="0037024D" w:rsidRDefault="00F51D8E" w:rsidP="007E28B9">
            <w:pPr>
              <w:spacing w:line="360" w:lineRule="auto"/>
              <w:rPr>
                <w:rFonts w:eastAsia="Times New Roman" w:cs="Calibri"/>
                <w:lang w:val="en-US"/>
              </w:rPr>
            </w:pPr>
          </w:p>
        </w:tc>
        <w:tc>
          <w:tcPr>
            <w:tcW w:w="1734" w:type="dxa"/>
            <w:hideMark/>
          </w:tcPr>
          <w:p w14:paraId="60C0CCBE" w14:textId="77777777" w:rsidR="00F51D8E" w:rsidRPr="0037024D" w:rsidRDefault="00F51D8E" w:rsidP="007E28B9">
            <w:pPr>
              <w:spacing w:line="360" w:lineRule="auto"/>
              <w:rPr>
                <w:rFonts w:eastAsia="Times New Roman" w:cs="Calibri"/>
                <w:lang w:val="en-US"/>
              </w:rPr>
            </w:pPr>
            <w:r w:rsidRPr="0037024D">
              <w:rPr>
                <w:rFonts w:eastAsia="Times New Roman" w:cs="Calibri"/>
                <w:lang w:val="en-US"/>
              </w:rPr>
              <w:t>Cost difference € (95% CI)</w:t>
            </w:r>
          </w:p>
        </w:tc>
        <w:tc>
          <w:tcPr>
            <w:tcW w:w="1843" w:type="dxa"/>
            <w:hideMark/>
          </w:tcPr>
          <w:p w14:paraId="5F7B7408" w14:textId="77777777" w:rsidR="00F51D8E" w:rsidRPr="0037024D" w:rsidRDefault="00F51D8E" w:rsidP="007E28B9">
            <w:pPr>
              <w:spacing w:line="360" w:lineRule="auto"/>
              <w:rPr>
                <w:rFonts w:eastAsia="Times New Roman" w:cs="Calibri"/>
                <w:lang w:val="en-US"/>
              </w:rPr>
            </w:pPr>
            <w:r w:rsidRPr="0037024D">
              <w:rPr>
                <w:rFonts w:eastAsia="Times New Roman" w:cs="Calibri"/>
                <w:lang w:val="en-US"/>
              </w:rPr>
              <w:t>Difference in QALY (95% CI)</w:t>
            </w:r>
          </w:p>
        </w:tc>
        <w:tc>
          <w:tcPr>
            <w:tcW w:w="1533" w:type="dxa"/>
          </w:tcPr>
          <w:p w14:paraId="1E1F3D09" w14:textId="77777777" w:rsidR="00F51D8E" w:rsidRPr="0037024D" w:rsidRDefault="00F51D8E" w:rsidP="007E28B9">
            <w:pPr>
              <w:spacing w:line="360" w:lineRule="auto"/>
              <w:rPr>
                <w:rFonts w:eastAsia="Times New Roman" w:cs="Calibri"/>
                <w:lang w:val="en-US"/>
              </w:rPr>
            </w:pPr>
            <w:r w:rsidRPr="0037024D">
              <w:rPr>
                <w:rFonts w:eastAsia="Times New Roman" w:cs="Calibri"/>
                <w:lang w:val="en-US"/>
              </w:rPr>
              <w:t>ICUR (€/QALY)</w:t>
            </w:r>
          </w:p>
        </w:tc>
        <w:tc>
          <w:tcPr>
            <w:tcW w:w="2335" w:type="dxa"/>
          </w:tcPr>
          <w:p w14:paraId="2F754BDA" w14:textId="77777777" w:rsidR="00F51D8E" w:rsidRPr="0037024D" w:rsidRDefault="00F51D8E" w:rsidP="007E28B9">
            <w:pPr>
              <w:spacing w:line="360" w:lineRule="auto"/>
              <w:rPr>
                <w:rFonts w:eastAsia="Times New Roman" w:cs="Calibri"/>
                <w:lang w:val="en-US"/>
              </w:rPr>
            </w:pPr>
            <w:r w:rsidRPr="0037024D">
              <w:rPr>
                <w:rFonts w:eastAsia="Times New Roman" w:cs="Calibri"/>
                <w:lang w:val="en-US"/>
              </w:rPr>
              <w:t xml:space="preserve">Cost difference € </w:t>
            </w:r>
          </w:p>
          <w:p w14:paraId="41EBABE8" w14:textId="77777777" w:rsidR="00F51D8E" w:rsidRPr="0037024D" w:rsidRDefault="00F51D8E" w:rsidP="007E28B9">
            <w:pPr>
              <w:spacing w:line="360" w:lineRule="auto"/>
              <w:rPr>
                <w:rFonts w:eastAsia="Times New Roman" w:cs="Calibri"/>
                <w:lang w:val="en-US"/>
              </w:rPr>
            </w:pPr>
            <w:r w:rsidRPr="0037024D">
              <w:rPr>
                <w:rFonts w:eastAsia="Times New Roman" w:cs="Calibri"/>
                <w:lang w:val="en-US"/>
              </w:rPr>
              <w:t>(95% CI)</w:t>
            </w:r>
          </w:p>
        </w:tc>
        <w:tc>
          <w:tcPr>
            <w:tcW w:w="1802" w:type="dxa"/>
          </w:tcPr>
          <w:p w14:paraId="092EC897" w14:textId="77777777" w:rsidR="00F51D8E" w:rsidRPr="0037024D" w:rsidRDefault="00F51D8E" w:rsidP="007E28B9">
            <w:pPr>
              <w:spacing w:line="360" w:lineRule="auto"/>
              <w:rPr>
                <w:rFonts w:eastAsia="Times New Roman" w:cs="Calibri"/>
                <w:lang w:val="en-US"/>
              </w:rPr>
            </w:pPr>
            <w:r w:rsidRPr="0037024D">
              <w:rPr>
                <w:rFonts w:eastAsia="Times New Roman" w:cs="Calibri"/>
                <w:lang w:val="en-US"/>
              </w:rPr>
              <w:t>Difference in QALY (95% CI)</w:t>
            </w:r>
          </w:p>
        </w:tc>
        <w:tc>
          <w:tcPr>
            <w:tcW w:w="1667" w:type="dxa"/>
          </w:tcPr>
          <w:p w14:paraId="62D1EC25" w14:textId="77777777" w:rsidR="00F51D8E" w:rsidRPr="0037024D" w:rsidRDefault="00F51D8E" w:rsidP="007E28B9">
            <w:pPr>
              <w:spacing w:line="360" w:lineRule="auto"/>
              <w:rPr>
                <w:rFonts w:eastAsia="Times New Roman" w:cs="Calibri"/>
                <w:lang w:val="en-US"/>
              </w:rPr>
            </w:pPr>
            <w:r w:rsidRPr="0037024D">
              <w:rPr>
                <w:rFonts w:eastAsia="Times New Roman" w:cs="Calibri"/>
                <w:lang w:val="en-US"/>
              </w:rPr>
              <w:t>ICUR (€/QALY)</w:t>
            </w:r>
          </w:p>
        </w:tc>
      </w:tr>
      <w:tr w:rsidR="00F51D8E" w:rsidRPr="0037024D" w14:paraId="660C52DC" w14:textId="77777777" w:rsidTr="007E28B9">
        <w:trPr>
          <w:trHeight w:val="255"/>
        </w:trPr>
        <w:tc>
          <w:tcPr>
            <w:tcW w:w="3369" w:type="dxa"/>
            <w:tcBorders>
              <w:bottom w:val="single" w:sz="4" w:space="0" w:color="auto"/>
            </w:tcBorders>
            <w:noWrap/>
            <w:hideMark/>
          </w:tcPr>
          <w:p w14:paraId="5500143A" w14:textId="77777777" w:rsidR="00F51D8E" w:rsidRPr="0037024D" w:rsidRDefault="00F51D8E" w:rsidP="007E28B9">
            <w:pPr>
              <w:spacing w:line="360" w:lineRule="auto"/>
              <w:rPr>
                <w:rFonts w:eastAsia="Times New Roman" w:cs="Calibri"/>
                <w:b/>
                <w:lang w:val="en-US"/>
              </w:rPr>
            </w:pPr>
          </w:p>
        </w:tc>
        <w:tc>
          <w:tcPr>
            <w:tcW w:w="1734" w:type="dxa"/>
            <w:tcBorders>
              <w:bottom w:val="single" w:sz="4" w:space="0" w:color="auto"/>
            </w:tcBorders>
            <w:hideMark/>
          </w:tcPr>
          <w:p w14:paraId="7F14E576" w14:textId="77777777" w:rsidR="00F51D8E" w:rsidRPr="0037024D" w:rsidRDefault="00F51D8E" w:rsidP="007E28B9">
            <w:pPr>
              <w:spacing w:line="360" w:lineRule="auto"/>
              <w:rPr>
                <w:rFonts w:eastAsia="Times New Roman" w:cs="Calibri"/>
                <w:b/>
                <w:lang w:val="en-US"/>
              </w:rPr>
            </w:pPr>
            <w:r w:rsidRPr="0037024D">
              <w:rPr>
                <w:rFonts w:eastAsia="Times New Roman" w:cs="Calibri"/>
                <w:b/>
                <w:lang w:val="en-US"/>
              </w:rPr>
              <w:t>6-month follow-up</w:t>
            </w:r>
          </w:p>
        </w:tc>
        <w:tc>
          <w:tcPr>
            <w:tcW w:w="1843" w:type="dxa"/>
            <w:tcBorders>
              <w:bottom w:val="single" w:sz="4" w:space="0" w:color="auto"/>
            </w:tcBorders>
            <w:hideMark/>
          </w:tcPr>
          <w:p w14:paraId="5FB3CB63" w14:textId="77777777" w:rsidR="00F51D8E" w:rsidRPr="0037024D" w:rsidRDefault="00F51D8E" w:rsidP="007E28B9">
            <w:pPr>
              <w:spacing w:line="360" w:lineRule="auto"/>
              <w:rPr>
                <w:rFonts w:eastAsia="Times New Roman" w:cs="Calibri"/>
                <w:b/>
                <w:lang w:val="en-US"/>
              </w:rPr>
            </w:pPr>
          </w:p>
        </w:tc>
        <w:tc>
          <w:tcPr>
            <w:tcW w:w="1533" w:type="dxa"/>
            <w:tcBorders>
              <w:bottom w:val="single" w:sz="4" w:space="0" w:color="auto"/>
            </w:tcBorders>
          </w:tcPr>
          <w:p w14:paraId="0F8E87FC" w14:textId="77777777" w:rsidR="00F51D8E" w:rsidRPr="0037024D" w:rsidRDefault="00F51D8E" w:rsidP="007E28B9">
            <w:pPr>
              <w:spacing w:line="360" w:lineRule="auto"/>
              <w:rPr>
                <w:rFonts w:eastAsia="Times New Roman" w:cs="Calibri"/>
                <w:b/>
                <w:lang w:val="en-US"/>
              </w:rPr>
            </w:pPr>
          </w:p>
        </w:tc>
        <w:tc>
          <w:tcPr>
            <w:tcW w:w="2335" w:type="dxa"/>
            <w:tcBorders>
              <w:bottom w:val="single" w:sz="4" w:space="0" w:color="auto"/>
            </w:tcBorders>
          </w:tcPr>
          <w:p w14:paraId="6A037B0D" w14:textId="77777777" w:rsidR="00F51D8E" w:rsidRPr="0037024D" w:rsidRDefault="00F51D8E" w:rsidP="007E28B9">
            <w:pPr>
              <w:spacing w:line="360" w:lineRule="auto"/>
              <w:rPr>
                <w:rFonts w:eastAsia="Times New Roman" w:cs="Calibri"/>
                <w:b/>
                <w:lang w:val="en-US"/>
              </w:rPr>
            </w:pPr>
            <w:r w:rsidRPr="0037024D">
              <w:rPr>
                <w:rFonts w:eastAsia="Times New Roman" w:cs="Calibri"/>
                <w:b/>
                <w:lang w:val="en-US"/>
              </w:rPr>
              <w:t>12-month follow-up</w:t>
            </w:r>
          </w:p>
        </w:tc>
        <w:tc>
          <w:tcPr>
            <w:tcW w:w="1802" w:type="dxa"/>
            <w:tcBorders>
              <w:bottom w:val="single" w:sz="4" w:space="0" w:color="auto"/>
            </w:tcBorders>
          </w:tcPr>
          <w:p w14:paraId="22949DE2" w14:textId="77777777" w:rsidR="00F51D8E" w:rsidRPr="0037024D" w:rsidRDefault="00F51D8E" w:rsidP="007E28B9">
            <w:pPr>
              <w:spacing w:line="360" w:lineRule="auto"/>
              <w:rPr>
                <w:rFonts w:eastAsia="Times New Roman" w:cs="Calibri"/>
                <w:b/>
                <w:lang w:val="en-US"/>
              </w:rPr>
            </w:pPr>
          </w:p>
        </w:tc>
        <w:tc>
          <w:tcPr>
            <w:tcW w:w="1667" w:type="dxa"/>
            <w:tcBorders>
              <w:bottom w:val="single" w:sz="4" w:space="0" w:color="auto"/>
            </w:tcBorders>
          </w:tcPr>
          <w:p w14:paraId="3A7999C1" w14:textId="77777777" w:rsidR="00F51D8E" w:rsidRPr="0037024D" w:rsidRDefault="00F51D8E" w:rsidP="007E28B9">
            <w:pPr>
              <w:spacing w:line="360" w:lineRule="auto"/>
              <w:rPr>
                <w:rFonts w:eastAsia="Times New Roman" w:cs="Calibri"/>
                <w:b/>
                <w:lang w:val="en-US"/>
              </w:rPr>
            </w:pPr>
          </w:p>
        </w:tc>
      </w:tr>
      <w:tr w:rsidR="00F51D8E" w:rsidRPr="0037024D" w14:paraId="65ABCC66" w14:textId="77777777" w:rsidTr="007E28B9">
        <w:trPr>
          <w:trHeight w:val="255"/>
        </w:trPr>
        <w:tc>
          <w:tcPr>
            <w:tcW w:w="3369" w:type="dxa"/>
            <w:tcBorders>
              <w:bottom w:val="nil"/>
            </w:tcBorders>
            <w:noWrap/>
          </w:tcPr>
          <w:p w14:paraId="01D3A249" w14:textId="77777777" w:rsidR="00F51D8E" w:rsidRPr="0037024D" w:rsidRDefault="00F51D8E" w:rsidP="007E28B9">
            <w:pPr>
              <w:spacing w:line="360" w:lineRule="auto"/>
              <w:rPr>
                <w:rFonts w:eastAsia="Times New Roman" w:cs="Calibri"/>
                <w:b/>
                <w:lang w:val="en-US"/>
              </w:rPr>
            </w:pPr>
            <w:r w:rsidRPr="0037024D">
              <w:rPr>
                <w:rFonts w:eastAsia="Times New Roman" w:cs="Calibri"/>
                <w:b/>
                <w:lang w:val="en-US"/>
              </w:rPr>
              <w:t>Main analysis (ITT)</w:t>
            </w:r>
          </w:p>
        </w:tc>
        <w:tc>
          <w:tcPr>
            <w:tcW w:w="1734" w:type="dxa"/>
            <w:tcBorders>
              <w:bottom w:val="nil"/>
            </w:tcBorders>
            <w:noWrap/>
          </w:tcPr>
          <w:p w14:paraId="2F056E43" w14:textId="77777777" w:rsidR="00F51D8E" w:rsidRPr="0037024D" w:rsidRDefault="00F51D8E" w:rsidP="007E28B9">
            <w:pPr>
              <w:spacing w:line="360" w:lineRule="auto"/>
              <w:rPr>
                <w:rFonts w:eastAsia="Times New Roman" w:cs="Calibri"/>
                <w:lang w:val="en-US"/>
              </w:rPr>
            </w:pPr>
          </w:p>
        </w:tc>
        <w:tc>
          <w:tcPr>
            <w:tcW w:w="1843" w:type="dxa"/>
            <w:tcBorders>
              <w:bottom w:val="nil"/>
            </w:tcBorders>
            <w:noWrap/>
          </w:tcPr>
          <w:p w14:paraId="7E63CC77" w14:textId="77777777" w:rsidR="00F51D8E" w:rsidRPr="0037024D" w:rsidRDefault="00F51D8E" w:rsidP="007E28B9">
            <w:pPr>
              <w:spacing w:line="360" w:lineRule="auto"/>
              <w:rPr>
                <w:rFonts w:eastAsia="Times New Roman" w:cs="Calibri"/>
                <w:lang w:val="en-US"/>
              </w:rPr>
            </w:pPr>
          </w:p>
        </w:tc>
        <w:tc>
          <w:tcPr>
            <w:tcW w:w="1533" w:type="dxa"/>
            <w:tcBorders>
              <w:bottom w:val="nil"/>
            </w:tcBorders>
          </w:tcPr>
          <w:p w14:paraId="55A7F70D" w14:textId="77777777" w:rsidR="00F51D8E" w:rsidRPr="0037024D" w:rsidRDefault="00F51D8E" w:rsidP="007E28B9">
            <w:pPr>
              <w:spacing w:line="360" w:lineRule="auto"/>
              <w:jc w:val="right"/>
              <w:rPr>
                <w:rFonts w:eastAsia="Times New Roman" w:cs="Calibri"/>
                <w:lang w:val="en-US"/>
              </w:rPr>
            </w:pPr>
          </w:p>
        </w:tc>
        <w:tc>
          <w:tcPr>
            <w:tcW w:w="2335" w:type="dxa"/>
            <w:tcBorders>
              <w:bottom w:val="nil"/>
            </w:tcBorders>
          </w:tcPr>
          <w:p w14:paraId="27BD9773" w14:textId="77777777" w:rsidR="00F51D8E" w:rsidRPr="0037024D" w:rsidRDefault="00F51D8E" w:rsidP="007E28B9">
            <w:pPr>
              <w:spacing w:line="360" w:lineRule="auto"/>
              <w:jc w:val="right"/>
              <w:rPr>
                <w:rFonts w:eastAsia="Times New Roman" w:cs="Calibri"/>
                <w:lang w:val="en-US"/>
              </w:rPr>
            </w:pPr>
          </w:p>
        </w:tc>
        <w:tc>
          <w:tcPr>
            <w:tcW w:w="1802" w:type="dxa"/>
            <w:tcBorders>
              <w:bottom w:val="nil"/>
            </w:tcBorders>
          </w:tcPr>
          <w:p w14:paraId="2F67D592" w14:textId="77777777" w:rsidR="00F51D8E" w:rsidRPr="0037024D" w:rsidRDefault="00F51D8E" w:rsidP="007E28B9">
            <w:pPr>
              <w:spacing w:line="360" w:lineRule="auto"/>
              <w:jc w:val="right"/>
              <w:rPr>
                <w:rFonts w:eastAsia="Times New Roman" w:cs="Calibri"/>
                <w:lang w:val="en-US"/>
              </w:rPr>
            </w:pPr>
          </w:p>
        </w:tc>
        <w:tc>
          <w:tcPr>
            <w:tcW w:w="1667" w:type="dxa"/>
            <w:tcBorders>
              <w:bottom w:val="nil"/>
            </w:tcBorders>
          </w:tcPr>
          <w:p w14:paraId="3D78FDC2" w14:textId="77777777" w:rsidR="00F51D8E" w:rsidRPr="0037024D" w:rsidRDefault="00F51D8E" w:rsidP="007E28B9">
            <w:pPr>
              <w:spacing w:line="360" w:lineRule="auto"/>
              <w:jc w:val="right"/>
              <w:rPr>
                <w:rFonts w:eastAsia="Times New Roman" w:cs="Calibri"/>
                <w:lang w:val="en-US"/>
              </w:rPr>
            </w:pPr>
          </w:p>
        </w:tc>
      </w:tr>
      <w:tr w:rsidR="00F51D8E" w:rsidRPr="0037024D" w14:paraId="06B349CC" w14:textId="77777777" w:rsidTr="007E28B9">
        <w:trPr>
          <w:trHeight w:val="255"/>
        </w:trPr>
        <w:tc>
          <w:tcPr>
            <w:tcW w:w="3369" w:type="dxa"/>
            <w:tcBorders>
              <w:top w:val="nil"/>
              <w:bottom w:val="nil"/>
            </w:tcBorders>
            <w:noWrap/>
            <w:hideMark/>
          </w:tcPr>
          <w:p w14:paraId="0ACD457E" w14:textId="77777777" w:rsidR="00F51D8E" w:rsidRPr="0037024D" w:rsidRDefault="00F51D8E" w:rsidP="007E28B9">
            <w:pPr>
              <w:spacing w:line="360" w:lineRule="auto"/>
              <w:rPr>
                <w:rFonts w:eastAsia="Times New Roman" w:cs="Calibri"/>
                <w:lang w:val="en-US"/>
              </w:rPr>
            </w:pPr>
            <w:r w:rsidRPr="0037024D">
              <w:rPr>
                <w:rFonts w:eastAsia="Times New Roman" w:cs="Calibri"/>
                <w:lang w:val="en-US"/>
              </w:rPr>
              <w:t>Healthcare perspective</w:t>
            </w:r>
          </w:p>
        </w:tc>
        <w:tc>
          <w:tcPr>
            <w:tcW w:w="1734" w:type="dxa"/>
            <w:tcBorders>
              <w:top w:val="nil"/>
              <w:bottom w:val="nil"/>
            </w:tcBorders>
            <w:noWrap/>
            <w:hideMark/>
          </w:tcPr>
          <w:p w14:paraId="7FEF9D7B" w14:textId="77777777" w:rsidR="00F51D8E" w:rsidRPr="0037024D" w:rsidRDefault="00F51D8E" w:rsidP="007E28B9">
            <w:pPr>
              <w:spacing w:line="360" w:lineRule="auto"/>
              <w:rPr>
                <w:rFonts w:eastAsia="Times New Roman" w:cs="Calibri"/>
                <w:lang w:val="en-US"/>
              </w:rPr>
            </w:pPr>
            <w:r w:rsidRPr="0037024D">
              <w:rPr>
                <w:rFonts w:eastAsia="Times New Roman" w:cs="Calibri"/>
                <w:lang w:val="en-US"/>
              </w:rPr>
              <w:t>27.6 (-102.0, 157.2)</w:t>
            </w:r>
          </w:p>
        </w:tc>
        <w:tc>
          <w:tcPr>
            <w:tcW w:w="1843" w:type="dxa"/>
            <w:tcBorders>
              <w:top w:val="nil"/>
              <w:bottom w:val="nil"/>
            </w:tcBorders>
            <w:noWrap/>
            <w:hideMark/>
          </w:tcPr>
          <w:p w14:paraId="2679660E" w14:textId="77777777" w:rsidR="00F51D8E" w:rsidRPr="0037024D" w:rsidRDefault="00F51D8E" w:rsidP="007E28B9">
            <w:pPr>
              <w:spacing w:line="360" w:lineRule="auto"/>
              <w:rPr>
                <w:rFonts w:eastAsia="Times New Roman" w:cs="Calibri"/>
                <w:lang w:val="en-US"/>
              </w:rPr>
            </w:pPr>
            <w:r w:rsidRPr="0037024D">
              <w:rPr>
                <w:rFonts w:eastAsia="Times New Roman" w:cs="Calibri"/>
                <w:lang w:val="en-US"/>
              </w:rPr>
              <w:t>0.01 (-0.01, 0.03)</w:t>
            </w:r>
          </w:p>
        </w:tc>
        <w:tc>
          <w:tcPr>
            <w:tcW w:w="1533" w:type="dxa"/>
            <w:tcBorders>
              <w:top w:val="nil"/>
              <w:bottom w:val="nil"/>
            </w:tcBorders>
          </w:tcPr>
          <w:p w14:paraId="1A4CEFFE" w14:textId="77777777" w:rsidR="00F51D8E" w:rsidRPr="0037024D" w:rsidRDefault="00F51D8E" w:rsidP="007E28B9">
            <w:pPr>
              <w:spacing w:line="360" w:lineRule="auto"/>
              <w:rPr>
                <w:rFonts w:eastAsia="Times New Roman" w:cs="Calibri"/>
                <w:lang w:val="en-US"/>
              </w:rPr>
            </w:pPr>
            <w:r w:rsidRPr="0037024D">
              <w:rPr>
                <w:rFonts w:eastAsia="Times New Roman" w:cs="Calibri"/>
                <w:lang w:val="en-US"/>
              </w:rPr>
              <w:t>2549 (-4616; 8413)</w:t>
            </w:r>
          </w:p>
        </w:tc>
        <w:tc>
          <w:tcPr>
            <w:tcW w:w="2335" w:type="dxa"/>
            <w:tcBorders>
              <w:top w:val="nil"/>
              <w:bottom w:val="nil"/>
            </w:tcBorders>
          </w:tcPr>
          <w:p w14:paraId="149FB300" w14:textId="77777777" w:rsidR="00F51D8E" w:rsidRPr="0037024D" w:rsidRDefault="00F51D8E" w:rsidP="007E28B9">
            <w:pPr>
              <w:spacing w:line="360" w:lineRule="auto"/>
              <w:rPr>
                <w:rFonts w:eastAsia="Times New Roman" w:cs="Calibri"/>
                <w:lang w:val="en-US"/>
              </w:rPr>
            </w:pPr>
            <w:r w:rsidRPr="0037024D">
              <w:rPr>
                <w:rFonts w:eastAsia="Times New Roman" w:cs="Calibri"/>
                <w:lang w:val="en-US"/>
              </w:rPr>
              <w:t>156 (-149, 461)</w:t>
            </w:r>
          </w:p>
        </w:tc>
        <w:tc>
          <w:tcPr>
            <w:tcW w:w="1802" w:type="dxa"/>
            <w:tcBorders>
              <w:top w:val="nil"/>
              <w:bottom w:val="nil"/>
            </w:tcBorders>
          </w:tcPr>
          <w:p w14:paraId="4DA2C4AA" w14:textId="77777777" w:rsidR="00F51D8E" w:rsidRPr="0037024D" w:rsidRDefault="00F51D8E" w:rsidP="007E28B9">
            <w:pPr>
              <w:spacing w:line="360" w:lineRule="auto"/>
              <w:rPr>
                <w:lang w:val="en-US"/>
              </w:rPr>
            </w:pPr>
            <w:r w:rsidRPr="0037024D">
              <w:rPr>
                <w:rFonts w:eastAsia="Times New Roman" w:cs="Calibri"/>
                <w:lang w:val="en-US"/>
              </w:rPr>
              <w:t>0.03 (-0.01, 0.06)</w:t>
            </w:r>
          </w:p>
        </w:tc>
        <w:tc>
          <w:tcPr>
            <w:tcW w:w="1667" w:type="dxa"/>
            <w:tcBorders>
              <w:top w:val="nil"/>
              <w:bottom w:val="nil"/>
            </w:tcBorders>
          </w:tcPr>
          <w:p w14:paraId="785F9A67" w14:textId="77777777" w:rsidR="00F51D8E" w:rsidRPr="0037024D" w:rsidRDefault="00F51D8E" w:rsidP="007E28B9">
            <w:pPr>
              <w:spacing w:line="360" w:lineRule="auto"/>
              <w:rPr>
                <w:rFonts w:eastAsia="Times New Roman" w:cs="Calibri"/>
                <w:lang w:val="en-US"/>
              </w:rPr>
            </w:pPr>
            <w:r w:rsidRPr="0037024D">
              <w:rPr>
                <w:rFonts w:eastAsia="Times New Roman" w:cs="Calibri"/>
                <w:lang w:val="en-US"/>
              </w:rPr>
              <w:t>6142 (-30117; 40286)</w:t>
            </w:r>
          </w:p>
        </w:tc>
      </w:tr>
      <w:tr w:rsidR="00F51D8E" w:rsidRPr="0037024D" w14:paraId="1B5835C9" w14:textId="77777777" w:rsidTr="007E28B9">
        <w:trPr>
          <w:trHeight w:val="255"/>
        </w:trPr>
        <w:tc>
          <w:tcPr>
            <w:tcW w:w="3369" w:type="dxa"/>
            <w:tcBorders>
              <w:top w:val="nil"/>
              <w:bottom w:val="nil"/>
            </w:tcBorders>
            <w:noWrap/>
            <w:hideMark/>
          </w:tcPr>
          <w:p w14:paraId="2722CBA3" w14:textId="77777777" w:rsidR="00F51D8E" w:rsidRPr="0037024D" w:rsidRDefault="00F51D8E" w:rsidP="007E28B9">
            <w:pPr>
              <w:spacing w:line="360" w:lineRule="auto"/>
              <w:rPr>
                <w:rFonts w:eastAsia="Times New Roman" w:cs="Calibri"/>
                <w:lang w:val="en-US"/>
              </w:rPr>
            </w:pPr>
            <w:r w:rsidRPr="0037024D">
              <w:rPr>
                <w:rFonts w:eastAsia="Times New Roman" w:cs="Calibri"/>
                <w:lang w:val="en-US"/>
              </w:rPr>
              <w:t>Government perspective</w:t>
            </w:r>
          </w:p>
        </w:tc>
        <w:tc>
          <w:tcPr>
            <w:tcW w:w="1734" w:type="dxa"/>
            <w:tcBorders>
              <w:top w:val="nil"/>
              <w:bottom w:val="nil"/>
            </w:tcBorders>
            <w:noWrap/>
            <w:hideMark/>
          </w:tcPr>
          <w:p w14:paraId="7CEAEC5A" w14:textId="77777777" w:rsidR="00F51D8E" w:rsidRPr="0037024D" w:rsidRDefault="00F51D8E" w:rsidP="007E28B9">
            <w:pPr>
              <w:spacing w:line="360" w:lineRule="auto"/>
              <w:rPr>
                <w:rFonts w:eastAsia="Times New Roman" w:cs="Calibri"/>
                <w:lang w:val="en-US"/>
              </w:rPr>
            </w:pPr>
            <w:r w:rsidRPr="0037024D">
              <w:rPr>
                <w:rFonts w:eastAsia="Times New Roman" w:cs="Calibri"/>
                <w:lang w:val="en-US"/>
              </w:rPr>
              <w:t>23.6 (-289.4, 336.5)</w:t>
            </w:r>
          </w:p>
        </w:tc>
        <w:tc>
          <w:tcPr>
            <w:tcW w:w="1843" w:type="dxa"/>
            <w:tcBorders>
              <w:top w:val="nil"/>
              <w:bottom w:val="nil"/>
            </w:tcBorders>
            <w:noWrap/>
            <w:hideMark/>
          </w:tcPr>
          <w:p w14:paraId="5B7A251D" w14:textId="77777777" w:rsidR="00F51D8E" w:rsidRPr="0037024D" w:rsidRDefault="00F51D8E" w:rsidP="007E28B9">
            <w:pPr>
              <w:spacing w:line="360" w:lineRule="auto"/>
              <w:rPr>
                <w:rFonts w:eastAsia="Times New Roman" w:cs="Calibri"/>
                <w:lang w:val="en-US"/>
              </w:rPr>
            </w:pPr>
            <w:r w:rsidRPr="0037024D">
              <w:rPr>
                <w:rFonts w:eastAsia="Times New Roman" w:cs="Calibri"/>
                <w:lang w:val="en-US"/>
              </w:rPr>
              <w:t>0.01 (-0.01, 0.03)</w:t>
            </w:r>
          </w:p>
        </w:tc>
        <w:tc>
          <w:tcPr>
            <w:tcW w:w="1533" w:type="dxa"/>
            <w:tcBorders>
              <w:top w:val="nil"/>
              <w:bottom w:val="nil"/>
            </w:tcBorders>
          </w:tcPr>
          <w:p w14:paraId="77EEC371" w14:textId="77777777" w:rsidR="00F51D8E" w:rsidRPr="0037024D" w:rsidRDefault="00F51D8E" w:rsidP="007E28B9">
            <w:pPr>
              <w:spacing w:line="360" w:lineRule="auto"/>
              <w:rPr>
                <w:rFonts w:eastAsia="Times New Roman" w:cs="Calibri"/>
                <w:lang w:val="en-US"/>
              </w:rPr>
            </w:pPr>
            <w:r w:rsidRPr="0037024D">
              <w:rPr>
                <w:rFonts w:eastAsia="Times New Roman" w:cs="Calibri"/>
                <w:lang w:val="en-US"/>
              </w:rPr>
              <w:t>2177</w:t>
            </w:r>
            <w:r>
              <w:rPr>
                <w:rFonts w:eastAsia="Times New Roman" w:cs="Calibri"/>
                <w:lang w:val="en-US"/>
              </w:rPr>
              <w:t xml:space="preserve"> (-5394; 12088)</w:t>
            </w:r>
          </w:p>
        </w:tc>
        <w:tc>
          <w:tcPr>
            <w:tcW w:w="2335" w:type="dxa"/>
            <w:tcBorders>
              <w:top w:val="nil"/>
              <w:bottom w:val="nil"/>
            </w:tcBorders>
          </w:tcPr>
          <w:p w14:paraId="1DCCB433" w14:textId="77777777" w:rsidR="00F51D8E" w:rsidRPr="0037024D" w:rsidRDefault="00F51D8E" w:rsidP="007E28B9">
            <w:pPr>
              <w:spacing w:line="360" w:lineRule="auto"/>
              <w:rPr>
                <w:rFonts w:eastAsia="Times New Roman" w:cs="Calibri"/>
                <w:lang w:val="en-US"/>
              </w:rPr>
            </w:pPr>
            <w:r w:rsidRPr="0037024D">
              <w:rPr>
                <w:rFonts w:eastAsia="Times New Roman" w:cs="Calibri"/>
                <w:lang w:val="en-US"/>
              </w:rPr>
              <w:t>269 (-260, 798)</w:t>
            </w:r>
          </w:p>
        </w:tc>
        <w:tc>
          <w:tcPr>
            <w:tcW w:w="1802" w:type="dxa"/>
            <w:tcBorders>
              <w:top w:val="nil"/>
              <w:bottom w:val="nil"/>
            </w:tcBorders>
          </w:tcPr>
          <w:p w14:paraId="5129BC9A" w14:textId="77777777" w:rsidR="00F51D8E" w:rsidRPr="0037024D" w:rsidRDefault="00F51D8E" w:rsidP="007E28B9">
            <w:pPr>
              <w:spacing w:line="360" w:lineRule="auto"/>
              <w:rPr>
                <w:rFonts w:eastAsia="Times New Roman" w:cs="Calibri"/>
                <w:lang w:val="en-US"/>
              </w:rPr>
            </w:pPr>
            <w:r w:rsidRPr="0037024D">
              <w:rPr>
                <w:rFonts w:eastAsia="Times New Roman" w:cs="Calibri"/>
                <w:lang w:val="en-US"/>
              </w:rPr>
              <w:t>0.03 (-0.01, 0.06)</w:t>
            </w:r>
          </w:p>
        </w:tc>
        <w:tc>
          <w:tcPr>
            <w:tcW w:w="1667" w:type="dxa"/>
            <w:tcBorders>
              <w:top w:val="nil"/>
              <w:bottom w:val="nil"/>
            </w:tcBorders>
          </w:tcPr>
          <w:p w14:paraId="49354300" w14:textId="77777777" w:rsidR="00F51D8E" w:rsidRPr="0037024D" w:rsidRDefault="00F51D8E" w:rsidP="007E28B9">
            <w:pPr>
              <w:spacing w:line="360" w:lineRule="auto"/>
              <w:rPr>
                <w:rFonts w:eastAsia="Times New Roman" w:cs="Calibri"/>
                <w:lang w:val="en-US"/>
              </w:rPr>
            </w:pPr>
            <w:r w:rsidRPr="0037024D">
              <w:rPr>
                <w:rFonts w:eastAsia="Times New Roman" w:cs="Calibri"/>
                <w:lang w:val="en-US"/>
              </w:rPr>
              <w:t>10593 (-62446; 87687)</w:t>
            </w:r>
          </w:p>
        </w:tc>
      </w:tr>
      <w:tr w:rsidR="00F51D8E" w:rsidRPr="0037024D" w14:paraId="65F7213C" w14:textId="77777777" w:rsidTr="007E28B9">
        <w:trPr>
          <w:trHeight w:val="255"/>
        </w:trPr>
        <w:tc>
          <w:tcPr>
            <w:tcW w:w="3369" w:type="dxa"/>
            <w:tcBorders>
              <w:top w:val="nil"/>
              <w:bottom w:val="nil"/>
            </w:tcBorders>
            <w:noWrap/>
          </w:tcPr>
          <w:p w14:paraId="2214313E" w14:textId="77777777" w:rsidR="00F51D8E" w:rsidRPr="0037024D" w:rsidRDefault="00F51D8E" w:rsidP="007E28B9">
            <w:pPr>
              <w:spacing w:line="360" w:lineRule="auto"/>
              <w:rPr>
                <w:rFonts w:eastAsia="Times New Roman" w:cs="Calibri"/>
                <w:lang w:val="en-US"/>
              </w:rPr>
            </w:pPr>
            <w:r w:rsidRPr="0037024D">
              <w:rPr>
                <w:rFonts w:eastAsia="Times New Roman" w:cs="Calibri"/>
                <w:b/>
                <w:lang w:val="en-US"/>
              </w:rPr>
              <w:t>Sensitivity analyses</w:t>
            </w:r>
          </w:p>
        </w:tc>
        <w:tc>
          <w:tcPr>
            <w:tcW w:w="1734" w:type="dxa"/>
            <w:tcBorders>
              <w:top w:val="nil"/>
              <w:bottom w:val="nil"/>
            </w:tcBorders>
            <w:noWrap/>
          </w:tcPr>
          <w:p w14:paraId="7BB1ED76" w14:textId="77777777" w:rsidR="00F51D8E" w:rsidRPr="0037024D" w:rsidRDefault="00F51D8E" w:rsidP="007E28B9">
            <w:pPr>
              <w:spacing w:line="360" w:lineRule="auto"/>
              <w:rPr>
                <w:rFonts w:eastAsia="Times New Roman" w:cs="Calibri"/>
                <w:lang w:val="en-US"/>
              </w:rPr>
            </w:pPr>
          </w:p>
        </w:tc>
        <w:tc>
          <w:tcPr>
            <w:tcW w:w="1843" w:type="dxa"/>
            <w:tcBorders>
              <w:top w:val="nil"/>
              <w:bottom w:val="nil"/>
            </w:tcBorders>
            <w:noWrap/>
          </w:tcPr>
          <w:p w14:paraId="73EFD52E" w14:textId="77777777" w:rsidR="00F51D8E" w:rsidRPr="0037024D" w:rsidRDefault="00F51D8E" w:rsidP="007E28B9">
            <w:pPr>
              <w:spacing w:line="360" w:lineRule="auto"/>
              <w:rPr>
                <w:rFonts w:eastAsia="Times New Roman" w:cs="Calibri"/>
                <w:lang w:val="en-US"/>
              </w:rPr>
            </w:pPr>
          </w:p>
        </w:tc>
        <w:tc>
          <w:tcPr>
            <w:tcW w:w="1533" w:type="dxa"/>
            <w:tcBorders>
              <w:top w:val="nil"/>
              <w:bottom w:val="nil"/>
            </w:tcBorders>
          </w:tcPr>
          <w:p w14:paraId="52D235BA" w14:textId="77777777" w:rsidR="00F51D8E" w:rsidRPr="0037024D" w:rsidRDefault="00F51D8E" w:rsidP="007E28B9">
            <w:pPr>
              <w:spacing w:line="360" w:lineRule="auto"/>
              <w:rPr>
                <w:rFonts w:eastAsia="Times New Roman" w:cs="Calibri"/>
                <w:lang w:val="en-US"/>
              </w:rPr>
            </w:pPr>
          </w:p>
        </w:tc>
        <w:tc>
          <w:tcPr>
            <w:tcW w:w="2335" w:type="dxa"/>
            <w:tcBorders>
              <w:top w:val="nil"/>
              <w:bottom w:val="nil"/>
            </w:tcBorders>
          </w:tcPr>
          <w:p w14:paraId="65640FB0" w14:textId="77777777" w:rsidR="00F51D8E" w:rsidRPr="0037024D" w:rsidRDefault="00F51D8E" w:rsidP="007E28B9">
            <w:pPr>
              <w:spacing w:line="360" w:lineRule="auto"/>
              <w:jc w:val="right"/>
              <w:rPr>
                <w:rFonts w:eastAsia="Times New Roman" w:cs="Calibri"/>
                <w:lang w:val="en-US"/>
              </w:rPr>
            </w:pPr>
          </w:p>
        </w:tc>
        <w:tc>
          <w:tcPr>
            <w:tcW w:w="1802" w:type="dxa"/>
            <w:tcBorders>
              <w:top w:val="nil"/>
              <w:bottom w:val="nil"/>
            </w:tcBorders>
          </w:tcPr>
          <w:p w14:paraId="4ABABB16" w14:textId="77777777" w:rsidR="00F51D8E" w:rsidRPr="0037024D" w:rsidRDefault="00F51D8E" w:rsidP="007E28B9">
            <w:pPr>
              <w:spacing w:line="360" w:lineRule="auto"/>
              <w:jc w:val="right"/>
              <w:rPr>
                <w:rFonts w:eastAsia="Times New Roman" w:cs="Calibri"/>
                <w:lang w:val="en-US"/>
              </w:rPr>
            </w:pPr>
          </w:p>
        </w:tc>
        <w:tc>
          <w:tcPr>
            <w:tcW w:w="1667" w:type="dxa"/>
            <w:tcBorders>
              <w:top w:val="nil"/>
              <w:bottom w:val="nil"/>
            </w:tcBorders>
          </w:tcPr>
          <w:p w14:paraId="78A82743" w14:textId="77777777" w:rsidR="00F51D8E" w:rsidRPr="0037024D" w:rsidRDefault="00F51D8E" w:rsidP="007E28B9">
            <w:pPr>
              <w:spacing w:line="360" w:lineRule="auto"/>
              <w:rPr>
                <w:rFonts w:eastAsia="Times New Roman" w:cs="Calibri"/>
                <w:lang w:val="en-US"/>
              </w:rPr>
            </w:pPr>
          </w:p>
        </w:tc>
      </w:tr>
      <w:tr w:rsidR="00F51D8E" w:rsidRPr="0037024D" w14:paraId="4BAC75A1" w14:textId="77777777" w:rsidTr="007E28B9">
        <w:trPr>
          <w:trHeight w:val="255"/>
        </w:trPr>
        <w:tc>
          <w:tcPr>
            <w:tcW w:w="3369" w:type="dxa"/>
            <w:tcBorders>
              <w:top w:val="nil"/>
              <w:bottom w:val="nil"/>
            </w:tcBorders>
            <w:noWrap/>
            <w:hideMark/>
          </w:tcPr>
          <w:p w14:paraId="54C2EA37" w14:textId="77777777" w:rsidR="00F51D8E" w:rsidRPr="0037024D" w:rsidRDefault="00F51D8E" w:rsidP="007E28B9">
            <w:pPr>
              <w:spacing w:line="360" w:lineRule="auto"/>
              <w:rPr>
                <w:rFonts w:eastAsia="Times New Roman" w:cs="Calibri"/>
                <w:lang w:val="en-US"/>
              </w:rPr>
            </w:pPr>
            <w:r w:rsidRPr="0037024D">
              <w:rPr>
                <w:rFonts w:eastAsia="Times New Roman" w:cs="Calibri"/>
                <w:lang w:val="en-US"/>
              </w:rPr>
              <w:t>Analysis with generalized linear models (no correction for propensity score)</w:t>
            </w:r>
          </w:p>
        </w:tc>
        <w:tc>
          <w:tcPr>
            <w:tcW w:w="1734" w:type="dxa"/>
            <w:tcBorders>
              <w:top w:val="nil"/>
              <w:bottom w:val="nil"/>
            </w:tcBorders>
            <w:noWrap/>
            <w:hideMark/>
          </w:tcPr>
          <w:p w14:paraId="54A01DA4" w14:textId="77777777" w:rsidR="00F51D8E" w:rsidRPr="0037024D" w:rsidRDefault="00F51D8E" w:rsidP="007E28B9">
            <w:pPr>
              <w:spacing w:line="360" w:lineRule="auto"/>
              <w:rPr>
                <w:rFonts w:eastAsia="Times New Roman" w:cs="Calibri"/>
                <w:lang w:val="en-US"/>
              </w:rPr>
            </w:pPr>
            <w:r w:rsidRPr="0037024D">
              <w:rPr>
                <w:rFonts w:eastAsia="Times New Roman" w:cs="Calibri"/>
                <w:lang w:val="en-US"/>
              </w:rPr>
              <w:t>137.6 (-246.4, 521.6)</w:t>
            </w:r>
          </w:p>
        </w:tc>
        <w:tc>
          <w:tcPr>
            <w:tcW w:w="1843" w:type="dxa"/>
            <w:tcBorders>
              <w:top w:val="nil"/>
              <w:bottom w:val="nil"/>
            </w:tcBorders>
            <w:noWrap/>
            <w:hideMark/>
          </w:tcPr>
          <w:p w14:paraId="1D9DF85E" w14:textId="77777777" w:rsidR="00F51D8E" w:rsidRPr="0037024D" w:rsidRDefault="00F51D8E" w:rsidP="007E28B9">
            <w:pPr>
              <w:spacing w:line="360" w:lineRule="auto"/>
              <w:rPr>
                <w:rFonts w:eastAsia="Times New Roman" w:cs="Calibri"/>
                <w:b/>
                <w:lang w:val="en-US"/>
              </w:rPr>
            </w:pPr>
            <w:r w:rsidRPr="0037024D">
              <w:rPr>
                <w:rFonts w:eastAsia="Times New Roman" w:cs="Calibri"/>
                <w:b/>
                <w:lang w:val="en-US"/>
              </w:rPr>
              <w:t>0.01 (0.002, 0.025)</w:t>
            </w:r>
          </w:p>
        </w:tc>
        <w:tc>
          <w:tcPr>
            <w:tcW w:w="1533" w:type="dxa"/>
            <w:tcBorders>
              <w:top w:val="nil"/>
              <w:bottom w:val="nil"/>
            </w:tcBorders>
          </w:tcPr>
          <w:p w14:paraId="504DF52E" w14:textId="77777777" w:rsidR="00F51D8E" w:rsidRPr="0037024D" w:rsidRDefault="00F51D8E" w:rsidP="007E28B9">
            <w:pPr>
              <w:spacing w:line="360" w:lineRule="auto"/>
              <w:rPr>
                <w:rFonts w:eastAsia="Times New Roman" w:cs="Calibri"/>
                <w:b/>
                <w:lang w:val="en-US"/>
              </w:rPr>
            </w:pPr>
            <w:r w:rsidRPr="0037024D">
              <w:rPr>
                <w:rFonts w:eastAsia="Times New Roman" w:cs="Calibri"/>
                <w:b/>
                <w:lang w:val="en-US"/>
              </w:rPr>
              <w:t>10226 (4991; 20625)</w:t>
            </w:r>
          </w:p>
        </w:tc>
        <w:tc>
          <w:tcPr>
            <w:tcW w:w="2335" w:type="dxa"/>
            <w:tcBorders>
              <w:top w:val="nil"/>
              <w:bottom w:val="nil"/>
            </w:tcBorders>
          </w:tcPr>
          <w:p w14:paraId="59C3C70B" w14:textId="77777777" w:rsidR="00F51D8E" w:rsidRPr="0037024D" w:rsidRDefault="00F51D8E" w:rsidP="007E28B9">
            <w:pPr>
              <w:spacing w:line="360" w:lineRule="auto"/>
              <w:rPr>
                <w:rFonts w:eastAsia="Times New Roman" w:cs="Calibri"/>
                <w:lang w:val="en-US"/>
              </w:rPr>
            </w:pPr>
            <w:r w:rsidRPr="0037024D">
              <w:rPr>
                <w:rFonts w:eastAsia="Times New Roman" w:cs="Calibri"/>
                <w:lang w:val="en-US"/>
              </w:rPr>
              <w:t>294.9 (-298.6, 888.4)</w:t>
            </w:r>
          </w:p>
        </w:tc>
        <w:tc>
          <w:tcPr>
            <w:tcW w:w="1802" w:type="dxa"/>
            <w:tcBorders>
              <w:top w:val="nil"/>
              <w:bottom w:val="nil"/>
            </w:tcBorders>
          </w:tcPr>
          <w:p w14:paraId="46B7C8F6" w14:textId="77777777" w:rsidR="00F51D8E" w:rsidRPr="0037024D" w:rsidRDefault="00F51D8E" w:rsidP="007E28B9">
            <w:pPr>
              <w:spacing w:line="360" w:lineRule="auto"/>
              <w:rPr>
                <w:rFonts w:eastAsia="Times New Roman" w:cs="Calibri"/>
                <w:lang w:val="en-US"/>
              </w:rPr>
            </w:pPr>
            <w:r w:rsidRPr="0037024D">
              <w:rPr>
                <w:rFonts w:eastAsia="Times New Roman" w:cs="Calibri"/>
                <w:lang w:val="en-US"/>
              </w:rPr>
              <w:t>0.04 (-0.01, 0.09)</w:t>
            </w:r>
          </w:p>
        </w:tc>
        <w:tc>
          <w:tcPr>
            <w:tcW w:w="1667" w:type="dxa"/>
            <w:tcBorders>
              <w:top w:val="nil"/>
              <w:bottom w:val="nil"/>
            </w:tcBorders>
          </w:tcPr>
          <w:p w14:paraId="13A568A6" w14:textId="77777777" w:rsidR="00F51D8E" w:rsidRPr="0037024D" w:rsidRDefault="00F51D8E" w:rsidP="007E28B9">
            <w:pPr>
              <w:spacing w:line="360" w:lineRule="auto"/>
              <w:rPr>
                <w:rFonts w:eastAsia="Times New Roman" w:cs="Calibri"/>
                <w:lang w:val="en-US"/>
              </w:rPr>
            </w:pPr>
            <w:r w:rsidRPr="0037024D">
              <w:rPr>
                <w:rFonts w:eastAsia="Times New Roman" w:cs="Calibri"/>
                <w:lang w:val="en-US"/>
              </w:rPr>
              <w:t>10241 (-16288; 92294)</w:t>
            </w:r>
          </w:p>
        </w:tc>
      </w:tr>
      <w:tr w:rsidR="00F51D8E" w:rsidRPr="0037024D" w14:paraId="7288151A" w14:textId="77777777" w:rsidTr="007E28B9">
        <w:trPr>
          <w:trHeight w:val="255"/>
        </w:trPr>
        <w:tc>
          <w:tcPr>
            <w:tcW w:w="3369" w:type="dxa"/>
            <w:tcBorders>
              <w:top w:val="nil"/>
              <w:bottom w:val="nil"/>
            </w:tcBorders>
            <w:noWrap/>
          </w:tcPr>
          <w:p w14:paraId="32298CB6" w14:textId="77777777" w:rsidR="00F51D8E" w:rsidRPr="0037024D" w:rsidRDefault="00F51D8E" w:rsidP="007E28B9">
            <w:pPr>
              <w:spacing w:line="360" w:lineRule="auto"/>
              <w:rPr>
                <w:rFonts w:eastAsia="Times New Roman" w:cs="Calibri"/>
                <w:lang w:val="en-US"/>
              </w:rPr>
            </w:pPr>
            <w:r w:rsidRPr="0037024D">
              <w:rPr>
                <w:rFonts w:eastAsia="Times New Roman" w:cs="Calibri"/>
                <w:lang w:val="en-US"/>
              </w:rPr>
              <w:t>Patients with major depression according to DSM-IV criteria (n=82)</w:t>
            </w:r>
          </w:p>
        </w:tc>
        <w:tc>
          <w:tcPr>
            <w:tcW w:w="1734" w:type="dxa"/>
            <w:tcBorders>
              <w:top w:val="nil"/>
              <w:bottom w:val="nil"/>
            </w:tcBorders>
            <w:noWrap/>
          </w:tcPr>
          <w:p w14:paraId="7F07F92E" w14:textId="77777777" w:rsidR="00F51D8E" w:rsidRPr="0037024D" w:rsidRDefault="00F51D8E" w:rsidP="007E28B9">
            <w:pPr>
              <w:spacing w:line="360" w:lineRule="auto"/>
              <w:rPr>
                <w:rFonts w:eastAsia="Times New Roman" w:cs="Calibri"/>
                <w:lang w:val="en-US"/>
              </w:rPr>
            </w:pPr>
            <w:r w:rsidRPr="0037024D">
              <w:rPr>
                <w:rFonts w:eastAsia="Times New Roman" w:cs="Calibri"/>
                <w:lang w:val="en-US"/>
              </w:rPr>
              <w:t>-59.1 (-593.1, 474.8)</w:t>
            </w:r>
          </w:p>
        </w:tc>
        <w:tc>
          <w:tcPr>
            <w:tcW w:w="1843" w:type="dxa"/>
            <w:tcBorders>
              <w:top w:val="nil"/>
              <w:bottom w:val="nil"/>
            </w:tcBorders>
            <w:noWrap/>
          </w:tcPr>
          <w:p w14:paraId="6FEF5C75" w14:textId="77777777" w:rsidR="00F51D8E" w:rsidRPr="0037024D" w:rsidRDefault="00F51D8E" w:rsidP="007E28B9">
            <w:pPr>
              <w:spacing w:line="360" w:lineRule="auto"/>
              <w:rPr>
                <w:rFonts w:eastAsia="Times New Roman" w:cs="Calibri"/>
                <w:b/>
                <w:lang w:val="en-US"/>
              </w:rPr>
            </w:pPr>
            <w:r w:rsidRPr="0037024D">
              <w:rPr>
                <w:rFonts w:eastAsia="Times New Roman" w:cs="Calibri"/>
                <w:b/>
                <w:lang w:val="en-US"/>
              </w:rPr>
              <w:t>0.03 (0.01, 0.05)</w:t>
            </w:r>
          </w:p>
        </w:tc>
        <w:tc>
          <w:tcPr>
            <w:tcW w:w="1533" w:type="dxa"/>
            <w:tcBorders>
              <w:top w:val="nil"/>
              <w:bottom w:val="nil"/>
            </w:tcBorders>
          </w:tcPr>
          <w:p w14:paraId="4CBAF35B" w14:textId="77777777" w:rsidR="00F51D8E" w:rsidRPr="0037024D" w:rsidRDefault="00F51D8E" w:rsidP="007E28B9">
            <w:pPr>
              <w:spacing w:line="360" w:lineRule="auto"/>
              <w:rPr>
                <w:rFonts w:eastAsia="Times New Roman" w:cs="Calibri"/>
                <w:lang w:val="en-US"/>
              </w:rPr>
            </w:pPr>
            <w:r w:rsidRPr="0037024D">
              <w:rPr>
                <w:rFonts w:eastAsia="Times New Roman" w:cs="Calibri"/>
                <w:lang w:val="en-US"/>
              </w:rPr>
              <w:t>-2273</w:t>
            </w:r>
            <w:r>
              <w:rPr>
                <w:rFonts w:eastAsia="Times New Roman" w:cs="Calibri"/>
                <w:lang w:val="en-US"/>
              </w:rPr>
              <w:t xml:space="preserve"> (-8163; 6310)</w:t>
            </w:r>
          </w:p>
        </w:tc>
        <w:tc>
          <w:tcPr>
            <w:tcW w:w="2335" w:type="dxa"/>
            <w:tcBorders>
              <w:top w:val="nil"/>
              <w:bottom w:val="nil"/>
            </w:tcBorders>
          </w:tcPr>
          <w:p w14:paraId="3B16D7D4" w14:textId="77777777" w:rsidR="00F51D8E" w:rsidRPr="0037024D" w:rsidRDefault="00F51D8E" w:rsidP="007E28B9">
            <w:pPr>
              <w:spacing w:line="360" w:lineRule="auto"/>
              <w:rPr>
                <w:rFonts w:eastAsia="Times New Roman" w:cs="Calibri"/>
                <w:lang w:val="en-US"/>
              </w:rPr>
            </w:pPr>
            <w:r w:rsidRPr="0037024D">
              <w:rPr>
                <w:rFonts w:eastAsia="Times New Roman" w:cs="Calibri"/>
                <w:lang w:val="en-US"/>
              </w:rPr>
              <w:t>53 (-782, 888)</w:t>
            </w:r>
          </w:p>
        </w:tc>
        <w:tc>
          <w:tcPr>
            <w:tcW w:w="1802" w:type="dxa"/>
            <w:tcBorders>
              <w:top w:val="nil"/>
              <w:bottom w:val="nil"/>
            </w:tcBorders>
          </w:tcPr>
          <w:p w14:paraId="7662BDD3" w14:textId="77777777" w:rsidR="00F51D8E" w:rsidRPr="0037024D" w:rsidRDefault="00F51D8E" w:rsidP="007E28B9">
            <w:pPr>
              <w:spacing w:line="360" w:lineRule="auto"/>
              <w:rPr>
                <w:rFonts w:eastAsia="Times New Roman" w:cs="Calibri"/>
                <w:b/>
                <w:lang w:val="en-US"/>
              </w:rPr>
            </w:pPr>
            <w:r w:rsidRPr="0037024D">
              <w:rPr>
                <w:rFonts w:eastAsia="Times New Roman" w:cs="Calibri"/>
                <w:b/>
                <w:lang w:val="en-US"/>
              </w:rPr>
              <w:t>0.08 (0.02, 0.14)</w:t>
            </w:r>
          </w:p>
        </w:tc>
        <w:tc>
          <w:tcPr>
            <w:tcW w:w="1667" w:type="dxa"/>
            <w:tcBorders>
              <w:top w:val="nil"/>
              <w:bottom w:val="nil"/>
            </w:tcBorders>
          </w:tcPr>
          <w:p w14:paraId="45193160" w14:textId="77777777" w:rsidR="00F51D8E" w:rsidRPr="0037024D" w:rsidRDefault="00F51D8E" w:rsidP="007E28B9">
            <w:pPr>
              <w:spacing w:line="360" w:lineRule="auto"/>
              <w:rPr>
                <w:rFonts w:eastAsia="Times New Roman" w:cs="Calibri"/>
                <w:lang w:val="en-US"/>
              </w:rPr>
            </w:pPr>
            <w:r w:rsidRPr="0037024D">
              <w:rPr>
                <w:rFonts w:eastAsia="Times New Roman" w:cs="Calibri"/>
                <w:lang w:val="en-US"/>
              </w:rPr>
              <w:t>690 (-21610; 52629)</w:t>
            </w:r>
          </w:p>
        </w:tc>
      </w:tr>
      <w:tr w:rsidR="00F51D8E" w:rsidRPr="0037024D" w14:paraId="41FDE8D5" w14:textId="77777777" w:rsidTr="007E28B9">
        <w:trPr>
          <w:trHeight w:val="255"/>
        </w:trPr>
        <w:tc>
          <w:tcPr>
            <w:tcW w:w="3369" w:type="dxa"/>
            <w:tcBorders>
              <w:top w:val="nil"/>
              <w:bottom w:val="nil"/>
            </w:tcBorders>
            <w:noWrap/>
            <w:hideMark/>
          </w:tcPr>
          <w:p w14:paraId="699E6F7E" w14:textId="77777777" w:rsidR="00F51D8E" w:rsidRPr="0037024D" w:rsidRDefault="00F51D8E" w:rsidP="007E28B9">
            <w:pPr>
              <w:spacing w:line="360" w:lineRule="auto"/>
              <w:rPr>
                <w:rFonts w:eastAsia="Times New Roman" w:cs="Calibri"/>
                <w:lang w:val="en-US"/>
              </w:rPr>
            </w:pPr>
            <w:r w:rsidRPr="0037024D">
              <w:rPr>
                <w:rFonts w:eastAsia="Times New Roman" w:cs="Calibri"/>
                <w:lang w:val="en-US"/>
              </w:rPr>
              <w:t xml:space="preserve">Average absenteeism salary costs </w:t>
            </w:r>
          </w:p>
        </w:tc>
        <w:tc>
          <w:tcPr>
            <w:tcW w:w="1734" w:type="dxa"/>
            <w:tcBorders>
              <w:top w:val="nil"/>
              <w:bottom w:val="nil"/>
            </w:tcBorders>
            <w:noWrap/>
            <w:hideMark/>
          </w:tcPr>
          <w:p w14:paraId="7E282816" w14:textId="77777777" w:rsidR="00F51D8E" w:rsidRPr="0037024D" w:rsidRDefault="00F51D8E" w:rsidP="007E28B9">
            <w:pPr>
              <w:spacing w:line="360" w:lineRule="auto"/>
              <w:rPr>
                <w:rFonts w:eastAsia="Times New Roman" w:cs="Calibri"/>
                <w:lang w:val="en-US"/>
              </w:rPr>
            </w:pPr>
            <w:r w:rsidRPr="0037024D">
              <w:rPr>
                <w:rFonts w:eastAsia="Times New Roman" w:cs="Calibri"/>
                <w:lang w:val="en-US"/>
              </w:rPr>
              <w:t>104.5 (-759.3, 968.2)</w:t>
            </w:r>
          </w:p>
        </w:tc>
        <w:tc>
          <w:tcPr>
            <w:tcW w:w="1843" w:type="dxa"/>
            <w:tcBorders>
              <w:top w:val="nil"/>
              <w:bottom w:val="nil"/>
            </w:tcBorders>
            <w:noWrap/>
            <w:hideMark/>
          </w:tcPr>
          <w:p w14:paraId="6596C2BC" w14:textId="77777777" w:rsidR="00F51D8E" w:rsidRPr="0037024D" w:rsidRDefault="00F51D8E" w:rsidP="007E28B9">
            <w:pPr>
              <w:spacing w:line="360" w:lineRule="auto"/>
              <w:rPr>
                <w:rFonts w:eastAsia="Times New Roman" w:cs="Calibri"/>
                <w:lang w:val="en-US"/>
              </w:rPr>
            </w:pPr>
            <w:r w:rsidRPr="0037024D">
              <w:rPr>
                <w:rFonts w:eastAsia="Times New Roman" w:cs="Calibri"/>
                <w:lang w:val="en-US"/>
              </w:rPr>
              <w:t>0.01 (-0.01, 0.03)</w:t>
            </w:r>
          </w:p>
        </w:tc>
        <w:tc>
          <w:tcPr>
            <w:tcW w:w="1533" w:type="dxa"/>
            <w:tcBorders>
              <w:top w:val="nil"/>
              <w:bottom w:val="nil"/>
            </w:tcBorders>
          </w:tcPr>
          <w:p w14:paraId="63B9921E" w14:textId="77777777" w:rsidR="00F51D8E" w:rsidRPr="0037024D" w:rsidRDefault="00F51D8E" w:rsidP="007E28B9">
            <w:pPr>
              <w:spacing w:line="360" w:lineRule="auto"/>
              <w:rPr>
                <w:rFonts w:eastAsia="Times New Roman" w:cs="Calibri"/>
                <w:lang w:val="en-US"/>
              </w:rPr>
            </w:pPr>
            <w:r w:rsidRPr="0037024D">
              <w:rPr>
                <w:rFonts w:eastAsia="Times New Roman" w:cs="Calibri"/>
                <w:lang w:val="en-US"/>
              </w:rPr>
              <w:t>9659</w:t>
            </w:r>
            <w:r>
              <w:rPr>
                <w:rFonts w:eastAsia="Times New Roman" w:cs="Calibri"/>
                <w:lang w:val="en-US"/>
              </w:rPr>
              <w:t xml:space="preserve"> (-4223; 37073)</w:t>
            </w:r>
          </w:p>
        </w:tc>
        <w:tc>
          <w:tcPr>
            <w:tcW w:w="2335" w:type="dxa"/>
            <w:tcBorders>
              <w:top w:val="nil"/>
              <w:bottom w:val="nil"/>
            </w:tcBorders>
          </w:tcPr>
          <w:p w14:paraId="61277159" w14:textId="77777777" w:rsidR="00F51D8E" w:rsidRPr="0037024D" w:rsidRDefault="00F51D8E" w:rsidP="007E28B9">
            <w:pPr>
              <w:spacing w:line="360" w:lineRule="auto"/>
              <w:rPr>
                <w:rFonts w:eastAsia="Times New Roman" w:cs="Calibri"/>
                <w:lang w:val="en-US"/>
              </w:rPr>
            </w:pPr>
            <w:r w:rsidRPr="0037024D">
              <w:rPr>
                <w:rFonts w:eastAsia="Times New Roman" w:cs="Calibri"/>
                <w:lang w:val="en-US"/>
              </w:rPr>
              <w:t>688 (-669, 2045)</w:t>
            </w:r>
          </w:p>
        </w:tc>
        <w:tc>
          <w:tcPr>
            <w:tcW w:w="1802" w:type="dxa"/>
            <w:tcBorders>
              <w:top w:val="nil"/>
              <w:bottom w:val="nil"/>
            </w:tcBorders>
          </w:tcPr>
          <w:p w14:paraId="4134451D" w14:textId="77777777" w:rsidR="00F51D8E" w:rsidRPr="0037024D" w:rsidRDefault="00F51D8E" w:rsidP="007E28B9">
            <w:pPr>
              <w:spacing w:line="360" w:lineRule="auto"/>
              <w:rPr>
                <w:lang w:val="en-US"/>
              </w:rPr>
            </w:pPr>
            <w:r w:rsidRPr="0037024D">
              <w:rPr>
                <w:rFonts w:eastAsia="Times New Roman" w:cs="Calibri"/>
                <w:lang w:val="en-US"/>
              </w:rPr>
              <w:t>0.03 (-0.01, 0.06)</w:t>
            </w:r>
          </w:p>
        </w:tc>
        <w:tc>
          <w:tcPr>
            <w:tcW w:w="1667" w:type="dxa"/>
            <w:tcBorders>
              <w:top w:val="nil"/>
              <w:bottom w:val="nil"/>
            </w:tcBorders>
          </w:tcPr>
          <w:p w14:paraId="0D4C44F3" w14:textId="77777777" w:rsidR="00F51D8E" w:rsidRPr="0037024D" w:rsidRDefault="00F51D8E" w:rsidP="007E28B9">
            <w:pPr>
              <w:spacing w:line="360" w:lineRule="auto"/>
              <w:rPr>
                <w:rFonts w:eastAsia="Times New Roman" w:cs="Calibri"/>
                <w:lang w:val="en-US"/>
              </w:rPr>
            </w:pPr>
            <w:r w:rsidRPr="0037024D">
              <w:rPr>
                <w:rFonts w:eastAsia="Times New Roman" w:cs="Calibri"/>
                <w:lang w:val="en-US"/>
              </w:rPr>
              <w:t>27092 (-179307; 212583)</w:t>
            </w:r>
          </w:p>
        </w:tc>
      </w:tr>
      <w:tr w:rsidR="00F51D8E" w:rsidRPr="0037024D" w14:paraId="32840089" w14:textId="77777777" w:rsidTr="007E28B9">
        <w:trPr>
          <w:trHeight w:val="255"/>
        </w:trPr>
        <w:tc>
          <w:tcPr>
            <w:tcW w:w="3369" w:type="dxa"/>
            <w:tcBorders>
              <w:top w:val="nil"/>
              <w:bottom w:val="nil"/>
            </w:tcBorders>
            <w:noWrap/>
            <w:hideMark/>
          </w:tcPr>
          <w:p w14:paraId="44DA02F4" w14:textId="77777777" w:rsidR="00F51D8E" w:rsidRPr="0037024D" w:rsidRDefault="00F51D8E" w:rsidP="007E28B9">
            <w:pPr>
              <w:spacing w:line="360" w:lineRule="auto"/>
              <w:rPr>
                <w:rFonts w:eastAsia="Times New Roman" w:cs="Calibri"/>
                <w:lang w:val="en-US"/>
              </w:rPr>
            </w:pPr>
            <w:r w:rsidRPr="0037024D">
              <w:rPr>
                <w:rFonts w:eastAsia="Times New Roman" w:cs="Calibri"/>
                <w:lang w:val="en-US"/>
              </w:rPr>
              <w:t>Per protocol analysis (n=128)</w:t>
            </w:r>
          </w:p>
        </w:tc>
        <w:tc>
          <w:tcPr>
            <w:tcW w:w="1734" w:type="dxa"/>
            <w:tcBorders>
              <w:top w:val="nil"/>
              <w:bottom w:val="nil"/>
            </w:tcBorders>
            <w:noWrap/>
            <w:hideMark/>
          </w:tcPr>
          <w:p w14:paraId="7AB020BB" w14:textId="77777777" w:rsidR="00F51D8E" w:rsidRPr="0037024D" w:rsidRDefault="00F51D8E" w:rsidP="007E28B9">
            <w:pPr>
              <w:spacing w:line="360" w:lineRule="auto"/>
              <w:rPr>
                <w:rFonts w:eastAsia="Times New Roman" w:cs="Calibri"/>
                <w:lang w:val="en-US"/>
              </w:rPr>
            </w:pPr>
            <w:r w:rsidRPr="0037024D">
              <w:rPr>
                <w:rFonts w:eastAsia="Times New Roman" w:cs="Calibri"/>
                <w:lang w:val="en-US"/>
              </w:rPr>
              <w:t>-548.3 (-1125.4, 28.8)</w:t>
            </w:r>
          </w:p>
        </w:tc>
        <w:tc>
          <w:tcPr>
            <w:tcW w:w="1843" w:type="dxa"/>
            <w:tcBorders>
              <w:top w:val="nil"/>
              <w:bottom w:val="nil"/>
            </w:tcBorders>
            <w:noWrap/>
            <w:hideMark/>
          </w:tcPr>
          <w:p w14:paraId="51E49AD2" w14:textId="77777777" w:rsidR="00F51D8E" w:rsidRPr="0037024D" w:rsidRDefault="00F51D8E" w:rsidP="007E28B9">
            <w:pPr>
              <w:spacing w:line="360" w:lineRule="auto"/>
              <w:rPr>
                <w:rFonts w:eastAsia="Times New Roman" w:cs="Calibri"/>
                <w:lang w:val="en-US"/>
              </w:rPr>
            </w:pPr>
            <w:r w:rsidRPr="0037024D">
              <w:rPr>
                <w:rFonts w:eastAsia="Times New Roman" w:cs="Calibri"/>
                <w:lang w:val="en-US"/>
              </w:rPr>
              <w:t>0.02 (-0.01, 0.05)</w:t>
            </w:r>
          </w:p>
        </w:tc>
        <w:tc>
          <w:tcPr>
            <w:tcW w:w="1533" w:type="dxa"/>
            <w:tcBorders>
              <w:top w:val="nil"/>
              <w:bottom w:val="nil"/>
            </w:tcBorders>
          </w:tcPr>
          <w:p w14:paraId="4A1451EA" w14:textId="77777777" w:rsidR="00F51D8E" w:rsidRPr="00D56B35" w:rsidRDefault="00F51D8E" w:rsidP="007E28B9">
            <w:pPr>
              <w:spacing w:line="360" w:lineRule="auto"/>
              <w:rPr>
                <w:rFonts w:eastAsia="Times New Roman" w:cs="Calibri"/>
                <w:b/>
                <w:lang w:val="en-US"/>
              </w:rPr>
            </w:pPr>
            <w:r w:rsidRPr="00D56B35">
              <w:rPr>
                <w:rFonts w:eastAsia="Times New Roman" w:cs="Calibri"/>
                <w:b/>
                <w:lang w:val="en-US"/>
              </w:rPr>
              <w:t>-23328 (-73422; -16738)</w:t>
            </w:r>
          </w:p>
        </w:tc>
        <w:tc>
          <w:tcPr>
            <w:tcW w:w="2335" w:type="dxa"/>
            <w:tcBorders>
              <w:top w:val="nil"/>
              <w:bottom w:val="nil"/>
            </w:tcBorders>
          </w:tcPr>
          <w:p w14:paraId="08975FDE" w14:textId="77777777" w:rsidR="00F51D8E" w:rsidRPr="0037024D" w:rsidRDefault="00F51D8E" w:rsidP="007E28B9">
            <w:pPr>
              <w:spacing w:line="360" w:lineRule="auto"/>
              <w:rPr>
                <w:rFonts w:eastAsia="Times New Roman" w:cs="Calibri"/>
                <w:lang w:val="en-US"/>
              </w:rPr>
            </w:pPr>
            <w:r w:rsidRPr="0037024D">
              <w:rPr>
                <w:rFonts w:eastAsia="Times New Roman" w:cs="Calibri"/>
                <w:lang w:val="en-US"/>
              </w:rPr>
              <w:t>-162 (-1003, 679)</w:t>
            </w:r>
          </w:p>
        </w:tc>
        <w:tc>
          <w:tcPr>
            <w:tcW w:w="1802" w:type="dxa"/>
            <w:tcBorders>
              <w:top w:val="nil"/>
              <w:bottom w:val="nil"/>
            </w:tcBorders>
          </w:tcPr>
          <w:p w14:paraId="324583AB" w14:textId="77777777" w:rsidR="00F51D8E" w:rsidRPr="0037024D" w:rsidRDefault="00F51D8E" w:rsidP="007E28B9">
            <w:pPr>
              <w:spacing w:line="360" w:lineRule="auto"/>
              <w:rPr>
                <w:rFonts w:eastAsia="Times New Roman" w:cs="Calibri"/>
                <w:lang w:val="en-US"/>
              </w:rPr>
            </w:pPr>
            <w:r w:rsidRPr="0037024D">
              <w:rPr>
                <w:rFonts w:eastAsia="Times New Roman" w:cs="Calibri"/>
                <w:lang w:val="en-US"/>
              </w:rPr>
              <w:t>0.05 (-0.01, 0.11)</w:t>
            </w:r>
          </w:p>
        </w:tc>
        <w:tc>
          <w:tcPr>
            <w:tcW w:w="1667" w:type="dxa"/>
            <w:tcBorders>
              <w:top w:val="nil"/>
              <w:bottom w:val="nil"/>
            </w:tcBorders>
          </w:tcPr>
          <w:p w14:paraId="2FD8FD8E" w14:textId="77777777" w:rsidR="00F51D8E" w:rsidRPr="0037024D" w:rsidRDefault="00F51D8E" w:rsidP="007E28B9">
            <w:pPr>
              <w:spacing w:line="360" w:lineRule="auto"/>
              <w:rPr>
                <w:rFonts w:eastAsia="Times New Roman" w:cs="Calibri"/>
                <w:lang w:val="en-US"/>
              </w:rPr>
            </w:pPr>
            <w:r w:rsidRPr="0037024D">
              <w:rPr>
                <w:rFonts w:eastAsia="Times New Roman" w:cs="Calibri"/>
                <w:lang w:val="en-US"/>
              </w:rPr>
              <w:t>-3257 (-65604; 42122)</w:t>
            </w:r>
          </w:p>
        </w:tc>
      </w:tr>
      <w:tr w:rsidR="00F51D8E" w:rsidRPr="0037024D" w14:paraId="622C1DDD" w14:textId="77777777" w:rsidTr="007E28B9">
        <w:trPr>
          <w:trHeight w:val="255"/>
        </w:trPr>
        <w:tc>
          <w:tcPr>
            <w:tcW w:w="3369" w:type="dxa"/>
            <w:tcBorders>
              <w:top w:val="nil"/>
            </w:tcBorders>
            <w:noWrap/>
            <w:hideMark/>
          </w:tcPr>
          <w:p w14:paraId="0D155A58" w14:textId="77777777" w:rsidR="00F51D8E" w:rsidRPr="0037024D" w:rsidRDefault="00F51D8E" w:rsidP="007E28B9">
            <w:pPr>
              <w:spacing w:line="360" w:lineRule="auto"/>
              <w:rPr>
                <w:rFonts w:eastAsia="Times New Roman" w:cs="Calibri"/>
                <w:lang w:val="en-US"/>
              </w:rPr>
            </w:pPr>
            <w:r w:rsidRPr="0037024D">
              <w:rPr>
                <w:rFonts w:eastAsia="Times New Roman" w:cs="Calibri"/>
                <w:lang w:val="en-US"/>
              </w:rPr>
              <w:t>Completers’ analysis (6-month n=214; 12-month n=195)</w:t>
            </w:r>
          </w:p>
        </w:tc>
        <w:tc>
          <w:tcPr>
            <w:tcW w:w="1734" w:type="dxa"/>
            <w:tcBorders>
              <w:top w:val="nil"/>
            </w:tcBorders>
            <w:noWrap/>
            <w:hideMark/>
          </w:tcPr>
          <w:p w14:paraId="07379BE4" w14:textId="77777777" w:rsidR="00F51D8E" w:rsidRPr="0037024D" w:rsidRDefault="00F51D8E" w:rsidP="007E28B9">
            <w:pPr>
              <w:spacing w:line="360" w:lineRule="auto"/>
              <w:rPr>
                <w:rFonts w:eastAsia="Times New Roman" w:cs="Calibri"/>
                <w:lang w:val="en-US"/>
              </w:rPr>
            </w:pPr>
            <w:r w:rsidRPr="0037024D">
              <w:rPr>
                <w:rFonts w:eastAsia="Times New Roman" w:cs="Calibri"/>
                <w:lang w:val="en-US"/>
              </w:rPr>
              <w:t>-21.0 (-409.3, 367.4)</w:t>
            </w:r>
          </w:p>
        </w:tc>
        <w:tc>
          <w:tcPr>
            <w:tcW w:w="1843" w:type="dxa"/>
            <w:tcBorders>
              <w:top w:val="nil"/>
            </w:tcBorders>
            <w:noWrap/>
            <w:hideMark/>
          </w:tcPr>
          <w:p w14:paraId="7B643CF6" w14:textId="77777777" w:rsidR="00F51D8E" w:rsidRPr="0037024D" w:rsidRDefault="00F51D8E" w:rsidP="007E28B9">
            <w:pPr>
              <w:spacing w:line="360" w:lineRule="auto"/>
              <w:rPr>
                <w:rFonts w:eastAsia="Times New Roman" w:cs="Calibri"/>
                <w:lang w:val="en-US"/>
              </w:rPr>
            </w:pPr>
            <w:r w:rsidRPr="0037024D">
              <w:rPr>
                <w:rFonts w:eastAsia="Times New Roman" w:cs="Calibri"/>
                <w:lang w:val="en-US"/>
              </w:rPr>
              <w:t>0.01 (-0.01, 0.02)</w:t>
            </w:r>
          </w:p>
        </w:tc>
        <w:tc>
          <w:tcPr>
            <w:tcW w:w="1533" w:type="dxa"/>
            <w:tcBorders>
              <w:top w:val="nil"/>
            </w:tcBorders>
          </w:tcPr>
          <w:p w14:paraId="4F839FFA" w14:textId="77777777" w:rsidR="00F51D8E" w:rsidRPr="0037024D" w:rsidRDefault="00F51D8E" w:rsidP="007E28B9">
            <w:pPr>
              <w:spacing w:line="360" w:lineRule="auto"/>
              <w:rPr>
                <w:rFonts w:eastAsia="Times New Roman" w:cs="Calibri"/>
                <w:lang w:val="en-US"/>
              </w:rPr>
            </w:pPr>
            <w:r w:rsidRPr="0037024D">
              <w:rPr>
                <w:rFonts w:eastAsia="Times New Roman" w:cs="Calibri"/>
                <w:lang w:val="en-US"/>
              </w:rPr>
              <w:t>-2017</w:t>
            </w:r>
            <w:r>
              <w:rPr>
                <w:rFonts w:eastAsia="Times New Roman" w:cs="Calibri"/>
                <w:lang w:val="en-US"/>
              </w:rPr>
              <w:t xml:space="preserve"> (-89315; 174605)</w:t>
            </w:r>
          </w:p>
        </w:tc>
        <w:tc>
          <w:tcPr>
            <w:tcW w:w="2335" w:type="dxa"/>
            <w:tcBorders>
              <w:top w:val="nil"/>
            </w:tcBorders>
          </w:tcPr>
          <w:p w14:paraId="079D2858" w14:textId="77777777" w:rsidR="00F51D8E" w:rsidRPr="0037024D" w:rsidRDefault="00F51D8E" w:rsidP="007E28B9">
            <w:pPr>
              <w:spacing w:line="360" w:lineRule="auto"/>
              <w:rPr>
                <w:rFonts w:eastAsia="Times New Roman" w:cs="Calibri"/>
                <w:lang w:val="en-US"/>
              </w:rPr>
            </w:pPr>
            <w:r w:rsidRPr="0037024D">
              <w:rPr>
                <w:rFonts w:eastAsia="Times New Roman" w:cs="Calibri"/>
                <w:lang w:val="en-US"/>
              </w:rPr>
              <w:t xml:space="preserve"> 185 (-401.5, 771.1)</w:t>
            </w:r>
          </w:p>
        </w:tc>
        <w:tc>
          <w:tcPr>
            <w:tcW w:w="1802" w:type="dxa"/>
            <w:tcBorders>
              <w:top w:val="nil"/>
            </w:tcBorders>
          </w:tcPr>
          <w:p w14:paraId="33216860" w14:textId="77777777" w:rsidR="00F51D8E" w:rsidRPr="0037024D" w:rsidRDefault="00F51D8E" w:rsidP="007E28B9">
            <w:pPr>
              <w:spacing w:line="360" w:lineRule="auto"/>
              <w:rPr>
                <w:rFonts w:eastAsia="Times New Roman" w:cs="Calibri"/>
                <w:lang w:val="en-US"/>
              </w:rPr>
            </w:pPr>
            <w:r w:rsidRPr="0037024D">
              <w:rPr>
                <w:rFonts w:eastAsia="Times New Roman" w:cs="Calibri"/>
                <w:lang w:val="en-US"/>
              </w:rPr>
              <w:t>0.03 (-0.01, 0.07)</w:t>
            </w:r>
          </w:p>
        </w:tc>
        <w:tc>
          <w:tcPr>
            <w:tcW w:w="1667" w:type="dxa"/>
            <w:tcBorders>
              <w:top w:val="nil"/>
            </w:tcBorders>
          </w:tcPr>
          <w:p w14:paraId="23ADEB64" w14:textId="77777777" w:rsidR="00F51D8E" w:rsidRPr="0037024D" w:rsidRDefault="00F51D8E" w:rsidP="007E28B9">
            <w:pPr>
              <w:spacing w:line="360" w:lineRule="auto"/>
              <w:rPr>
                <w:rFonts w:eastAsia="Times New Roman" w:cs="Calibri"/>
                <w:lang w:val="en-US"/>
              </w:rPr>
            </w:pPr>
            <w:r w:rsidRPr="0037024D">
              <w:rPr>
                <w:rFonts w:eastAsia="Times New Roman" w:cs="Calibri"/>
                <w:lang w:val="en-US"/>
              </w:rPr>
              <w:t>5940 (-52780; 135122)</w:t>
            </w:r>
          </w:p>
        </w:tc>
      </w:tr>
    </w:tbl>
    <w:p w14:paraId="51828C83" w14:textId="77777777" w:rsidR="00F51D8E" w:rsidRPr="00630086" w:rsidRDefault="00F51D8E" w:rsidP="00F51D8E">
      <w:pPr>
        <w:rPr>
          <w:lang w:val="en-US"/>
        </w:rPr>
      </w:pPr>
      <w:r w:rsidRPr="00C9506C">
        <w:rPr>
          <w:lang w:val="en-US"/>
        </w:rPr>
        <w:t>* Active Monitoring is the reference group. Bold numbers indicate statistically significant differences between study arms.</w:t>
      </w:r>
      <w:r>
        <w:rPr>
          <w:lang w:val="en-US"/>
        </w:rPr>
        <w:t xml:space="preserve"> ITT: Intention to treat.</w:t>
      </w:r>
    </w:p>
    <w:p w14:paraId="5B3E6D0C" w14:textId="77777777" w:rsidR="00464E67" w:rsidRDefault="00464E67" w:rsidP="00F51D8E">
      <w:pPr>
        <w:rPr>
          <w:lang w:val="en-US"/>
        </w:rPr>
      </w:pPr>
    </w:p>
    <w:p w14:paraId="642DC83C" w14:textId="77777777" w:rsidR="00F51D8E" w:rsidRDefault="00F51D8E" w:rsidP="00F51D8E">
      <w:pPr>
        <w:rPr>
          <w:lang w:val="en-US"/>
        </w:rPr>
      </w:pPr>
    </w:p>
    <w:p w14:paraId="4B6794D7" w14:textId="77777777" w:rsidR="00F51D8E" w:rsidRDefault="00F51D8E" w:rsidP="00F51D8E">
      <w:pPr>
        <w:rPr>
          <w:lang w:val="en-US"/>
        </w:rPr>
      </w:pPr>
    </w:p>
    <w:p w14:paraId="5FC5DD49" w14:textId="77777777" w:rsidR="00F51D8E" w:rsidRDefault="00F51D8E" w:rsidP="00F51D8E">
      <w:pPr>
        <w:rPr>
          <w:lang w:val="en-US"/>
        </w:rPr>
      </w:pPr>
    </w:p>
    <w:p w14:paraId="44C729E9" w14:textId="77777777" w:rsidR="00F51D8E" w:rsidRDefault="00F51D8E" w:rsidP="00F51D8E">
      <w:pPr>
        <w:rPr>
          <w:lang w:val="en-US"/>
        </w:rPr>
      </w:pPr>
    </w:p>
    <w:p w14:paraId="279FBB2B" w14:textId="77777777" w:rsidR="00F51D8E" w:rsidRDefault="00F51D8E" w:rsidP="00F51D8E">
      <w:pPr>
        <w:rPr>
          <w:lang w:val="en-US"/>
        </w:rPr>
      </w:pPr>
    </w:p>
    <w:p w14:paraId="35DC2D33" w14:textId="77777777" w:rsidR="00F51D8E" w:rsidRDefault="00F51D8E" w:rsidP="00F51D8E">
      <w:pPr>
        <w:rPr>
          <w:lang w:val="en-US"/>
        </w:rPr>
      </w:pPr>
    </w:p>
    <w:p w14:paraId="5ABEC96E" w14:textId="77777777" w:rsidR="00F51D8E" w:rsidRDefault="00F51D8E" w:rsidP="00F51D8E">
      <w:pPr>
        <w:rPr>
          <w:lang w:val="en-US"/>
        </w:rPr>
      </w:pPr>
    </w:p>
    <w:p w14:paraId="64425ADF" w14:textId="77777777" w:rsidR="00F51D8E" w:rsidRDefault="00F51D8E" w:rsidP="00F51D8E">
      <w:pPr>
        <w:rPr>
          <w:lang w:val="en-US"/>
        </w:rPr>
      </w:pPr>
    </w:p>
    <w:p w14:paraId="18AC79CF" w14:textId="77777777" w:rsidR="00F51D8E" w:rsidRDefault="00F51D8E" w:rsidP="00F51D8E">
      <w:pPr>
        <w:rPr>
          <w:lang w:val="en-US"/>
        </w:rPr>
      </w:pPr>
    </w:p>
    <w:p w14:paraId="7634D3B1" w14:textId="77777777" w:rsidR="00F51D8E" w:rsidRPr="00C9506C" w:rsidRDefault="00F51D8E" w:rsidP="00F51D8E">
      <w:pPr>
        <w:spacing w:after="0" w:line="480" w:lineRule="auto"/>
        <w:rPr>
          <w:b/>
          <w:bCs/>
          <w:color w:val="000000"/>
          <w:lang w:val="en-US"/>
        </w:rPr>
      </w:pPr>
      <w:r>
        <w:rPr>
          <w:lang w:val="en-US"/>
        </w:rPr>
        <w:lastRenderedPageBreak/>
        <w:t xml:space="preserve">Supplementary </w:t>
      </w:r>
      <w:r w:rsidRPr="00C9506C">
        <w:rPr>
          <w:lang w:val="en-US"/>
        </w:rPr>
        <w:t xml:space="preserve">Table </w:t>
      </w:r>
      <w:r>
        <w:rPr>
          <w:lang w:val="en-US"/>
        </w:rPr>
        <w:t>1</w:t>
      </w:r>
      <w:r w:rsidRPr="00C9506C">
        <w:rPr>
          <w:lang w:val="en-US"/>
        </w:rPr>
        <w:t>. Unadjusted differences in costs between groups at 6 and 12 months follow-up</w:t>
      </w:r>
      <w:r>
        <w:rPr>
          <w:lang w:val="en-US"/>
        </w:rPr>
        <w:t xml:space="preserve"> and evolution of the severity of depression</w:t>
      </w:r>
    </w:p>
    <w:tbl>
      <w:tblPr>
        <w:tblW w:w="0" w:type="auto"/>
        <w:tblBorders>
          <w:top w:val="single" w:sz="8" w:space="0" w:color="000000"/>
          <w:bottom w:val="single" w:sz="8" w:space="0" w:color="000000"/>
        </w:tblBorders>
        <w:tblLook w:val="04A0" w:firstRow="1" w:lastRow="0" w:firstColumn="1" w:lastColumn="0" w:noHBand="0" w:noVBand="1"/>
      </w:tblPr>
      <w:tblGrid>
        <w:gridCol w:w="1420"/>
        <w:gridCol w:w="1031"/>
        <w:gridCol w:w="1331"/>
        <w:gridCol w:w="1030"/>
        <w:gridCol w:w="1331"/>
        <w:gridCol w:w="1030"/>
        <w:gridCol w:w="1331"/>
      </w:tblGrid>
      <w:tr w:rsidR="00F51D8E" w:rsidRPr="00C9506C" w14:paraId="522FEA6C" w14:textId="77777777" w:rsidTr="007E28B9">
        <w:trPr>
          <w:trHeight w:val="454"/>
        </w:trPr>
        <w:tc>
          <w:tcPr>
            <w:tcW w:w="2559" w:type="dxa"/>
            <w:tcBorders>
              <w:top w:val="single" w:sz="8" w:space="0" w:color="000000"/>
              <w:left w:val="nil"/>
              <w:bottom w:val="single" w:sz="8" w:space="0" w:color="000000"/>
              <w:right w:val="nil"/>
            </w:tcBorders>
            <w:shd w:val="clear" w:color="auto" w:fill="auto"/>
          </w:tcPr>
          <w:p w14:paraId="63AA366B" w14:textId="77777777" w:rsidR="00F51D8E" w:rsidRPr="00C9506C" w:rsidRDefault="00F51D8E" w:rsidP="007E28B9">
            <w:pPr>
              <w:spacing w:after="0" w:line="480" w:lineRule="auto"/>
              <w:rPr>
                <w:b/>
                <w:bCs/>
                <w:color w:val="000000"/>
                <w:lang w:val="en-US"/>
              </w:rPr>
            </w:pPr>
          </w:p>
        </w:tc>
        <w:tc>
          <w:tcPr>
            <w:tcW w:w="1523" w:type="dxa"/>
            <w:tcBorders>
              <w:top w:val="single" w:sz="8" w:space="0" w:color="000000"/>
              <w:left w:val="nil"/>
              <w:bottom w:val="single" w:sz="8" w:space="0" w:color="000000"/>
              <w:right w:val="nil"/>
            </w:tcBorders>
          </w:tcPr>
          <w:p w14:paraId="13F6904C" w14:textId="77777777" w:rsidR="00F51D8E" w:rsidRPr="00C9506C" w:rsidRDefault="00F51D8E" w:rsidP="007E28B9">
            <w:pPr>
              <w:spacing w:after="0" w:line="480" w:lineRule="auto"/>
              <w:rPr>
                <w:b/>
                <w:bCs/>
                <w:color w:val="000000"/>
                <w:lang w:val="en-US"/>
              </w:rPr>
            </w:pPr>
            <w:r>
              <w:rPr>
                <w:b/>
                <w:bCs/>
                <w:color w:val="000000"/>
                <w:lang w:val="en-US"/>
              </w:rPr>
              <w:t>Baseline</w:t>
            </w:r>
          </w:p>
        </w:tc>
        <w:tc>
          <w:tcPr>
            <w:tcW w:w="1612" w:type="dxa"/>
            <w:tcBorders>
              <w:top w:val="single" w:sz="8" w:space="0" w:color="000000"/>
              <w:left w:val="nil"/>
              <w:bottom w:val="single" w:sz="8" w:space="0" w:color="000000"/>
              <w:right w:val="nil"/>
            </w:tcBorders>
          </w:tcPr>
          <w:p w14:paraId="750A7CE3" w14:textId="77777777" w:rsidR="00F51D8E" w:rsidRPr="00C9506C" w:rsidRDefault="00F51D8E" w:rsidP="007E28B9">
            <w:pPr>
              <w:spacing w:after="0" w:line="480" w:lineRule="auto"/>
              <w:rPr>
                <w:b/>
                <w:bCs/>
                <w:color w:val="000000"/>
                <w:lang w:val="en-US"/>
              </w:rPr>
            </w:pPr>
          </w:p>
        </w:tc>
        <w:tc>
          <w:tcPr>
            <w:tcW w:w="1985" w:type="dxa"/>
            <w:tcBorders>
              <w:top w:val="single" w:sz="8" w:space="0" w:color="000000"/>
              <w:left w:val="nil"/>
              <w:bottom w:val="single" w:sz="8" w:space="0" w:color="000000"/>
              <w:right w:val="nil"/>
            </w:tcBorders>
          </w:tcPr>
          <w:p w14:paraId="2E660308" w14:textId="77777777" w:rsidR="00F51D8E" w:rsidRPr="00C9506C" w:rsidRDefault="00F51D8E" w:rsidP="007E28B9">
            <w:pPr>
              <w:spacing w:after="0" w:line="480" w:lineRule="auto"/>
              <w:rPr>
                <w:b/>
                <w:bCs/>
                <w:color w:val="000000"/>
                <w:lang w:val="en-US"/>
              </w:rPr>
            </w:pPr>
            <w:r w:rsidRPr="00C9506C">
              <w:rPr>
                <w:b/>
                <w:bCs/>
                <w:color w:val="000000"/>
                <w:lang w:val="en-US"/>
              </w:rPr>
              <w:t>6 month</w:t>
            </w:r>
          </w:p>
        </w:tc>
        <w:tc>
          <w:tcPr>
            <w:tcW w:w="2170" w:type="dxa"/>
            <w:tcBorders>
              <w:top w:val="single" w:sz="8" w:space="0" w:color="000000"/>
              <w:left w:val="nil"/>
              <w:bottom w:val="single" w:sz="8" w:space="0" w:color="000000"/>
              <w:right w:val="nil"/>
            </w:tcBorders>
          </w:tcPr>
          <w:p w14:paraId="1A8F1968" w14:textId="77777777" w:rsidR="00F51D8E" w:rsidRPr="00C9506C" w:rsidRDefault="00F51D8E" w:rsidP="007E28B9">
            <w:pPr>
              <w:spacing w:after="0" w:line="480" w:lineRule="auto"/>
              <w:rPr>
                <w:b/>
                <w:bCs/>
                <w:color w:val="000000"/>
                <w:lang w:val="en-US"/>
              </w:rPr>
            </w:pPr>
          </w:p>
        </w:tc>
        <w:tc>
          <w:tcPr>
            <w:tcW w:w="1985" w:type="dxa"/>
            <w:tcBorders>
              <w:top w:val="single" w:sz="8" w:space="0" w:color="000000"/>
              <w:left w:val="nil"/>
              <w:bottom w:val="single" w:sz="8" w:space="0" w:color="000000"/>
              <w:right w:val="nil"/>
            </w:tcBorders>
          </w:tcPr>
          <w:p w14:paraId="7ECE79E7" w14:textId="77777777" w:rsidR="00F51D8E" w:rsidRPr="00C9506C" w:rsidRDefault="00F51D8E" w:rsidP="007E28B9">
            <w:pPr>
              <w:spacing w:after="0" w:line="480" w:lineRule="auto"/>
              <w:rPr>
                <w:b/>
                <w:bCs/>
                <w:color w:val="000000"/>
                <w:lang w:val="en-US"/>
              </w:rPr>
            </w:pPr>
            <w:r w:rsidRPr="00C9506C">
              <w:rPr>
                <w:b/>
                <w:bCs/>
                <w:color w:val="000000"/>
                <w:lang w:val="en-US"/>
              </w:rPr>
              <w:t>12 month</w:t>
            </w:r>
          </w:p>
        </w:tc>
        <w:tc>
          <w:tcPr>
            <w:tcW w:w="2170" w:type="dxa"/>
            <w:tcBorders>
              <w:top w:val="single" w:sz="8" w:space="0" w:color="000000"/>
              <w:left w:val="nil"/>
              <w:bottom w:val="single" w:sz="8" w:space="0" w:color="000000"/>
              <w:right w:val="nil"/>
            </w:tcBorders>
          </w:tcPr>
          <w:p w14:paraId="52278BED" w14:textId="77777777" w:rsidR="00F51D8E" w:rsidRPr="00C9506C" w:rsidRDefault="00F51D8E" w:rsidP="007E28B9">
            <w:pPr>
              <w:spacing w:after="0" w:line="480" w:lineRule="auto"/>
              <w:rPr>
                <w:b/>
                <w:bCs/>
                <w:color w:val="000000"/>
                <w:lang w:val="en-US"/>
              </w:rPr>
            </w:pPr>
          </w:p>
        </w:tc>
      </w:tr>
      <w:tr w:rsidR="00F51D8E" w:rsidRPr="00C9506C" w14:paraId="122D3090" w14:textId="77777777" w:rsidTr="007E28B9">
        <w:trPr>
          <w:trHeight w:val="454"/>
        </w:trPr>
        <w:tc>
          <w:tcPr>
            <w:tcW w:w="2559" w:type="dxa"/>
            <w:tcBorders>
              <w:top w:val="single" w:sz="8" w:space="0" w:color="000000"/>
              <w:left w:val="nil"/>
              <w:bottom w:val="single" w:sz="8" w:space="0" w:color="000000"/>
              <w:right w:val="nil"/>
            </w:tcBorders>
            <w:shd w:val="clear" w:color="auto" w:fill="auto"/>
          </w:tcPr>
          <w:p w14:paraId="13411D95" w14:textId="77777777" w:rsidR="00F51D8E" w:rsidRPr="00C9506C" w:rsidRDefault="00F51D8E" w:rsidP="007E28B9">
            <w:pPr>
              <w:spacing w:after="0" w:line="240" w:lineRule="auto"/>
              <w:rPr>
                <w:b/>
                <w:bCs/>
                <w:color w:val="000000"/>
                <w:lang w:val="en-US"/>
              </w:rPr>
            </w:pPr>
            <w:r w:rsidRPr="00C9506C">
              <w:rPr>
                <w:b/>
                <w:bCs/>
                <w:color w:val="000000"/>
                <w:lang w:val="en-US"/>
              </w:rPr>
              <w:t>Type of utilization</w:t>
            </w:r>
          </w:p>
        </w:tc>
        <w:tc>
          <w:tcPr>
            <w:tcW w:w="1523" w:type="dxa"/>
            <w:tcBorders>
              <w:top w:val="single" w:sz="8" w:space="0" w:color="000000"/>
              <w:left w:val="nil"/>
              <w:bottom w:val="single" w:sz="8" w:space="0" w:color="000000"/>
              <w:right w:val="nil"/>
            </w:tcBorders>
          </w:tcPr>
          <w:p w14:paraId="4418A9A1" w14:textId="77777777" w:rsidR="00F51D8E" w:rsidRPr="00C9506C" w:rsidRDefault="00F51D8E" w:rsidP="007E28B9">
            <w:pPr>
              <w:spacing w:after="0" w:line="240" w:lineRule="auto"/>
              <w:rPr>
                <w:b/>
                <w:bCs/>
                <w:color w:val="000000"/>
                <w:lang w:val="en-US"/>
              </w:rPr>
            </w:pPr>
            <w:r w:rsidRPr="00C9506C">
              <w:rPr>
                <w:b/>
                <w:bCs/>
                <w:color w:val="000000"/>
                <w:lang w:val="en-US"/>
              </w:rPr>
              <w:t>Active monitoring (N=118)</w:t>
            </w:r>
          </w:p>
          <w:p w14:paraId="013070CA" w14:textId="77777777" w:rsidR="00F51D8E" w:rsidRPr="00C9506C" w:rsidRDefault="00F51D8E" w:rsidP="007E28B9">
            <w:pPr>
              <w:spacing w:after="0" w:line="240" w:lineRule="auto"/>
              <w:rPr>
                <w:b/>
                <w:bCs/>
                <w:color w:val="000000"/>
                <w:lang w:val="en-US"/>
              </w:rPr>
            </w:pPr>
            <w:r w:rsidRPr="00C9506C">
              <w:rPr>
                <w:b/>
                <w:bCs/>
                <w:color w:val="000000"/>
                <w:lang w:val="en-US"/>
              </w:rPr>
              <w:t>Mean (SE)</w:t>
            </w:r>
          </w:p>
        </w:tc>
        <w:tc>
          <w:tcPr>
            <w:tcW w:w="1612" w:type="dxa"/>
            <w:tcBorders>
              <w:top w:val="single" w:sz="8" w:space="0" w:color="000000"/>
              <w:left w:val="nil"/>
              <w:bottom w:val="single" w:sz="8" w:space="0" w:color="000000"/>
              <w:right w:val="nil"/>
            </w:tcBorders>
          </w:tcPr>
          <w:p w14:paraId="3A63AD0E" w14:textId="77777777" w:rsidR="00F51D8E" w:rsidRPr="00C9506C" w:rsidRDefault="00F51D8E" w:rsidP="007E28B9">
            <w:pPr>
              <w:spacing w:after="0" w:line="240" w:lineRule="auto"/>
              <w:rPr>
                <w:b/>
                <w:bCs/>
                <w:color w:val="000000"/>
                <w:lang w:val="en-US"/>
              </w:rPr>
            </w:pPr>
            <w:r w:rsidRPr="00C9506C">
              <w:rPr>
                <w:b/>
                <w:bCs/>
                <w:color w:val="000000"/>
                <w:lang w:val="en-US"/>
              </w:rPr>
              <w:t>Antidepressant (N=145)</w:t>
            </w:r>
          </w:p>
          <w:p w14:paraId="1CF2CA5B" w14:textId="77777777" w:rsidR="00F51D8E" w:rsidRPr="00C9506C" w:rsidRDefault="00F51D8E" w:rsidP="007E28B9">
            <w:pPr>
              <w:spacing w:after="0" w:line="240" w:lineRule="auto"/>
              <w:rPr>
                <w:b/>
                <w:bCs/>
                <w:color w:val="000000"/>
                <w:lang w:val="en-US"/>
              </w:rPr>
            </w:pPr>
            <w:r w:rsidRPr="00C9506C">
              <w:rPr>
                <w:b/>
                <w:bCs/>
                <w:color w:val="000000"/>
                <w:lang w:val="en-US"/>
              </w:rPr>
              <w:t>Mean (SE)</w:t>
            </w:r>
          </w:p>
        </w:tc>
        <w:tc>
          <w:tcPr>
            <w:tcW w:w="1985" w:type="dxa"/>
            <w:tcBorders>
              <w:top w:val="single" w:sz="8" w:space="0" w:color="000000"/>
              <w:left w:val="nil"/>
              <w:bottom w:val="single" w:sz="8" w:space="0" w:color="000000"/>
              <w:right w:val="nil"/>
            </w:tcBorders>
          </w:tcPr>
          <w:p w14:paraId="2949C2F3" w14:textId="77777777" w:rsidR="00F51D8E" w:rsidRPr="00C9506C" w:rsidRDefault="00F51D8E" w:rsidP="007E28B9">
            <w:pPr>
              <w:spacing w:after="0" w:line="240" w:lineRule="auto"/>
              <w:rPr>
                <w:b/>
                <w:bCs/>
                <w:color w:val="000000"/>
                <w:lang w:val="en-US"/>
              </w:rPr>
            </w:pPr>
            <w:r w:rsidRPr="00C9506C">
              <w:rPr>
                <w:b/>
                <w:bCs/>
                <w:color w:val="000000"/>
                <w:lang w:val="en-US"/>
              </w:rPr>
              <w:t>Active monitoring (N=118)</w:t>
            </w:r>
          </w:p>
          <w:p w14:paraId="0DC8BF78" w14:textId="77777777" w:rsidR="00F51D8E" w:rsidRPr="00C9506C" w:rsidRDefault="00F51D8E" w:rsidP="007E28B9">
            <w:pPr>
              <w:spacing w:after="0" w:line="240" w:lineRule="auto"/>
              <w:rPr>
                <w:b/>
                <w:bCs/>
                <w:color w:val="000000"/>
                <w:lang w:val="en-US"/>
              </w:rPr>
            </w:pPr>
            <w:r w:rsidRPr="00C9506C">
              <w:rPr>
                <w:b/>
                <w:bCs/>
                <w:color w:val="000000"/>
                <w:lang w:val="en-US"/>
              </w:rPr>
              <w:t>Mean (SE)</w:t>
            </w:r>
          </w:p>
        </w:tc>
        <w:tc>
          <w:tcPr>
            <w:tcW w:w="2170" w:type="dxa"/>
            <w:tcBorders>
              <w:top w:val="single" w:sz="8" w:space="0" w:color="000000"/>
              <w:left w:val="nil"/>
              <w:bottom w:val="single" w:sz="8" w:space="0" w:color="000000"/>
              <w:right w:val="nil"/>
            </w:tcBorders>
          </w:tcPr>
          <w:p w14:paraId="6966143D" w14:textId="77777777" w:rsidR="00F51D8E" w:rsidRPr="00C9506C" w:rsidRDefault="00F51D8E" w:rsidP="007E28B9">
            <w:pPr>
              <w:spacing w:after="0" w:line="240" w:lineRule="auto"/>
              <w:rPr>
                <w:b/>
                <w:bCs/>
                <w:color w:val="000000"/>
                <w:lang w:val="en-US"/>
              </w:rPr>
            </w:pPr>
            <w:r w:rsidRPr="00C9506C">
              <w:rPr>
                <w:b/>
                <w:bCs/>
                <w:color w:val="000000"/>
                <w:lang w:val="en-US"/>
              </w:rPr>
              <w:t>Antidepressant (N=145)</w:t>
            </w:r>
          </w:p>
          <w:p w14:paraId="0C236A77" w14:textId="77777777" w:rsidR="00F51D8E" w:rsidRPr="00C9506C" w:rsidRDefault="00F51D8E" w:rsidP="007E28B9">
            <w:pPr>
              <w:spacing w:after="0" w:line="240" w:lineRule="auto"/>
              <w:rPr>
                <w:b/>
                <w:bCs/>
                <w:color w:val="000000"/>
                <w:lang w:val="en-US"/>
              </w:rPr>
            </w:pPr>
            <w:r w:rsidRPr="00C9506C">
              <w:rPr>
                <w:b/>
                <w:bCs/>
                <w:color w:val="000000"/>
                <w:lang w:val="en-US"/>
              </w:rPr>
              <w:t>Mean (SE)</w:t>
            </w:r>
          </w:p>
        </w:tc>
        <w:tc>
          <w:tcPr>
            <w:tcW w:w="1985" w:type="dxa"/>
            <w:tcBorders>
              <w:top w:val="single" w:sz="8" w:space="0" w:color="000000"/>
              <w:left w:val="nil"/>
              <w:bottom w:val="single" w:sz="8" w:space="0" w:color="000000"/>
              <w:right w:val="nil"/>
            </w:tcBorders>
          </w:tcPr>
          <w:p w14:paraId="45B805D6" w14:textId="77777777" w:rsidR="00F51D8E" w:rsidRPr="00C9506C" w:rsidRDefault="00F51D8E" w:rsidP="007E28B9">
            <w:pPr>
              <w:spacing w:after="0" w:line="240" w:lineRule="auto"/>
              <w:rPr>
                <w:b/>
                <w:bCs/>
                <w:color w:val="000000"/>
                <w:lang w:val="en-US"/>
              </w:rPr>
            </w:pPr>
            <w:r w:rsidRPr="00C9506C">
              <w:rPr>
                <w:b/>
                <w:bCs/>
                <w:color w:val="000000"/>
                <w:lang w:val="en-US"/>
              </w:rPr>
              <w:t>Active monitoring (N=118)</w:t>
            </w:r>
          </w:p>
          <w:p w14:paraId="3FC4BBD5" w14:textId="77777777" w:rsidR="00F51D8E" w:rsidRPr="00C9506C" w:rsidRDefault="00F51D8E" w:rsidP="007E28B9">
            <w:pPr>
              <w:spacing w:after="0" w:line="240" w:lineRule="auto"/>
              <w:rPr>
                <w:b/>
                <w:bCs/>
                <w:color w:val="000000"/>
                <w:lang w:val="en-US"/>
              </w:rPr>
            </w:pPr>
            <w:r w:rsidRPr="00C9506C">
              <w:rPr>
                <w:b/>
                <w:bCs/>
                <w:color w:val="000000"/>
                <w:lang w:val="en-US"/>
              </w:rPr>
              <w:t>Mean (SE)</w:t>
            </w:r>
          </w:p>
        </w:tc>
        <w:tc>
          <w:tcPr>
            <w:tcW w:w="2170" w:type="dxa"/>
            <w:tcBorders>
              <w:top w:val="single" w:sz="8" w:space="0" w:color="000000"/>
              <w:left w:val="nil"/>
              <w:bottom w:val="single" w:sz="8" w:space="0" w:color="000000"/>
              <w:right w:val="nil"/>
            </w:tcBorders>
          </w:tcPr>
          <w:p w14:paraId="7966B317" w14:textId="77777777" w:rsidR="00F51D8E" w:rsidRPr="00C9506C" w:rsidRDefault="00F51D8E" w:rsidP="007E28B9">
            <w:pPr>
              <w:spacing w:after="0" w:line="240" w:lineRule="auto"/>
              <w:rPr>
                <w:b/>
                <w:bCs/>
                <w:color w:val="000000"/>
                <w:lang w:val="en-US"/>
              </w:rPr>
            </w:pPr>
            <w:r w:rsidRPr="00C9506C">
              <w:rPr>
                <w:b/>
                <w:bCs/>
                <w:color w:val="000000"/>
                <w:lang w:val="en-US"/>
              </w:rPr>
              <w:t>Antidepressant (N=145)</w:t>
            </w:r>
          </w:p>
          <w:p w14:paraId="73F17BF4" w14:textId="77777777" w:rsidR="00F51D8E" w:rsidRPr="00C9506C" w:rsidRDefault="00F51D8E" w:rsidP="007E28B9">
            <w:pPr>
              <w:spacing w:after="0" w:line="240" w:lineRule="auto"/>
              <w:rPr>
                <w:b/>
                <w:bCs/>
                <w:color w:val="000000"/>
                <w:lang w:val="en-US"/>
              </w:rPr>
            </w:pPr>
            <w:r w:rsidRPr="00C9506C">
              <w:rPr>
                <w:b/>
                <w:bCs/>
                <w:color w:val="000000"/>
                <w:lang w:val="en-US"/>
              </w:rPr>
              <w:t>Mean (SE)</w:t>
            </w:r>
          </w:p>
        </w:tc>
      </w:tr>
      <w:tr w:rsidR="00F51D8E" w:rsidRPr="00C9506C" w14:paraId="4C2270AC" w14:textId="77777777" w:rsidTr="007E28B9">
        <w:trPr>
          <w:trHeight w:val="454"/>
        </w:trPr>
        <w:tc>
          <w:tcPr>
            <w:tcW w:w="2559" w:type="dxa"/>
            <w:tcBorders>
              <w:left w:val="nil"/>
              <w:right w:val="nil"/>
            </w:tcBorders>
            <w:shd w:val="clear" w:color="auto" w:fill="auto"/>
          </w:tcPr>
          <w:p w14:paraId="6AACAD99" w14:textId="77777777" w:rsidR="00F51D8E" w:rsidRPr="00C9506C" w:rsidRDefault="00F51D8E" w:rsidP="007E28B9">
            <w:pPr>
              <w:spacing w:after="0" w:line="480" w:lineRule="auto"/>
              <w:rPr>
                <w:b/>
                <w:bCs/>
                <w:color w:val="000000"/>
                <w:lang w:val="en-US"/>
              </w:rPr>
            </w:pPr>
            <w:r w:rsidRPr="00C9506C">
              <w:rPr>
                <w:b/>
                <w:bCs/>
                <w:color w:val="000000"/>
                <w:lang w:val="en-US"/>
              </w:rPr>
              <w:t xml:space="preserve">Visit to family physician </w:t>
            </w:r>
          </w:p>
        </w:tc>
        <w:tc>
          <w:tcPr>
            <w:tcW w:w="1523" w:type="dxa"/>
            <w:tcBorders>
              <w:left w:val="nil"/>
              <w:right w:val="nil"/>
            </w:tcBorders>
          </w:tcPr>
          <w:p w14:paraId="7D8CA3A4" w14:textId="77777777" w:rsidR="00F51D8E" w:rsidRPr="00C9506C" w:rsidRDefault="00F51D8E" w:rsidP="007E28B9">
            <w:pPr>
              <w:spacing w:after="0" w:line="480" w:lineRule="auto"/>
              <w:rPr>
                <w:color w:val="000000"/>
                <w:lang w:val="en-US"/>
              </w:rPr>
            </w:pPr>
            <w:r>
              <w:rPr>
                <w:color w:val="000000"/>
                <w:lang w:val="en-US"/>
              </w:rPr>
              <w:t>-</w:t>
            </w:r>
          </w:p>
        </w:tc>
        <w:tc>
          <w:tcPr>
            <w:tcW w:w="1612" w:type="dxa"/>
            <w:tcBorders>
              <w:left w:val="nil"/>
              <w:right w:val="nil"/>
            </w:tcBorders>
          </w:tcPr>
          <w:p w14:paraId="176EBB59" w14:textId="77777777" w:rsidR="00F51D8E" w:rsidRPr="00C9506C" w:rsidRDefault="00F51D8E" w:rsidP="007E28B9">
            <w:pPr>
              <w:spacing w:after="0" w:line="480" w:lineRule="auto"/>
              <w:rPr>
                <w:color w:val="000000"/>
                <w:lang w:val="en-US"/>
              </w:rPr>
            </w:pPr>
            <w:r>
              <w:rPr>
                <w:color w:val="000000"/>
                <w:lang w:val="en-US"/>
              </w:rPr>
              <w:t>-</w:t>
            </w:r>
          </w:p>
        </w:tc>
        <w:tc>
          <w:tcPr>
            <w:tcW w:w="1985" w:type="dxa"/>
            <w:tcBorders>
              <w:left w:val="nil"/>
              <w:right w:val="nil"/>
            </w:tcBorders>
          </w:tcPr>
          <w:p w14:paraId="0E16070C" w14:textId="77777777" w:rsidR="00F51D8E" w:rsidRPr="00C9506C" w:rsidRDefault="00F51D8E" w:rsidP="007E28B9">
            <w:pPr>
              <w:spacing w:after="0" w:line="480" w:lineRule="auto"/>
              <w:rPr>
                <w:color w:val="000000"/>
                <w:lang w:val="en-US"/>
              </w:rPr>
            </w:pPr>
            <w:r w:rsidRPr="00C9506C">
              <w:rPr>
                <w:color w:val="000000"/>
                <w:lang w:val="en-US"/>
              </w:rPr>
              <w:t>136.8 (18.2)</w:t>
            </w:r>
          </w:p>
        </w:tc>
        <w:tc>
          <w:tcPr>
            <w:tcW w:w="2170" w:type="dxa"/>
            <w:tcBorders>
              <w:left w:val="nil"/>
              <w:right w:val="nil"/>
            </w:tcBorders>
          </w:tcPr>
          <w:p w14:paraId="7E19164C" w14:textId="77777777" w:rsidR="00F51D8E" w:rsidRPr="00C9506C" w:rsidRDefault="00F51D8E" w:rsidP="007E28B9">
            <w:pPr>
              <w:spacing w:after="0" w:line="480" w:lineRule="auto"/>
              <w:rPr>
                <w:color w:val="000000"/>
                <w:lang w:val="en-US"/>
              </w:rPr>
            </w:pPr>
            <w:r w:rsidRPr="00C9506C">
              <w:rPr>
                <w:color w:val="000000"/>
                <w:lang w:val="en-US"/>
              </w:rPr>
              <w:t>140.3 (13.9)</w:t>
            </w:r>
          </w:p>
        </w:tc>
        <w:tc>
          <w:tcPr>
            <w:tcW w:w="1985" w:type="dxa"/>
            <w:tcBorders>
              <w:left w:val="nil"/>
              <w:right w:val="nil"/>
            </w:tcBorders>
          </w:tcPr>
          <w:p w14:paraId="237951A1" w14:textId="77777777" w:rsidR="00F51D8E" w:rsidRPr="00C9506C" w:rsidRDefault="00F51D8E" w:rsidP="007E28B9">
            <w:pPr>
              <w:spacing w:after="0" w:line="480" w:lineRule="auto"/>
              <w:rPr>
                <w:color w:val="000000"/>
                <w:lang w:val="en-US"/>
              </w:rPr>
            </w:pPr>
            <w:r w:rsidRPr="00C9506C">
              <w:rPr>
                <w:color w:val="000000"/>
                <w:lang w:val="en-US"/>
              </w:rPr>
              <w:t>95.2 (11.1)</w:t>
            </w:r>
          </w:p>
        </w:tc>
        <w:tc>
          <w:tcPr>
            <w:tcW w:w="2170" w:type="dxa"/>
            <w:tcBorders>
              <w:left w:val="nil"/>
              <w:right w:val="nil"/>
            </w:tcBorders>
          </w:tcPr>
          <w:p w14:paraId="003D563F" w14:textId="77777777" w:rsidR="00F51D8E" w:rsidRPr="00C9506C" w:rsidRDefault="00F51D8E" w:rsidP="007E28B9">
            <w:pPr>
              <w:spacing w:after="0" w:line="480" w:lineRule="auto"/>
              <w:rPr>
                <w:color w:val="000000"/>
                <w:lang w:val="en-US"/>
              </w:rPr>
            </w:pPr>
            <w:r w:rsidRPr="00C9506C">
              <w:rPr>
                <w:color w:val="000000"/>
                <w:lang w:val="en-US"/>
              </w:rPr>
              <w:t>126.4 (13.7)</w:t>
            </w:r>
          </w:p>
        </w:tc>
      </w:tr>
      <w:tr w:rsidR="00F51D8E" w:rsidRPr="00C9506C" w14:paraId="280B5541" w14:textId="77777777" w:rsidTr="007E28B9">
        <w:trPr>
          <w:trHeight w:val="454"/>
        </w:trPr>
        <w:tc>
          <w:tcPr>
            <w:tcW w:w="2559" w:type="dxa"/>
            <w:shd w:val="clear" w:color="auto" w:fill="auto"/>
          </w:tcPr>
          <w:p w14:paraId="604962C1" w14:textId="77777777" w:rsidR="00F51D8E" w:rsidRPr="00C9506C" w:rsidRDefault="00F51D8E" w:rsidP="007E28B9">
            <w:pPr>
              <w:spacing w:after="0" w:line="480" w:lineRule="auto"/>
              <w:rPr>
                <w:b/>
                <w:bCs/>
                <w:color w:val="000000"/>
                <w:lang w:val="en-US"/>
              </w:rPr>
            </w:pPr>
            <w:r w:rsidRPr="00C9506C">
              <w:rPr>
                <w:b/>
                <w:bCs/>
                <w:color w:val="000000"/>
                <w:lang w:val="en-US"/>
              </w:rPr>
              <w:t>Visit to nurse</w:t>
            </w:r>
          </w:p>
        </w:tc>
        <w:tc>
          <w:tcPr>
            <w:tcW w:w="1523" w:type="dxa"/>
          </w:tcPr>
          <w:p w14:paraId="7A5E8065" w14:textId="77777777" w:rsidR="00F51D8E" w:rsidRPr="00C9506C" w:rsidRDefault="00F51D8E" w:rsidP="007E28B9">
            <w:pPr>
              <w:spacing w:after="0" w:line="480" w:lineRule="auto"/>
              <w:rPr>
                <w:color w:val="000000"/>
                <w:lang w:val="en-US"/>
              </w:rPr>
            </w:pPr>
            <w:r>
              <w:rPr>
                <w:color w:val="000000"/>
                <w:lang w:val="en-US"/>
              </w:rPr>
              <w:t>-</w:t>
            </w:r>
          </w:p>
        </w:tc>
        <w:tc>
          <w:tcPr>
            <w:tcW w:w="1612" w:type="dxa"/>
          </w:tcPr>
          <w:p w14:paraId="16708D51" w14:textId="77777777" w:rsidR="00F51D8E" w:rsidRPr="00C9506C" w:rsidRDefault="00F51D8E" w:rsidP="007E28B9">
            <w:pPr>
              <w:spacing w:after="0" w:line="480" w:lineRule="auto"/>
              <w:rPr>
                <w:color w:val="000000"/>
                <w:lang w:val="en-US"/>
              </w:rPr>
            </w:pPr>
            <w:r>
              <w:rPr>
                <w:color w:val="000000"/>
                <w:lang w:val="en-US"/>
              </w:rPr>
              <w:t>-</w:t>
            </w:r>
          </w:p>
        </w:tc>
        <w:tc>
          <w:tcPr>
            <w:tcW w:w="1985" w:type="dxa"/>
          </w:tcPr>
          <w:p w14:paraId="76EA222E" w14:textId="77777777" w:rsidR="00F51D8E" w:rsidRPr="00C9506C" w:rsidRDefault="00F51D8E" w:rsidP="007E28B9">
            <w:pPr>
              <w:spacing w:after="0" w:line="480" w:lineRule="auto"/>
              <w:rPr>
                <w:color w:val="000000"/>
                <w:lang w:val="en-US"/>
              </w:rPr>
            </w:pPr>
            <w:r w:rsidRPr="00C9506C">
              <w:rPr>
                <w:color w:val="000000"/>
                <w:lang w:val="en-US"/>
              </w:rPr>
              <w:t>5.1 (1.7)</w:t>
            </w:r>
          </w:p>
        </w:tc>
        <w:tc>
          <w:tcPr>
            <w:tcW w:w="2170" w:type="dxa"/>
          </w:tcPr>
          <w:p w14:paraId="0F2E430A" w14:textId="77777777" w:rsidR="00F51D8E" w:rsidRPr="00C9506C" w:rsidRDefault="00F51D8E" w:rsidP="007E28B9">
            <w:pPr>
              <w:spacing w:after="0" w:line="480" w:lineRule="auto"/>
              <w:rPr>
                <w:color w:val="000000"/>
                <w:lang w:val="en-US"/>
              </w:rPr>
            </w:pPr>
            <w:r w:rsidRPr="00C9506C">
              <w:rPr>
                <w:color w:val="000000"/>
                <w:lang w:val="en-US"/>
              </w:rPr>
              <w:t>7.1 (1.8)</w:t>
            </w:r>
          </w:p>
        </w:tc>
        <w:tc>
          <w:tcPr>
            <w:tcW w:w="1985" w:type="dxa"/>
          </w:tcPr>
          <w:p w14:paraId="7CCE81B7" w14:textId="77777777" w:rsidR="00F51D8E" w:rsidRPr="00C9506C" w:rsidRDefault="00F51D8E" w:rsidP="007E28B9">
            <w:pPr>
              <w:spacing w:after="0" w:line="480" w:lineRule="auto"/>
              <w:rPr>
                <w:color w:val="000000"/>
                <w:lang w:val="en-US"/>
              </w:rPr>
            </w:pPr>
            <w:r w:rsidRPr="00C9506C">
              <w:rPr>
                <w:color w:val="000000"/>
                <w:lang w:val="en-US"/>
              </w:rPr>
              <w:t>5.9 (2.0)</w:t>
            </w:r>
          </w:p>
        </w:tc>
        <w:tc>
          <w:tcPr>
            <w:tcW w:w="2170" w:type="dxa"/>
          </w:tcPr>
          <w:p w14:paraId="19533455" w14:textId="77777777" w:rsidR="00F51D8E" w:rsidRPr="00C9506C" w:rsidRDefault="00F51D8E" w:rsidP="007E28B9">
            <w:pPr>
              <w:spacing w:after="0" w:line="480" w:lineRule="auto"/>
              <w:rPr>
                <w:color w:val="000000"/>
                <w:lang w:val="en-US"/>
              </w:rPr>
            </w:pPr>
            <w:r w:rsidRPr="00C9506C">
              <w:rPr>
                <w:color w:val="000000"/>
                <w:lang w:val="en-US"/>
              </w:rPr>
              <w:t>12.9 (2.9)</w:t>
            </w:r>
          </w:p>
        </w:tc>
      </w:tr>
      <w:tr w:rsidR="00F51D8E" w:rsidRPr="00C9506C" w14:paraId="1AE81953" w14:textId="77777777" w:rsidTr="007E28B9">
        <w:trPr>
          <w:trHeight w:val="454"/>
        </w:trPr>
        <w:tc>
          <w:tcPr>
            <w:tcW w:w="2559" w:type="dxa"/>
            <w:tcBorders>
              <w:left w:val="nil"/>
              <w:right w:val="nil"/>
            </w:tcBorders>
            <w:shd w:val="clear" w:color="auto" w:fill="auto"/>
          </w:tcPr>
          <w:p w14:paraId="55D2772D" w14:textId="77777777" w:rsidR="00F51D8E" w:rsidRPr="00C9506C" w:rsidRDefault="00F51D8E" w:rsidP="007E28B9">
            <w:pPr>
              <w:spacing w:after="0" w:line="480" w:lineRule="auto"/>
              <w:rPr>
                <w:b/>
                <w:bCs/>
                <w:color w:val="000000"/>
                <w:lang w:val="en-US"/>
              </w:rPr>
            </w:pPr>
            <w:r w:rsidRPr="00C9506C">
              <w:rPr>
                <w:b/>
                <w:bCs/>
                <w:color w:val="000000"/>
                <w:lang w:val="en-US"/>
              </w:rPr>
              <w:t xml:space="preserve">Visit to psychologist </w:t>
            </w:r>
          </w:p>
        </w:tc>
        <w:tc>
          <w:tcPr>
            <w:tcW w:w="1523" w:type="dxa"/>
            <w:tcBorders>
              <w:left w:val="nil"/>
              <w:right w:val="nil"/>
            </w:tcBorders>
          </w:tcPr>
          <w:p w14:paraId="0632EE04" w14:textId="77777777" w:rsidR="00F51D8E" w:rsidRPr="00C9506C" w:rsidRDefault="00F51D8E" w:rsidP="007E28B9">
            <w:pPr>
              <w:spacing w:after="0" w:line="480" w:lineRule="auto"/>
              <w:rPr>
                <w:color w:val="000000"/>
                <w:lang w:val="en-US"/>
              </w:rPr>
            </w:pPr>
            <w:r>
              <w:rPr>
                <w:color w:val="000000"/>
                <w:lang w:val="en-US"/>
              </w:rPr>
              <w:t>-</w:t>
            </w:r>
          </w:p>
        </w:tc>
        <w:tc>
          <w:tcPr>
            <w:tcW w:w="1612" w:type="dxa"/>
            <w:tcBorders>
              <w:left w:val="nil"/>
              <w:right w:val="nil"/>
            </w:tcBorders>
          </w:tcPr>
          <w:p w14:paraId="6AE1BBCF" w14:textId="77777777" w:rsidR="00F51D8E" w:rsidRPr="00C9506C" w:rsidRDefault="00F51D8E" w:rsidP="007E28B9">
            <w:pPr>
              <w:spacing w:after="0" w:line="480" w:lineRule="auto"/>
              <w:rPr>
                <w:color w:val="000000"/>
                <w:lang w:val="en-US"/>
              </w:rPr>
            </w:pPr>
            <w:r>
              <w:rPr>
                <w:color w:val="000000"/>
                <w:lang w:val="en-US"/>
              </w:rPr>
              <w:t>-</w:t>
            </w:r>
          </w:p>
        </w:tc>
        <w:tc>
          <w:tcPr>
            <w:tcW w:w="1985" w:type="dxa"/>
            <w:tcBorders>
              <w:left w:val="nil"/>
              <w:right w:val="nil"/>
            </w:tcBorders>
          </w:tcPr>
          <w:p w14:paraId="70EEE26B" w14:textId="77777777" w:rsidR="00F51D8E" w:rsidRPr="00C9506C" w:rsidRDefault="00F51D8E" w:rsidP="007E28B9">
            <w:pPr>
              <w:spacing w:after="0" w:line="480" w:lineRule="auto"/>
              <w:rPr>
                <w:color w:val="000000"/>
                <w:lang w:val="en-US"/>
              </w:rPr>
            </w:pPr>
            <w:r w:rsidRPr="00C9506C">
              <w:rPr>
                <w:color w:val="000000"/>
                <w:lang w:val="en-US"/>
              </w:rPr>
              <w:t>8.8 (4.3)</w:t>
            </w:r>
          </w:p>
        </w:tc>
        <w:tc>
          <w:tcPr>
            <w:tcW w:w="2170" w:type="dxa"/>
            <w:tcBorders>
              <w:left w:val="nil"/>
              <w:right w:val="nil"/>
            </w:tcBorders>
          </w:tcPr>
          <w:p w14:paraId="17710435" w14:textId="77777777" w:rsidR="00F51D8E" w:rsidRPr="00C9506C" w:rsidRDefault="00F51D8E" w:rsidP="007E28B9">
            <w:pPr>
              <w:spacing w:after="0" w:line="480" w:lineRule="auto"/>
              <w:rPr>
                <w:color w:val="000000"/>
                <w:lang w:val="en-US"/>
              </w:rPr>
            </w:pPr>
            <w:r w:rsidRPr="00C9506C">
              <w:rPr>
                <w:color w:val="000000"/>
                <w:lang w:val="en-US"/>
              </w:rPr>
              <w:t>21.0 (7.5)</w:t>
            </w:r>
          </w:p>
        </w:tc>
        <w:tc>
          <w:tcPr>
            <w:tcW w:w="1985" w:type="dxa"/>
            <w:tcBorders>
              <w:left w:val="nil"/>
              <w:right w:val="nil"/>
            </w:tcBorders>
          </w:tcPr>
          <w:p w14:paraId="65BB16EE" w14:textId="77777777" w:rsidR="00F51D8E" w:rsidRPr="00C9506C" w:rsidRDefault="00F51D8E" w:rsidP="007E28B9">
            <w:pPr>
              <w:spacing w:after="0" w:line="480" w:lineRule="auto"/>
              <w:rPr>
                <w:color w:val="000000"/>
                <w:lang w:val="en-US"/>
              </w:rPr>
            </w:pPr>
            <w:r w:rsidRPr="00C9506C">
              <w:rPr>
                <w:color w:val="000000"/>
                <w:lang w:val="en-US"/>
              </w:rPr>
              <w:t>5.9 (3.9)</w:t>
            </w:r>
          </w:p>
        </w:tc>
        <w:tc>
          <w:tcPr>
            <w:tcW w:w="2170" w:type="dxa"/>
            <w:tcBorders>
              <w:left w:val="nil"/>
              <w:right w:val="nil"/>
            </w:tcBorders>
          </w:tcPr>
          <w:p w14:paraId="556B92B5" w14:textId="77777777" w:rsidR="00F51D8E" w:rsidRPr="00C9506C" w:rsidRDefault="00F51D8E" w:rsidP="007E28B9">
            <w:pPr>
              <w:spacing w:after="0" w:line="480" w:lineRule="auto"/>
              <w:rPr>
                <w:color w:val="000000"/>
                <w:lang w:val="en-US"/>
              </w:rPr>
            </w:pPr>
            <w:r w:rsidRPr="00C9506C">
              <w:rPr>
                <w:color w:val="000000"/>
                <w:lang w:val="en-US"/>
              </w:rPr>
              <w:t>15.7 (6.2)</w:t>
            </w:r>
          </w:p>
        </w:tc>
      </w:tr>
      <w:tr w:rsidR="00F51D8E" w:rsidRPr="00C9506C" w14:paraId="4FA4527B" w14:textId="77777777" w:rsidTr="007E28B9">
        <w:trPr>
          <w:trHeight w:val="454"/>
        </w:trPr>
        <w:tc>
          <w:tcPr>
            <w:tcW w:w="2559" w:type="dxa"/>
            <w:shd w:val="clear" w:color="auto" w:fill="auto"/>
          </w:tcPr>
          <w:p w14:paraId="55204A63" w14:textId="77777777" w:rsidR="00F51D8E" w:rsidRPr="00C9506C" w:rsidRDefault="00F51D8E" w:rsidP="007E28B9">
            <w:pPr>
              <w:spacing w:after="0" w:line="480" w:lineRule="auto"/>
              <w:rPr>
                <w:b/>
                <w:bCs/>
                <w:color w:val="000000"/>
                <w:lang w:val="en-US"/>
              </w:rPr>
            </w:pPr>
            <w:r w:rsidRPr="00C9506C">
              <w:rPr>
                <w:b/>
                <w:bCs/>
                <w:color w:val="000000"/>
                <w:lang w:val="en-US"/>
              </w:rPr>
              <w:t>Visit to medical specialists (including psychiatrist)</w:t>
            </w:r>
          </w:p>
        </w:tc>
        <w:tc>
          <w:tcPr>
            <w:tcW w:w="1523" w:type="dxa"/>
          </w:tcPr>
          <w:p w14:paraId="52D28B82" w14:textId="77777777" w:rsidR="00F51D8E" w:rsidRPr="00C9506C" w:rsidRDefault="00F51D8E" w:rsidP="007E28B9">
            <w:pPr>
              <w:spacing w:after="0" w:line="480" w:lineRule="auto"/>
              <w:rPr>
                <w:color w:val="000000"/>
                <w:lang w:val="en-US"/>
              </w:rPr>
            </w:pPr>
            <w:r>
              <w:rPr>
                <w:color w:val="000000"/>
                <w:lang w:val="en-US"/>
              </w:rPr>
              <w:t>-</w:t>
            </w:r>
          </w:p>
        </w:tc>
        <w:tc>
          <w:tcPr>
            <w:tcW w:w="1612" w:type="dxa"/>
          </w:tcPr>
          <w:p w14:paraId="723EE85E" w14:textId="77777777" w:rsidR="00F51D8E" w:rsidRPr="00C9506C" w:rsidRDefault="00F51D8E" w:rsidP="007E28B9">
            <w:pPr>
              <w:spacing w:after="0" w:line="480" w:lineRule="auto"/>
              <w:rPr>
                <w:color w:val="000000"/>
                <w:lang w:val="en-US"/>
              </w:rPr>
            </w:pPr>
            <w:r>
              <w:rPr>
                <w:color w:val="000000"/>
                <w:lang w:val="en-US"/>
              </w:rPr>
              <w:t>-</w:t>
            </w:r>
          </w:p>
        </w:tc>
        <w:tc>
          <w:tcPr>
            <w:tcW w:w="1985" w:type="dxa"/>
          </w:tcPr>
          <w:p w14:paraId="72655ECC" w14:textId="77777777" w:rsidR="00F51D8E" w:rsidRPr="00C9506C" w:rsidRDefault="00F51D8E" w:rsidP="007E28B9">
            <w:pPr>
              <w:spacing w:after="0" w:line="480" w:lineRule="auto"/>
              <w:rPr>
                <w:color w:val="000000"/>
                <w:lang w:val="en-US"/>
              </w:rPr>
            </w:pPr>
            <w:r w:rsidRPr="00C9506C">
              <w:rPr>
                <w:color w:val="000000"/>
                <w:lang w:val="en-US"/>
              </w:rPr>
              <w:t>52.7 (10.2)</w:t>
            </w:r>
          </w:p>
        </w:tc>
        <w:tc>
          <w:tcPr>
            <w:tcW w:w="2170" w:type="dxa"/>
          </w:tcPr>
          <w:p w14:paraId="35F2B3AB" w14:textId="77777777" w:rsidR="00F51D8E" w:rsidRPr="00C9506C" w:rsidRDefault="00F51D8E" w:rsidP="007E28B9">
            <w:pPr>
              <w:spacing w:after="0" w:line="480" w:lineRule="auto"/>
              <w:rPr>
                <w:color w:val="000000"/>
                <w:lang w:val="en-US"/>
              </w:rPr>
            </w:pPr>
            <w:r w:rsidRPr="00C9506C">
              <w:rPr>
                <w:color w:val="000000"/>
                <w:lang w:val="en-US"/>
              </w:rPr>
              <w:t>59.7 (8.7)</w:t>
            </w:r>
          </w:p>
        </w:tc>
        <w:tc>
          <w:tcPr>
            <w:tcW w:w="1985" w:type="dxa"/>
          </w:tcPr>
          <w:p w14:paraId="3AE36ED4" w14:textId="77777777" w:rsidR="00F51D8E" w:rsidRPr="00C9506C" w:rsidRDefault="00F51D8E" w:rsidP="007E28B9">
            <w:pPr>
              <w:spacing w:after="0" w:line="480" w:lineRule="auto"/>
              <w:rPr>
                <w:color w:val="000000"/>
                <w:lang w:val="en-US"/>
              </w:rPr>
            </w:pPr>
            <w:r w:rsidRPr="00C9506C">
              <w:rPr>
                <w:color w:val="000000"/>
                <w:lang w:val="en-US"/>
              </w:rPr>
              <w:t>66.1 (11.2)</w:t>
            </w:r>
          </w:p>
        </w:tc>
        <w:tc>
          <w:tcPr>
            <w:tcW w:w="2170" w:type="dxa"/>
          </w:tcPr>
          <w:p w14:paraId="421F8E56" w14:textId="77777777" w:rsidR="00F51D8E" w:rsidRPr="00C9506C" w:rsidRDefault="00F51D8E" w:rsidP="007E28B9">
            <w:pPr>
              <w:spacing w:after="0" w:line="480" w:lineRule="auto"/>
              <w:rPr>
                <w:color w:val="000000"/>
                <w:lang w:val="en-US"/>
              </w:rPr>
            </w:pPr>
            <w:r w:rsidRPr="00C9506C">
              <w:rPr>
                <w:color w:val="000000"/>
                <w:lang w:val="en-US"/>
              </w:rPr>
              <w:t>65.1 (9.8)</w:t>
            </w:r>
          </w:p>
        </w:tc>
      </w:tr>
      <w:tr w:rsidR="00F51D8E" w:rsidRPr="00C9506C" w14:paraId="0B8F3B0D" w14:textId="77777777" w:rsidTr="007E28B9">
        <w:trPr>
          <w:trHeight w:val="454"/>
        </w:trPr>
        <w:tc>
          <w:tcPr>
            <w:tcW w:w="2559" w:type="dxa"/>
            <w:tcBorders>
              <w:left w:val="nil"/>
              <w:right w:val="nil"/>
            </w:tcBorders>
            <w:shd w:val="clear" w:color="auto" w:fill="auto"/>
          </w:tcPr>
          <w:p w14:paraId="6DFD1F55" w14:textId="77777777" w:rsidR="00F51D8E" w:rsidRPr="00C9506C" w:rsidRDefault="00F51D8E" w:rsidP="007E28B9">
            <w:pPr>
              <w:spacing w:after="0" w:line="480" w:lineRule="auto"/>
              <w:rPr>
                <w:b/>
                <w:bCs/>
                <w:color w:val="000000"/>
                <w:lang w:val="en-US"/>
              </w:rPr>
            </w:pPr>
            <w:r w:rsidRPr="00C9506C">
              <w:rPr>
                <w:b/>
                <w:bCs/>
                <w:color w:val="000000"/>
                <w:lang w:val="en-US"/>
              </w:rPr>
              <w:t>Visit to dentist in the primary care practice</w:t>
            </w:r>
          </w:p>
        </w:tc>
        <w:tc>
          <w:tcPr>
            <w:tcW w:w="1523" w:type="dxa"/>
            <w:tcBorders>
              <w:left w:val="nil"/>
              <w:right w:val="nil"/>
            </w:tcBorders>
          </w:tcPr>
          <w:p w14:paraId="22A7FA3D" w14:textId="77777777" w:rsidR="00F51D8E" w:rsidRPr="00C9506C" w:rsidRDefault="00F51D8E" w:rsidP="007E28B9">
            <w:pPr>
              <w:spacing w:after="0" w:line="480" w:lineRule="auto"/>
              <w:rPr>
                <w:color w:val="000000"/>
                <w:lang w:val="en-US"/>
              </w:rPr>
            </w:pPr>
            <w:r>
              <w:rPr>
                <w:color w:val="000000"/>
                <w:lang w:val="en-US"/>
              </w:rPr>
              <w:t>-</w:t>
            </w:r>
          </w:p>
        </w:tc>
        <w:tc>
          <w:tcPr>
            <w:tcW w:w="1612" w:type="dxa"/>
            <w:tcBorders>
              <w:left w:val="nil"/>
              <w:right w:val="nil"/>
            </w:tcBorders>
          </w:tcPr>
          <w:p w14:paraId="2137C177" w14:textId="77777777" w:rsidR="00F51D8E" w:rsidRPr="00C9506C" w:rsidRDefault="00F51D8E" w:rsidP="007E28B9">
            <w:pPr>
              <w:spacing w:after="0" w:line="480" w:lineRule="auto"/>
              <w:rPr>
                <w:color w:val="000000"/>
                <w:lang w:val="en-US"/>
              </w:rPr>
            </w:pPr>
            <w:r>
              <w:rPr>
                <w:color w:val="000000"/>
                <w:lang w:val="en-US"/>
              </w:rPr>
              <w:t>-</w:t>
            </w:r>
          </w:p>
        </w:tc>
        <w:tc>
          <w:tcPr>
            <w:tcW w:w="1985" w:type="dxa"/>
            <w:tcBorders>
              <w:left w:val="nil"/>
              <w:right w:val="nil"/>
            </w:tcBorders>
          </w:tcPr>
          <w:p w14:paraId="7305BAC2" w14:textId="77777777" w:rsidR="00F51D8E" w:rsidRPr="00C9506C" w:rsidRDefault="00F51D8E" w:rsidP="007E28B9">
            <w:pPr>
              <w:spacing w:after="0" w:line="480" w:lineRule="auto"/>
              <w:rPr>
                <w:color w:val="000000"/>
                <w:lang w:val="en-US"/>
              </w:rPr>
            </w:pPr>
            <w:r w:rsidRPr="00C9506C">
              <w:rPr>
                <w:color w:val="000000"/>
                <w:lang w:val="en-US"/>
              </w:rPr>
              <w:t>2.8 (1.8)</w:t>
            </w:r>
          </w:p>
        </w:tc>
        <w:tc>
          <w:tcPr>
            <w:tcW w:w="2170" w:type="dxa"/>
            <w:tcBorders>
              <w:left w:val="nil"/>
              <w:right w:val="nil"/>
            </w:tcBorders>
          </w:tcPr>
          <w:p w14:paraId="3DDA9E16" w14:textId="77777777" w:rsidR="00F51D8E" w:rsidRPr="00C9506C" w:rsidRDefault="00F51D8E" w:rsidP="007E28B9">
            <w:pPr>
              <w:spacing w:after="0" w:line="480" w:lineRule="auto"/>
              <w:rPr>
                <w:color w:val="000000"/>
                <w:lang w:val="en-US"/>
              </w:rPr>
            </w:pPr>
            <w:r w:rsidRPr="00C9506C">
              <w:rPr>
                <w:color w:val="000000"/>
                <w:lang w:val="en-US"/>
              </w:rPr>
              <w:t>2.3 (1.3)</w:t>
            </w:r>
          </w:p>
        </w:tc>
        <w:tc>
          <w:tcPr>
            <w:tcW w:w="1985" w:type="dxa"/>
            <w:tcBorders>
              <w:left w:val="nil"/>
              <w:right w:val="nil"/>
            </w:tcBorders>
          </w:tcPr>
          <w:p w14:paraId="06EF8458" w14:textId="77777777" w:rsidR="00F51D8E" w:rsidRPr="00C9506C" w:rsidRDefault="00F51D8E" w:rsidP="007E28B9">
            <w:pPr>
              <w:spacing w:after="0" w:line="480" w:lineRule="auto"/>
              <w:rPr>
                <w:color w:val="000000"/>
                <w:lang w:val="en-US"/>
              </w:rPr>
            </w:pPr>
            <w:r w:rsidRPr="00C9506C">
              <w:rPr>
                <w:color w:val="000000"/>
                <w:lang w:val="en-US"/>
              </w:rPr>
              <w:t>6.9 (4.6)</w:t>
            </w:r>
          </w:p>
        </w:tc>
        <w:tc>
          <w:tcPr>
            <w:tcW w:w="2170" w:type="dxa"/>
            <w:tcBorders>
              <w:left w:val="nil"/>
              <w:right w:val="nil"/>
            </w:tcBorders>
          </w:tcPr>
          <w:p w14:paraId="2DB4C8FC" w14:textId="77777777" w:rsidR="00F51D8E" w:rsidRPr="00C9506C" w:rsidRDefault="00F51D8E" w:rsidP="007E28B9">
            <w:pPr>
              <w:spacing w:after="0" w:line="480" w:lineRule="auto"/>
              <w:rPr>
                <w:color w:val="000000"/>
                <w:lang w:val="en-US"/>
              </w:rPr>
            </w:pPr>
            <w:r w:rsidRPr="00C9506C">
              <w:rPr>
                <w:color w:val="000000"/>
                <w:lang w:val="en-US"/>
              </w:rPr>
              <w:t>5.8 (3.6)</w:t>
            </w:r>
          </w:p>
        </w:tc>
      </w:tr>
      <w:tr w:rsidR="00F51D8E" w:rsidRPr="00C9506C" w14:paraId="31174A39" w14:textId="77777777" w:rsidTr="007E28B9">
        <w:trPr>
          <w:trHeight w:val="454"/>
        </w:trPr>
        <w:tc>
          <w:tcPr>
            <w:tcW w:w="2559" w:type="dxa"/>
            <w:shd w:val="clear" w:color="auto" w:fill="auto"/>
          </w:tcPr>
          <w:p w14:paraId="10D90A7D" w14:textId="77777777" w:rsidR="00F51D8E" w:rsidRPr="00C9506C" w:rsidRDefault="00F51D8E" w:rsidP="007E28B9">
            <w:pPr>
              <w:spacing w:after="0" w:line="480" w:lineRule="auto"/>
              <w:rPr>
                <w:b/>
                <w:bCs/>
                <w:color w:val="000000"/>
                <w:lang w:val="en-US"/>
              </w:rPr>
            </w:pPr>
            <w:r w:rsidRPr="00C9506C">
              <w:rPr>
                <w:b/>
                <w:bCs/>
                <w:color w:val="000000"/>
                <w:lang w:val="en-US"/>
              </w:rPr>
              <w:lastRenderedPageBreak/>
              <w:t>Hospital emergency visit</w:t>
            </w:r>
          </w:p>
        </w:tc>
        <w:tc>
          <w:tcPr>
            <w:tcW w:w="1523" w:type="dxa"/>
          </w:tcPr>
          <w:p w14:paraId="717409B1" w14:textId="77777777" w:rsidR="00F51D8E" w:rsidRPr="00C9506C" w:rsidRDefault="00F51D8E" w:rsidP="007E28B9">
            <w:pPr>
              <w:spacing w:after="0" w:line="480" w:lineRule="auto"/>
              <w:rPr>
                <w:color w:val="000000"/>
                <w:lang w:val="en-US"/>
              </w:rPr>
            </w:pPr>
            <w:r>
              <w:rPr>
                <w:color w:val="000000"/>
                <w:lang w:val="en-US"/>
              </w:rPr>
              <w:t>-</w:t>
            </w:r>
          </w:p>
        </w:tc>
        <w:tc>
          <w:tcPr>
            <w:tcW w:w="1612" w:type="dxa"/>
          </w:tcPr>
          <w:p w14:paraId="0BA4B28E" w14:textId="77777777" w:rsidR="00F51D8E" w:rsidRPr="00C9506C" w:rsidRDefault="00F51D8E" w:rsidP="007E28B9">
            <w:pPr>
              <w:spacing w:after="0" w:line="480" w:lineRule="auto"/>
              <w:rPr>
                <w:color w:val="000000"/>
                <w:lang w:val="en-US"/>
              </w:rPr>
            </w:pPr>
            <w:r>
              <w:rPr>
                <w:color w:val="000000"/>
                <w:lang w:val="en-US"/>
              </w:rPr>
              <w:t>-</w:t>
            </w:r>
          </w:p>
        </w:tc>
        <w:tc>
          <w:tcPr>
            <w:tcW w:w="1985" w:type="dxa"/>
          </w:tcPr>
          <w:p w14:paraId="4862B0C0" w14:textId="77777777" w:rsidR="00F51D8E" w:rsidRPr="00C9506C" w:rsidRDefault="00F51D8E" w:rsidP="007E28B9">
            <w:pPr>
              <w:spacing w:after="0" w:line="480" w:lineRule="auto"/>
              <w:rPr>
                <w:color w:val="000000"/>
                <w:lang w:val="en-US"/>
              </w:rPr>
            </w:pPr>
            <w:r w:rsidRPr="00C9506C">
              <w:rPr>
                <w:color w:val="000000"/>
                <w:lang w:val="en-US"/>
              </w:rPr>
              <w:t>24.0 (4.1)</w:t>
            </w:r>
          </w:p>
          <w:p w14:paraId="0D239450" w14:textId="77777777" w:rsidR="00F51D8E" w:rsidRPr="00C9506C" w:rsidRDefault="00F51D8E" w:rsidP="007E28B9">
            <w:pPr>
              <w:spacing w:after="0" w:line="480" w:lineRule="auto"/>
              <w:rPr>
                <w:color w:val="000000"/>
                <w:lang w:val="en-US"/>
              </w:rPr>
            </w:pPr>
          </w:p>
        </w:tc>
        <w:tc>
          <w:tcPr>
            <w:tcW w:w="2170" w:type="dxa"/>
          </w:tcPr>
          <w:p w14:paraId="28FD7D62" w14:textId="77777777" w:rsidR="00F51D8E" w:rsidRPr="00C9506C" w:rsidRDefault="00F51D8E" w:rsidP="007E28B9">
            <w:pPr>
              <w:spacing w:after="0" w:line="480" w:lineRule="auto"/>
              <w:rPr>
                <w:color w:val="000000"/>
                <w:lang w:val="en-US"/>
              </w:rPr>
            </w:pPr>
            <w:r w:rsidRPr="00C9506C">
              <w:rPr>
                <w:color w:val="000000"/>
                <w:lang w:val="en-US"/>
              </w:rPr>
              <w:t>28.5 (4.0)</w:t>
            </w:r>
          </w:p>
        </w:tc>
        <w:tc>
          <w:tcPr>
            <w:tcW w:w="1985" w:type="dxa"/>
          </w:tcPr>
          <w:p w14:paraId="1FBFD48C" w14:textId="77777777" w:rsidR="00F51D8E" w:rsidRPr="00C9506C" w:rsidRDefault="00F51D8E" w:rsidP="007E28B9">
            <w:pPr>
              <w:spacing w:after="0" w:line="480" w:lineRule="auto"/>
              <w:rPr>
                <w:color w:val="000000"/>
                <w:lang w:val="en-US"/>
              </w:rPr>
            </w:pPr>
            <w:r w:rsidRPr="00C9506C">
              <w:rPr>
                <w:color w:val="000000"/>
                <w:lang w:val="en-US"/>
              </w:rPr>
              <w:t>28.4 (4.6)</w:t>
            </w:r>
          </w:p>
        </w:tc>
        <w:tc>
          <w:tcPr>
            <w:tcW w:w="2170" w:type="dxa"/>
          </w:tcPr>
          <w:p w14:paraId="1D49BE53" w14:textId="77777777" w:rsidR="00F51D8E" w:rsidRPr="00C9506C" w:rsidRDefault="00F51D8E" w:rsidP="007E28B9">
            <w:pPr>
              <w:spacing w:after="0" w:line="480" w:lineRule="auto"/>
              <w:rPr>
                <w:color w:val="000000"/>
                <w:lang w:val="en-US"/>
              </w:rPr>
            </w:pPr>
            <w:r w:rsidRPr="00C9506C">
              <w:rPr>
                <w:color w:val="000000"/>
                <w:lang w:val="en-US"/>
              </w:rPr>
              <w:t>36.5 (4.5)</w:t>
            </w:r>
          </w:p>
        </w:tc>
      </w:tr>
      <w:tr w:rsidR="00F51D8E" w:rsidRPr="00C9506C" w14:paraId="368F44BC" w14:textId="77777777" w:rsidTr="007E28B9">
        <w:trPr>
          <w:trHeight w:val="454"/>
        </w:trPr>
        <w:tc>
          <w:tcPr>
            <w:tcW w:w="2559" w:type="dxa"/>
            <w:tcBorders>
              <w:left w:val="nil"/>
              <w:right w:val="nil"/>
            </w:tcBorders>
            <w:shd w:val="clear" w:color="auto" w:fill="auto"/>
          </w:tcPr>
          <w:p w14:paraId="65873EE7" w14:textId="77777777" w:rsidR="00F51D8E" w:rsidRPr="00C9506C" w:rsidRDefault="00F51D8E" w:rsidP="007E28B9">
            <w:pPr>
              <w:spacing w:after="0" w:line="480" w:lineRule="auto"/>
              <w:rPr>
                <w:b/>
                <w:bCs/>
                <w:color w:val="000000"/>
                <w:lang w:val="en-US"/>
              </w:rPr>
            </w:pPr>
            <w:r w:rsidRPr="00C9506C">
              <w:rPr>
                <w:b/>
                <w:bCs/>
                <w:color w:val="000000"/>
                <w:lang w:val="en-US"/>
              </w:rPr>
              <w:t>Hospital stay (per day)</w:t>
            </w:r>
          </w:p>
        </w:tc>
        <w:tc>
          <w:tcPr>
            <w:tcW w:w="1523" w:type="dxa"/>
            <w:tcBorders>
              <w:left w:val="nil"/>
              <w:right w:val="nil"/>
            </w:tcBorders>
          </w:tcPr>
          <w:p w14:paraId="108507BA" w14:textId="77777777" w:rsidR="00F51D8E" w:rsidRPr="00C9506C" w:rsidRDefault="00F51D8E" w:rsidP="007E28B9">
            <w:pPr>
              <w:spacing w:after="0" w:line="480" w:lineRule="auto"/>
              <w:rPr>
                <w:color w:val="000000"/>
                <w:lang w:val="en-US"/>
              </w:rPr>
            </w:pPr>
            <w:r>
              <w:rPr>
                <w:color w:val="000000"/>
                <w:lang w:val="en-US"/>
              </w:rPr>
              <w:t>-</w:t>
            </w:r>
          </w:p>
        </w:tc>
        <w:tc>
          <w:tcPr>
            <w:tcW w:w="1612" w:type="dxa"/>
            <w:tcBorders>
              <w:left w:val="nil"/>
              <w:right w:val="nil"/>
            </w:tcBorders>
          </w:tcPr>
          <w:p w14:paraId="5A861BF2" w14:textId="77777777" w:rsidR="00F51D8E" w:rsidRPr="00C9506C" w:rsidRDefault="00F51D8E" w:rsidP="007E28B9">
            <w:pPr>
              <w:spacing w:after="0" w:line="480" w:lineRule="auto"/>
              <w:rPr>
                <w:color w:val="000000"/>
                <w:lang w:val="en-US"/>
              </w:rPr>
            </w:pPr>
            <w:r>
              <w:rPr>
                <w:color w:val="000000"/>
                <w:lang w:val="en-US"/>
              </w:rPr>
              <w:t>-</w:t>
            </w:r>
          </w:p>
        </w:tc>
        <w:tc>
          <w:tcPr>
            <w:tcW w:w="1985" w:type="dxa"/>
            <w:tcBorders>
              <w:left w:val="nil"/>
              <w:right w:val="nil"/>
            </w:tcBorders>
          </w:tcPr>
          <w:p w14:paraId="65EB07A6" w14:textId="77777777" w:rsidR="00F51D8E" w:rsidRPr="00C9506C" w:rsidRDefault="00F51D8E" w:rsidP="007E28B9">
            <w:pPr>
              <w:spacing w:after="0" w:line="480" w:lineRule="auto"/>
              <w:rPr>
                <w:color w:val="000000"/>
                <w:lang w:val="en-US"/>
              </w:rPr>
            </w:pPr>
            <w:r w:rsidRPr="00C9506C">
              <w:rPr>
                <w:color w:val="000000"/>
                <w:lang w:val="en-US"/>
              </w:rPr>
              <w:t>83.6 (38.5)</w:t>
            </w:r>
          </w:p>
        </w:tc>
        <w:tc>
          <w:tcPr>
            <w:tcW w:w="2170" w:type="dxa"/>
            <w:tcBorders>
              <w:left w:val="nil"/>
              <w:right w:val="nil"/>
            </w:tcBorders>
          </w:tcPr>
          <w:p w14:paraId="04916B5C" w14:textId="77777777" w:rsidR="00F51D8E" w:rsidRPr="00C9506C" w:rsidRDefault="00F51D8E" w:rsidP="007E28B9">
            <w:pPr>
              <w:spacing w:after="0" w:line="480" w:lineRule="auto"/>
              <w:rPr>
                <w:color w:val="000000"/>
                <w:lang w:val="en-US"/>
              </w:rPr>
            </w:pPr>
            <w:r w:rsidRPr="00C9506C">
              <w:rPr>
                <w:color w:val="000000"/>
                <w:lang w:val="en-US"/>
              </w:rPr>
              <w:t>78.9 (35.2)</w:t>
            </w:r>
          </w:p>
        </w:tc>
        <w:tc>
          <w:tcPr>
            <w:tcW w:w="1985" w:type="dxa"/>
            <w:tcBorders>
              <w:left w:val="nil"/>
              <w:right w:val="nil"/>
            </w:tcBorders>
          </w:tcPr>
          <w:p w14:paraId="59D06C28" w14:textId="77777777" w:rsidR="00F51D8E" w:rsidRPr="00C9506C" w:rsidRDefault="00F51D8E" w:rsidP="007E28B9">
            <w:pPr>
              <w:spacing w:after="0" w:line="480" w:lineRule="auto"/>
              <w:rPr>
                <w:color w:val="000000"/>
                <w:lang w:val="en-US"/>
              </w:rPr>
            </w:pPr>
            <w:r w:rsidRPr="00C9506C">
              <w:rPr>
                <w:color w:val="000000"/>
                <w:lang w:val="en-US"/>
              </w:rPr>
              <w:t>140.4 (58.8)</w:t>
            </w:r>
          </w:p>
        </w:tc>
        <w:tc>
          <w:tcPr>
            <w:tcW w:w="2170" w:type="dxa"/>
            <w:tcBorders>
              <w:left w:val="nil"/>
              <w:right w:val="nil"/>
            </w:tcBorders>
          </w:tcPr>
          <w:p w14:paraId="2BD21C2A" w14:textId="77777777" w:rsidR="00F51D8E" w:rsidRPr="00C9506C" w:rsidRDefault="00F51D8E" w:rsidP="007E28B9">
            <w:pPr>
              <w:spacing w:after="0" w:line="480" w:lineRule="auto"/>
              <w:rPr>
                <w:color w:val="000000"/>
                <w:lang w:val="en-US"/>
              </w:rPr>
            </w:pPr>
            <w:r w:rsidRPr="00C9506C">
              <w:rPr>
                <w:color w:val="000000"/>
                <w:lang w:val="en-US"/>
              </w:rPr>
              <w:t>293.7 (134.4)</w:t>
            </w:r>
          </w:p>
        </w:tc>
      </w:tr>
      <w:tr w:rsidR="00F51D8E" w:rsidRPr="00C9506C" w14:paraId="2F6AC082" w14:textId="77777777" w:rsidTr="007E28B9">
        <w:trPr>
          <w:trHeight w:val="454"/>
        </w:trPr>
        <w:tc>
          <w:tcPr>
            <w:tcW w:w="2559" w:type="dxa"/>
            <w:shd w:val="clear" w:color="auto" w:fill="auto"/>
          </w:tcPr>
          <w:p w14:paraId="314CB318" w14:textId="77777777" w:rsidR="00F51D8E" w:rsidRPr="00C9506C" w:rsidRDefault="00F51D8E" w:rsidP="007E28B9">
            <w:pPr>
              <w:spacing w:after="0" w:line="480" w:lineRule="auto"/>
              <w:rPr>
                <w:b/>
                <w:bCs/>
                <w:color w:val="000000"/>
                <w:lang w:val="en-US"/>
              </w:rPr>
            </w:pPr>
            <w:r w:rsidRPr="00C9506C">
              <w:rPr>
                <w:b/>
                <w:bCs/>
                <w:color w:val="000000"/>
                <w:lang w:val="en-US"/>
              </w:rPr>
              <w:t>Diagnostic test (range)</w:t>
            </w:r>
          </w:p>
        </w:tc>
        <w:tc>
          <w:tcPr>
            <w:tcW w:w="1523" w:type="dxa"/>
          </w:tcPr>
          <w:p w14:paraId="667F6E8B" w14:textId="77777777" w:rsidR="00F51D8E" w:rsidRPr="00C9506C" w:rsidRDefault="00F51D8E" w:rsidP="007E28B9">
            <w:pPr>
              <w:spacing w:after="0" w:line="480" w:lineRule="auto"/>
              <w:rPr>
                <w:color w:val="000000"/>
                <w:lang w:val="en-US"/>
              </w:rPr>
            </w:pPr>
            <w:r>
              <w:rPr>
                <w:color w:val="000000"/>
                <w:lang w:val="en-US"/>
              </w:rPr>
              <w:t>-</w:t>
            </w:r>
          </w:p>
        </w:tc>
        <w:tc>
          <w:tcPr>
            <w:tcW w:w="1612" w:type="dxa"/>
          </w:tcPr>
          <w:p w14:paraId="41C0A7A2" w14:textId="77777777" w:rsidR="00F51D8E" w:rsidRPr="00C9506C" w:rsidRDefault="00F51D8E" w:rsidP="007E28B9">
            <w:pPr>
              <w:spacing w:after="0" w:line="480" w:lineRule="auto"/>
              <w:rPr>
                <w:color w:val="000000"/>
                <w:lang w:val="en-US"/>
              </w:rPr>
            </w:pPr>
            <w:r>
              <w:rPr>
                <w:color w:val="000000"/>
                <w:lang w:val="en-US"/>
              </w:rPr>
              <w:t>-</w:t>
            </w:r>
          </w:p>
        </w:tc>
        <w:tc>
          <w:tcPr>
            <w:tcW w:w="1985" w:type="dxa"/>
          </w:tcPr>
          <w:p w14:paraId="16EBC33A" w14:textId="77777777" w:rsidR="00F51D8E" w:rsidRPr="00C9506C" w:rsidRDefault="00F51D8E" w:rsidP="007E28B9">
            <w:pPr>
              <w:spacing w:after="0" w:line="480" w:lineRule="auto"/>
              <w:rPr>
                <w:color w:val="000000"/>
                <w:lang w:val="en-US"/>
              </w:rPr>
            </w:pPr>
            <w:r w:rsidRPr="00C9506C">
              <w:rPr>
                <w:color w:val="000000"/>
                <w:lang w:val="en-US"/>
              </w:rPr>
              <w:t>55.0 (10.6)</w:t>
            </w:r>
          </w:p>
        </w:tc>
        <w:tc>
          <w:tcPr>
            <w:tcW w:w="2170" w:type="dxa"/>
          </w:tcPr>
          <w:p w14:paraId="6DAD4595" w14:textId="77777777" w:rsidR="00F51D8E" w:rsidRPr="00C9506C" w:rsidRDefault="00F51D8E" w:rsidP="007E28B9">
            <w:pPr>
              <w:spacing w:after="0" w:line="480" w:lineRule="auto"/>
              <w:rPr>
                <w:color w:val="000000"/>
                <w:lang w:val="en-US"/>
              </w:rPr>
            </w:pPr>
            <w:r w:rsidRPr="00C9506C">
              <w:rPr>
                <w:color w:val="000000"/>
                <w:lang w:val="en-US"/>
              </w:rPr>
              <w:t>64.1 (9.7)</w:t>
            </w:r>
          </w:p>
        </w:tc>
        <w:tc>
          <w:tcPr>
            <w:tcW w:w="1985" w:type="dxa"/>
          </w:tcPr>
          <w:p w14:paraId="2B536A34" w14:textId="77777777" w:rsidR="00F51D8E" w:rsidRPr="00C9506C" w:rsidRDefault="00F51D8E" w:rsidP="007E28B9">
            <w:pPr>
              <w:spacing w:after="0" w:line="480" w:lineRule="auto"/>
              <w:rPr>
                <w:color w:val="000000"/>
                <w:lang w:val="en-US"/>
              </w:rPr>
            </w:pPr>
            <w:r w:rsidRPr="00C9506C">
              <w:rPr>
                <w:color w:val="000000"/>
                <w:lang w:val="en-US"/>
              </w:rPr>
              <w:t>60.9 (10.2)</w:t>
            </w:r>
          </w:p>
        </w:tc>
        <w:tc>
          <w:tcPr>
            <w:tcW w:w="2170" w:type="dxa"/>
          </w:tcPr>
          <w:p w14:paraId="3A1E1725" w14:textId="77777777" w:rsidR="00F51D8E" w:rsidRPr="00C9506C" w:rsidRDefault="00F51D8E" w:rsidP="007E28B9">
            <w:pPr>
              <w:spacing w:after="0" w:line="480" w:lineRule="auto"/>
              <w:rPr>
                <w:color w:val="000000"/>
                <w:lang w:val="en-US"/>
              </w:rPr>
            </w:pPr>
            <w:r w:rsidRPr="00C9506C">
              <w:rPr>
                <w:color w:val="000000"/>
                <w:lang w:val="en-US"/>
              </w:rPr>
              <w:t>99.9 (21.2)</w:t>
            </w:r>
          </w:p>
        </w:tc>
      </w:tr>
      <w:tr w:rsidR="00F51D8E" w:rsidRPr="00C9506C" w14:paraId="2C89231A" w14:textId="77777777" w:rsidTr="007E28B9">
        <w:trPr>
          <w:trHeight w:val="454"/>
        </w:trPr>
        <w:tc>
          <w:tcPr>
            <w:tcW w:w="2559" w:type="dxa"/>
            <w:tcBorders>
              <w:left w:val="nil"/>
              <w:right w:val="nil"/>
            </w:tcBorders>
            <w:shd w:val="clear" w:color="auto" w:fill="auto"/>
          </w:tcPr>
          <w:p w14:paraId="2D67FB71" w14:textId="77777777" w:rsidR="00F51D8E" w:rsidRPr="00C9506C" w:rsidRDefault="00F51D8E" w:rsidP="007E28B9">
            <w:pPr>
              <w:spacing w:after="0" w:line="480" w:lineRule="auto"/>
              <w:rPr>
                <w:b/>
                <w:bCs/>
                <w:color w:val="000000"/>
                <w:lang w:val="en-US"/>
              </w:rPr>
            </w:pPr>
            <w:r w:rsidRPr="00C9506C">
              <w:rPr>
                <w:b/>
                <w:bCs/>
                <w:color w:val="000000"/>
                <w:lang w:val="en-US"/>
              </w:rPr>
              <w:t>Pharmacological treatment</w:t>
            </w:r>
          </w:p>
        </w:tc>
        <w:tc>
          <w:tcPr>
            <w:tcW w:w="1523" w:type="dxa"/>
            <w:tcBorders>
              <w:left w:val="nil"/>
              <w:right w:val="nil"/>
            </w:tcBorders>
          </w:tcPr>
          <w:p w14:paraId="0925EB15" w14:textId="77777777" w:rsidR="00F51D8E" w:rsidRPr="00C9506C" w:rsidRDefault="00F51D8E" w:rsidP="007E28B9">
            <w:pPr>
              <w:spacing w:after="0" w:line="480" w:lineRule="auto"/>
              <w:rPr>
                <w:b/>
                <w:color w:val="000000"/>
                <w:lang w:val="en-US"/>
              </w:rPr>
            </w:pPr>
            <w:r>
              <w:rPr>
                <w:color w:val="000000"/>
                <w:lang w:val="en-US"/>
              </w:rPr>
              <w:t>-</w:t>
            </w:r>
          </w:p>
        </w:tc>
        <w:tc>
          <w:tcPr>
            <w:tcW w:w="1612" w:type="dxa"/>
            <w:tcBorders>
              <w:left w:val="nil"/>
              <w:right w:val="nil"/>
            </w:tcBorders>
          </w:tcPr>
          <w:p w14:paraId="0EB82D9E" w14:textId="77777777" w:rsidR="00F51D8E" w:rsidRPr="00C9506C" w:rsidRDefault="00F51D8E" w:rsidP="007E28B9">
            <w:pPr>
              <w:spacing w:after="0" w:line="480" w:lineRule="auto"/>
              <w:rPr>
                <w:b/>
                <w:color w:val="000000"/>
                <w:lang w:val="en-US"/>
              </w:rPr>
            </w:pPr>
            <w:r>
              <w:rPr>
                <w:color w:val="000000"/>
                <w:lang w:val="en-US"/>
              </w:rPr>
              <w:t>-</w:t>
            </w:r>
          </w:p>
        </w:tc>
        <w:tc>
          <w:tcPr>
            <w:tcW w:w="1985" w:type="dxa"/>
            <w:tcBorders>
              <w:left w:val="nil"/>
              <w:right w:val="nil"/>
            </w:tcBorders>
          </w:tcPr>
          <w:p w14:paraId="4ABAC796" w14:textId="77777777" w:rsidR="00F51D8E" w:rsidRPr="00C9506C" w:rsidRDefault="00F51D8E" w:rsidP="007E28B9">
            <w:pPr>
              <w:spacing w:after="0" w:line="480" w:lineRule="auto"/>
              <w:rPr>
                <w:b/>
                <w:color w:val="000000"/>
                <w:lang w:val="en-US"/>
              </w:rPr>
            </w:pPr>
            <w:r w:rsidRPr="00C9506C">
              <w:rPr>
                <w:b/>
                <w:color w:val="000000"/>
                <w:lang w:val="en-US"/>
              </w:rPr>
              <w:t>6.7 (1.0)</w:t>
            </w:r>
          </w:p>
        </w:tc>
        <w:tc>
          <w:tcPr>
            <w:tcW w:w="2170" w:type="dxa"/>
            <w:tcBorders>
              <w:left w:val="nil"/>
              <w:right w:val="nil"/>
            </w:tcBorders>
          </w:tcPr>
          <w:p w14:paraId="7A87A061" w14:textId="77777777" w:rsidR="00F51D8E" w:rsidRPr="00C9506C" w:rsidRDefault="00F51D8E" w:rsidP="007E28B9">
            <w:pPr>
              <w:spacing w:after="0" w:line="480" w:lineRule="auto"/>
              <w:rPr>
                <w:b/>
                <w:color w:val="000000"/>
                <w:lang w:val="en-US"/>
              </w:rPr>
            </w:pPr>
            <w:r w:rsidRPr="00C9506C">
              <w:rPr>
                <w:b/>
                <w:color w:val="000000"/>
                <w:lang w:val="en-US"/>
              </w:rPr>
              <w:t>37.5 (4.3)</w:t>
            </w:r>
          </w:p>
        </w:tc>
        <w:tc>
          <w:tcPr>
            <w:tcW w:w="1985" w:type="dxa"/>
            <w:tcBorders>
              <w:left w:val="nil"/>
              <w:right w:val="nil"/>
            </w:tcBorders>
          </w:tcPr>
          <w:p w14:paraId="40208FBE" w14:textId="77777777" w:rsidR="00F51D8E" w:rsidRPr="00C9506C" w:rsidRDefault="00F51D8E" w:rsidP="007E28B9">
            <w:pPr>
              <w:spacing w:after="0" w:line="480" w:lineRule="auto"/>
              <w:rPr>
                <w:b/>
                <w:color w:val="000000"/>
                <w:lang w:val="en-US"/>
              </w:rPr>
            </w:pPr>
            <w:r w:rsidRPr="00C9506C">
              <w:rPr>
                <w:b/>
                <w:color w:val="000000"/>
                <w:lang w:val="en-US"/>
              </w:rPr>
              <w:t>12.8 (2.2)</w:t>
            </w:r>
          </w:p>
        </w:tc>
        <w:tc>
          <w:tcPr>
            <w:tcW w:w="2170" w:type="dxa"/>
            <w:tcBorders>
              <w:left w:val="nil"/>
              <w:right w:val="nil"/>
            </w:tcBorders>
          </w:tcPr>
          <w:p w14:paraId="3C373215" w14:textId="77777777" w:rsidR="00F51D8E" w:rsidRPr="00C9506C" w:rsidRDefault="00F51D8E" w:rsidP="007E28B9">
            <w:pPr>
              <w:spacing w:after="0" w:line="480" w:lineRule="auto"/>
              <w:rPr>
                <w:b/>
                <w:color w:val="000000"/>
                <w:lang w:val="en-US"/>
              </w:rPr>
            </w:pPr>
            <w:r w:rsidRPr="00C9506C">
              <w:rPr>
                <w:b/>
                <w:color w:val="000000"/>
                <w:lang w:val="en-US"/>
              </w:rPr>
              <w:t>63.4 (8.0)</w:t>
            </w:r>
          </w:p>
        </w:tc>
      </w:tr>
      <w:tr w:rsidR="00F51D8E" w:rsidRPr="00C9506C" w14:paraId="072ACC15" w14:textId="77777777" w:rsidTr="007E28B9">
        <w:trPr>
          <w:trHeight w:val="454"/>
        </w:trPr>
        <w:tc>
          <w:tcPr>
            <w:tcW w:w="2559" w:type="dxa"/>
            <w:shd w:val="clear" w:color="auto" w:fill="auto"/>
          </w:tcPr>
          <w:p w14:paraId="24145D43" w14:textId="77777777" w:rsidR="00F51D8E" w:rsidRPr="00C9506C" w:rsidRDefault="00F51D8E" w:rsidP="007E28B9">
            <w:pPr>
              <w:spacing w:after="0" w:line="480" w:lineRule="auto"/>
              <w:rPr>
                <w:b/>
                <w:bCs/>
                <w:color w:val="000000"/>
                <w:lang w:val="en-US"/>
              </w:rPr>
            </w:pPr>
            <w:r w:rsidRPr="00C9506C">
              <w:rPr>
                <w:b/>
                <w:bCs/>
                <w:color w:val="000000"/>
                <w:lang w:val="en-US"/>
              </w:rPr>
              <w:t xml:space="preserve">Visit to social worker </w:t>
            </w:r>
          </w:p>
        </w:tc>
        <w:tc>
          <w:tcPr>
            <w:tcW w:w="1523" w:type="dxa"/>
          </w:tcPr>
          <w:p w14:paraId="3C4A8B63" w14:textId="77777777" w:rsidR="00F51D8E" w:rsidRPr="00C9506C" w:rsidRDefault="00F51D8E" w:rsidP="007E28B9">
            <w:pPr>
              <w:spacing w:after="0" w:line="480" w:lineRule="auto"/>
              <w:rPr>
                <w:color w:val="000000"/>
                <w:lang w:val="en-US"/>
              </w:rPr>
            </w:pPr>
            <w:r>
              <w:rPr>
                <w:color w:val="000000"/>
                <w:lang w:val="en-US"/>
              </w:rPr>
              <w:t>-</w:t>
            </w:r>
          </w:p>
        </w:tc>
        <w:tc>
          <w:tcPr>
            <w:tcW w:w="1612" w:type="dxa"/>
          </w:tcPr>
          <w:p w14:paraId="12D229B6" w14:textId="77777777" w:rsidR="00F51D8E" w:rsidRPr="00C9506C" w:rsidRDefault="00F51D8E" w:rsidP="007E28B9">
            <w:pPr>
              <w:spacing w:after="0" w:line="480" w:lineRule="auto"/>
              <w:rPr>
                <w:color w:val="000000"/>
                <w:lang w:val="en-US"/>
              </w:rPr>
            </w:pPr>
            <w:r>
              <w:rPr>
                <w:color w:val="000000"/>
                <w:lang w:val="en-US"/>
              </w:rPr>
              <w:t>-</w:t>
            </w:r>
          </w:p>
        </w:tc>
        <w:tc>
          <w:tcPr>
            <w:tcW w:w="1985" w:type="dxa"/>
          </w:tcPr>
          <w:p w14:paraId="2396EF4E" w14:textId="77777777" w:rsidR="00F51D8E" w:rsidRPr="00C9506C" w:rsidRDefault="00F51D8E" w:rsidP="007E28B9">
            <w:pPr>
              <w:spacing w:after="0" w:line="480" w:lineRule="auto"/>
              <w:rPr>
                <w:color w:val="000000"/>
                <w:lang w:val="en-US"/>
              </w:rPr>
            </w:pPr>
            <w:r w:rsidRPr="00C9506C">
              <w:rPr>
                <w:color w:val="000000"/>
                <w:lang w:val="en-US"/>
              </w:rPr>
              <w:t>-</w:t>
            </w:r>
          </w:p>
        </w:tc>
        <w:tc>
          <w:tcPr>
            <w:tcW w:w="2170" w:type="dxa"/>
          </w:tcPr>
          <w:p w14:paraId="7067420C" w14:textId="77777777" w:rsidR="00F51D8E" w:rsidRPr="00C9506C" w:rsidRDefault="00F51D8E" w:rsidP="007E28B9">
            <w:pPr>
              <w:spacing w:after="0" w:line="480" w:lineRule="auto"/>
              <w:rPr>
                <w:color w:val="000000"/>
                <w:lang w:val="en-US"/>
              </w:rPr>
            </w:pPr>
            <w:r w:rsidRPr="00C9506C">
              <w:rPr>
                <w:color w:val="000000"/>
                <w:lang w:val="en-US"/>
              </w:rPr>
              <w:t>-</w:t>
            </w:r>
          </w:p>
        </w:tc>
        <w:tc>
          <w:tcPr>
            <w:tcW w:w="1985" w:type="dxa"/>
          </w:tcPr>
          <w:p w14:paraId="445DC7D6" w14:textId="77777777" w:rsidR="00F51D8E" w:rsidRPr="00C9506C" w:rsidRDefault="00F51D8E" w:rsidP="007E28B9">
            <w:pPr>
              <w:spacing w:after="0" w:line="480" w:lineRule="auto"/>
              <w:rPr>
                <w:color w:val="000000"/>
                <w:lang w:val="en-US"/>
              </w:rPr>
            </w:pPr>
            <w:r w:rsidRPr="00C9506C">
              <w:rPr>
                <w:color w:val="000000"/>
                <w:lang w:val="en-US"/>
              </w:rPr>
              <w:t>0.8 (0.6)</w:t>
            </w:r>
          </w:p>
        </w:tc>
        <w:tc>
          <w:tcPr>
            <w:tcW w:w="2170" w:type="dxa"/>
          </w:tcPr>
          <w:p w14:paraId="5CC831C9" w14:textId="77777777" w:rsidR="00F51D8E" w:rsidRPr="00C9506C" w:rsidRDefault="00F51D8E" w:rsidP="007E28B9">
            <w:pPr>
              <w:spacing w:after="0" w:line="480" w:lineRule="auto"/>
              <w:rPr>
                <w:color w:val="000000"/>
                <w:lang w:val="en-US"/>
              </w:rPr>
            </w:pPr>
            <w:r w:rsidRPr="00C9506C">
              <w:rPr>
                <w:color w:val="000000"/>
                <w:lang w:val="en-US"/>
              </w:rPr>
              <w:t>0.7 (0.5)</w:t>
            </w:r>
          </w:p>
        </w:tc>
      </w:tr>
      <w:tr w:rsidR="00F51D8E" w:rsidRPr="00C9506C" w14:paraId="5A7D5501" w14:textId="77777777" w:rsidTr="007E28B9">
        <w:trPr>
          <w:trHeight w:val="454"/>
        </w:trPr>
        <w:tc>
          <w:tcPr>
            <w:tcW w:w="2559" w:type="dxa"/>
            <w:tcBorders>
              <w:left w:val="nil"/>
              <w:right w:val="nil"/>
            </w:tcBorders>
            <w:shd w:val="clear" w:color="auto" w:fill="auto"/>
          </w:tcPr>
          <w:p w14:paraId="0FE3EFDD" w14:textId="77777777" w:rsidR="00F51D8E" w:rsidRPr="00C9506C" w:rsidRDefault="00F51D8E" w:rsidP="007E28B9">
            <w:pPr>
              <w:spacing w:after="0" w:line="480" w:lineRule="auto"/>
              <w:rPr>
                <w:b/>
                <w:bCs/>
                <w:color w:val="000000"/>
                <w:lang w:val="en-US"/>
              </w:rPr>
            </w:pPr>
            <w:r w:rsidRPr="00C9506C">
              <w:rPr>
                <w:b/>
                <w:bCs/>
                <w:color w:val="000000"/>
                <w:lang w:val="en-US"/>
              </w:rPr>
              <w:t>Absenteeism from work (minimum daily wage)</w:t>
            </w:r>
          </w:p>
        </w:tc>
        <w:tc>
          <w:tcPr>
            <w:tcW w:w="1523" w:type="dxa"/>
            <w:tcBorders>
              <w:left w:val="nil"/>
              <w:right w:val="nil"/>
            </w:tcBorders>
          </w:tcPr>
          <w:p w14:paraId="3675A789" w14:textId="77777777" w:rsidR="00F51D8E" w:rsidRPr="00C9506C" w:rsidRDefault="00F51D8E" w:rsidP="007E28B9">
            <w:pPr>
              <w:spacing w:after="0" w:line="480" w:lineRule="auto"/>
              <w:rPr>
                <w:color w:val="000000"/>
                <w:lang w:val="en-US"/>
              </w:rPr>
            </w:pPr>
            <w:r>
              <w:rPr>
                <w:color w:val="000000"/>
                <w:lang w:val="en-US"/>
              </w:rPr>
              <w:t>-</w:t>
            </w:r>
          </w:p>
        </w:tc>
        <w:tc>
          <w:tcPr>
            <w:tcW w:w="1612" w:type="dxa"/>
            <w:tcBorders>
              <w:left w:val="nil"/>
              <w:right w:val="nil"/>
            </w:tcBorders>
          </w:tcPr>
          <w:p w14:paraId="5AA8F9BA" w14:textId="77777777" w:rsidR="00F51D8E" w:rsidRPr="00C9506C" w:rsidRDefault="00F51D8E" w:rsidP="007E28B9">
            <w:pPr>
              <w:spacing w:after="0" w:line="480" w:lineRule="auto"/>
              <w:rPr>
                <w:color w:val="000000"/>
                <w:lang w:val="en-US"/>
              </w:rPr>
            </w:pPr>
            <w:r>
              <w:rPr>
                <w:color w:val="000000"/>
                <w:lang w:val="en-US"/>
              </w:rPr>
              <w:t>-</w:t>
            </w:r>
          </w:p>
        </w:tc>
        <w:tc>
          <w:tcPr>
            <w:tcW w:w="1985" w:type="dxa"/>
            <w:tcBorders>
              <w:left w:val="nil"/>
              <w:right w:val="nil"/>
            </w:tcBorders>
          </w:tcPr>
          <w:p w14:paraId="1F812EF0" w14:textId="77777777" w:rsidR="00F51D8E" w:rsidRPr="00C9506C" w:rsidRDefault="00F51D8E" w:rsidP="007E28B9">
            <w:pPr>
              <w:spacing w:after="0" w:line="480" w:lineRule="auto"/>
              <w:rPr>
                <w:color w:val="000000"/>
                <w:lang w:val="en-US"/>
              </w:rPr>
            </w:pPr>
            <w:r w:rsidRPr="00C9506C">
              <w:rPr>
                <w:color w:val="000000"/>
                <w:lang w:val="en-US"/>
              </w:rPr>
              <w:t>490.4 (103.6)</w:t>
            </w:r>
          </w:p>
        </w:tc>
        <w:tc>
          <w:tcPr>
            <w:tcW w:w="2170" w:type="dxa"/>
            <w:tcBorders>
              <w:left w:val="nil"/>
              <w:right w:val="nil"/>
            </w:tcBorders>
          </w:tcPr>
          <w:p w14:paraId="39F262E9" w14:textId="77777777" w:rsidR="00F51D8E" w:rsidRPr="00C9506C" w:rsidRDefault="00F51D8E" w:rsidP="007E28B9">
            <w:pPr>
              <w:spacing w:after="0" w:line="480" w:lineRule="auto"/>
              <w:rPr>
                <w:color w:val="000000"/>
                <w:lang w:val="en-US"/>
              </w:rPr>
            </w:pPr>
            <w:r w:rsidRPr="00C9506C">
              <w:rPr>
                <w:color w:val="000000"/>
                <w:lang w:val="en-US"/>
              </w:rPr>
              <w:t>526.0 (92.4)</w:t>
            </w:r>
          </w:p>
        </w:tc>
        <w:tc>
          <w:tcPr>
            <w:tcW w:w="1985" w:type="dxa"/>
            <w:tcBorders>
              <w:left w:val="nil"/>
              <w:right w:val="nil"/>
            </w:tcBorders>
          </w:tcPr>
          <w:p w14:paraId="22C9678D" w14:textId="77777777" w:rsidR="00F51D8E" w:rsidRPr="00C9506C" w:rsidRDefault="00F51D8E" w:rsidP="007E28B9">
            <w:pPr>
              <w:spacing w:after="0" w:line="480" w:lineRule="auto"/>
              <w:rPr>
                <w:color w:val="000000"/>
                <w:lang w:val="en-US"/>
              </w:rPr>
            </w:pPr>
            <w:r w:rsidRPr="00C9506C">
              <w:rPr>
                <w:color w:val="000000"/>
                <w:lang w:val="en-US"/>
              </w:rPr>
              <w:t>673.4 (133.6)</w:t>
            </w:r>
          </w:p>
        </w:tc>
        <w:tc>
          <w:tcPr>
            <w:tcW w:w="2170" w:type="dxa"/>
            <w:tcBorders>
              <w:left w:val="nil"/>
              <w:right w:val="nil"/>
            </w:tcBorders>
          </w:tcPr>
          <w:p w14:paraId="23965D13" w14:textId="77777777" w:rsidR="00F51D8E" w:rsidRPr="00C9506C" w:rsidRDefault="00F51D8E" w:rsidP="007E28B9">
            <w:pPr>
              <w:spacing w:after="0" w:line="480" w:lineRule="auto"/>
              <w:rPr>
                <w:color w:val="000000"/>
                <w:lang w:val="en-US"/>
              </w:rPr>
            </w:pPr>
            <w:r w:rsidRPr="00C9506C">
              <w:rPr>
                <w:color w:val="000000"/>
                <w:lang w:val="en-US"/>
              </w:rPr>
              <w:t>831.0 (154.6)</w:t>
            </w:r>
          </w:p>
        </w:tc>
      </w:tr>
      <w:tr w:rsidR="00F51D8E" w:rsidRPr="00C9506C" w14:paraId="0ACFD171" w14:textId="77777777" w:rsidTr="007E28B9">
        <w:trPr>
          <w:trHeight w:val="454"/>
        </w:trPr>
        <w:tc>
          <w:tcPr>
            <w:tcW w:w="2559" w:type="dxa"/>
            <w:tcBorders>
              <w:left w:val="nil"/>
              <w:right w:val="nil"/>
            </w:tcBorders>
            <w:shd w:val="clear" w:color="auto" w:fill="auto"/>
          </w:tcPr>
          <w:p w14:paraId="1532DC8F" w14:textId="77777777" w:rsidR="00F51D8E" w:rsidRPr="00C9506C" w:rsidRDefault="00F51D8E" w:rsidP="007E28B9">
            <w:pPr>
              <w:spacing w:after="0" w:line="480" w:lineRule="auto"/>
              <w:rPr>
                <w:b/>
                <w:bCs/>
                <w:color w:val="000000"/>
                <w:lang w:val="en-US"/>
              </w:rPr>
            </w:pPr>
            <w:r>
              <w:rPr>
                <w:b/>
                <w:bCs/>
                <w:color w:val="000000"/>
                <w:lang w:val="en-US"/>
              </w:rPr>
              <w:t>Severity of depression (PHQ-9)</w:t>
            </w:r>
          </w:p>
        </w:tc>
        <w:tc>
          <w:tcPr>
            <w:tcW w:w="1523" w:type="dxa"/>
            <w:tcBorders>
              <w:left w:val="nil"/>
              <w:right w:val="nil"/>
            </w:tcBorders>
          </w:tcPr>
          <w:p w14:paraId="5B442194" w14:textId="77777777" w:rsidR="00F51D8E" w:rsidRDefault="00F51D8E" w:rsidP="007E28B9">
            <w:pPr>
              <w:spacing w:after="0" w:line="480" w:lineRule="auto"/>
              <w:rPr>
                <w:color w:val="000000"/>
                <w:lang w:val="en-US"/>
              </w:rPr>
            </w:pPr>
            <w:r>
              <w:rPr>
                <w:color w:val="000000"/>
                <w:lang w:val="en-US"/>
              </w:rPr>
              <w:t>15.5 (0.49)</w:t>
            </w:r>
          </w:p>
        </w:tc>
        <w:tc>
          <w:tcPr>
            <w:tcW w:w="1612" w:type="dxa"/>
            <w:tcBorders>
              <w:left w:val="nil"/>
              <w:right w:val="nil"/>
            </w:tcBorders>
          </w:tcPr>
          <w:p w14:paraId="5FC91D7B" w14:textId="77777777" w:rsidR="00F51D8E" w:rsidRDefault="00F51D8E" w:rsidP="007E28B9">
            <w:pPr>
              <w:spacing w:after="0" w:line="480" w:lineRule="auto"/>
              <w:rPr>
                <w:color w:val="000000"/>
                <w:lang w:val="en-US"/>
              </w:rPr>
            </w:pPr>
            <w:r>
              <w:rPr>
                <w:color w:val="000000"/>
                <w:lang w:val="en-US"/>
              </w:rPr>
              <w:t>16.7 (0.44)</w:t>
            </w:r>
          </w:p>
        </w:tc>
        <w:tc>
          <w:tcPr>
            <w:tcW w:w="1985" w:type="dxa"/>
            <w:tcBorders>
              <w:left w:val="nil"/>
              <w:right w:val="nil"/>
            </w:tcBorders>
          </w:tcPr>
          <w:p w14:paraId="417CD50B" w14:textId="77777777" w:rsidR="00F51D8E" w:rsidRPr="00C9506C" w:rsidRDefault="00F51D8E" w:rsidP="007E28B9">
            <w:pPr>
              <w:spacing w:after="0" w:line="480" w:lineRule="auto"/>
              <w:rPr>
                <w:color w:val="000000"/>
                <w:lang w:val="en-US"/>
              </w:rPr>
            </w:pPr>
            <w:r>
              <w:rPr>
                <w:color w:val="000000"/>
                <w:lang w:val="en-US"/>
              </w:rPr>
              <w:t>9.34 (0.66)</w:t>
            </w:r>
          </w:p>
        </w:tc>
        <w:tc>
          <w:tcPr>
            <w:tcW w:w="2170" w:type="dxa"/>
            <w:tcBorders>
              <w:left w:val="nil"/>
              <w:right w:val="nil"/>
            </w:tcBorders>
          </w:tcPr>
          <w:p w14:paraId="6D05ED45" w14:textId="77777777" w:rsidR="00F51D8E" w:rsidRPr="00C9506C" w:rsidRDefault="00F51D8E" w:rsidP="007E28B9">
            <w:pPr>
              <w:spacing w:after="0" w:line="480" w:lineRule="auto"/>
              <w:rPr>
                <w:color w:val="000000"/>
                <w:lang w:val="en-US"/>
              </w:rPr>
            </w:pPr>
            <w:r>
              <w:rPr>
                <w:color w:val="000000"/>
                <w:lang w:val="en-US"/>
              </w:rPr>
              <w:t>8.6 (0.59)</w:t>
            </w:r>
          </w:p>
        </w:tc>
        <w:tc>
          <w:tcPr>
            <w:tcW w:w="1985" w:type="dxa"/>
            <w:tcBorders>
              <w:left w:val="nil"/>
              <w:right w:val="nil"/>
            </w:tcBorders>
          </w:tcPr>
          <w:p w14:paraId="176C6DF3" w14:textId="77777777" w:rsidR="00F51D8E" w:rsidRPr="00C9506C" w:rsidRDefault="00F51D8E" w:rsidP="007E28B9">
            <w:pPr>
              <w:spacing w:after="0" w:line="480" w:lineRule="auto"/>
              <w:rPr>
                <w:color w:val="000000"/>
                <w:lang w:val="en-US"/>
              </w:rPr>
            </w:pPr>
            <w:r>
              <w:rPr>
                <w:color w:val="000000"/>
                <w:lang w:val="en-US"/>
              </w:rPr>
              <w:t>8.7 (0.69)</w:t>
            </w:r>
          </w:p>
        </w:tc>
        <w:tc>
          <w:tcPr>
            <w:tcW w:w="2170" w:type="dxa"/>
            <w:tcBorders>
              <w:left w:val="nil"/>
              <w:right w:val="nil"/>
            </w:tcBorders>
          </w:tcPr>
          <w:p w14:paraId="35C2BCC0" w14:textId="77777777" w:rsidR="00F51D8E" w:rsidRPr="00C9506C" w:rsidRDefault="00F51D8E" w:rsidP="007E28B9">
            <w:pPr>
              <w:spacing w:after="0" w:line="480" w:lineRule="auto"/>
              <w:rPr>
                <w:color w:val="000000"/>
                <w:lang w:val="en-US"/>
              </w:rPr>
            </w:pPr>
            <w:r>
              <w:rPr>
                <w:color w:val="000000"/>
                <w:lang w:val="en-US"/>
              </w:rPr>
              <w:t>9.4 (0.66)</w:t>
            </w:r>
          </w:p>
        </w:tc>
      </w:tr>
    </w:tbl>
    <w:p w14:paraId="61A29EA9" w14:textId="77777777" w:rsidR="00F51D8E" w:rsidRPr="00C9506C" w:rsidRDefault="00F51D8E" w:rsidP="00F51D8E">
      <w:pPr>
        <w:spacing w:after="0" w:line="360" w:lineRule="auto"/>
        <w:rPr>
          <w:lang w:val="en-US"/>
        </w:rPr>
      </w:pPr>
      <w:r w:rsidRPr="00C9506C">
        <w:rPr>
          <w:lang w:val="en-US"/>
        </w:rPr>
        <w:t>Bold numbers indicate statistically significant differences between study arms.</w:t>
      </w:r>
    </w:p>
    <w:p w14:paraId="2BC9C26F" w14:textId="77777777" w:rsidR="00F51D8E" w:rsidRDefault="00F51D8E" w:rsidP="00F51D8E">
      <w:pPr>
        <w:rPr>
          <w:lang w:val="en-US"/>
        </w:rPr>
      </w:pPr>
    </w:p>
    <w:p w14:paraId="26C1B207" w14:textId="77777777" w:rsidR="00F51D8E" w:rsidRDefault="00F51D8E" w:rsidP="00F51D8E">
      <w:pPr>
        <w:rPr>
          <w:lang w:val="en-US"/>
        </w:rPr>
      </w:pPr>
    </w:p>
    <w:p w14:paraId="6FD783B7" w14:textId="77777777" w:rsidR="00F51D8E" w:rsidRDefault="00F51D8E" w:rsidP="00F51D8E">
      <w:pPr>
        <w:rPr>
          <w:lang w:val="en-US"/>
        </w:rPr>
      </w:pPr>
    </w:p>
    <w:p w14:paraId="39E50721" w14:textId="77777777" w:rsidR="00F51D8E" w:rsidRDefault="00F51D8E" w:rsidP="00F51D8E">
      <w:pPr>
        <w:rPr>
          <w:lang w:val="en-US"/>
        </w:rPr>
      </w:pPr>
    </w:p>
    <w:p w14:paraId="224F5C60" w14:textId="77777777" w:rsidR="00F51D8E" w:rsidRDefault="00F51D8E" w:rsidP="00F51D8E">
      <w:pPr>
        <w:rPr>
          <w:lang w:val="en-US"/>
        </w:rPr>
      </w:pPr>
    </w:p>
    <w:p w14:paraId="59978B1E" w14:textId="77777777" w:rsidR="00F51D8E" w:rsidRDefault="00F51D8E" w:rsidP="00F51D8E">
      <w:pPr>
        <w:rPr>
          <w:lang w:val="en-US"/>
        </w:rPr>
      </w:pPr>
    </w:p>
    <w:p w14:paraId="725ABCBE" w14:textId="77777777" w:rsidR="00F51D8E" w:rsidRPr="00933AB8" w:rsidRDefault="00F51D8E" w:rsidP="00F51D8E">
      <w:pPr>
        <w:spacing w:after="200" w:line="276" w:lineRule="auto"/>
        <w:jc w:val="both"/>
        <w:rPr>
          <w:rFonts w:ascii="Calibri" w:eastAsia="Calibri" w:hAnsi="Calibri"/>
          <w:lang w:val="en-US"/>
        </w:rPr>
      </w:pPr>
      <w:r>
        <w:rPr>
          <w:rFonts w:ascii="Calibri" w:eastAsia="Calibri" w:hAnsi="Calibri"/>
          <w:lang w:val="en-US"/>
        </w:rPr>
        <w:lastRenderedPageBreak/>
        <w:t>Supplementary Table 2</w:t>
      </w:r>
      <w:r w:rsidRPr="00933AB8">
        <w:rPr>
          <w:rFonts w:ascii="Calibri" w:eastAsia="Calibri" w:hAnsi="Calibri"/>
          <w:lang w:val="en-US"/>
        </w:rPr>
        <w:t xml:space="preserve">. </w:t>
      </w:r>
      <w:r>
        <w:rPr>
          <w:rFonts w:ascii="Calibri" w:eastAsia="Calibri" w:hAnsi="Calibri"/>
          <w:lang w:val="en-US"/>
        </w:rPr>
        <w:t>I</w:t>
      </w:r>
      <w:r w:rsidRPr="00933AB8">
        <w:rPr>
          <w:rFonts w:ascii="Calibri" w:eastAsia="Calibri" w:hAnsi="Calibri"/>
          <w:lang w:val="en-US"/>
        </w:rPr>
        <w:t>ncremental cost-</w:t>
      </w:r>
      <w:r>
        <w:rPr>
          <w:rFonts w:ascii="Calibri" w:eastAsia="Calibri" w:hAnsi="Calibri"/>
          <w:lang w:val="en-US"/>
        </w:rPr>
        <w:t>effectiveness</w:t>
      </w:r>
      <w:r w:rsidRPr="00933AB8">
        <w:rPr>
          <w:rFonts w:ascii="Calibri" w:eastAsia="Calibri" w:hAnsi="Calibri"/>
          <w:lang w:val="en-US"/>
        </w:rPr>
        <w:t xml:space="preserve"> ratios</w:t>
      </w:r>
      <w:r>
        <w:rPr>
          <w:rFonts w:ascii="Calibri" w:eastAsia="Calibri" w:hAnsi="Calibri"/>
          <w:lang w:val="en-US"/>
        </w:rPr>
        <w:t xml:space="preserve"> in terms of remission of symptoms</w:t>
      </w:r>
      <w:r w:rsidRPr="00933AB8">
        <w:rPr>
          <w:rFonts w:ascii="Calibri" w:eastAsia="Calibri" w:hAnsi="Calibri"/>
          <w:lang w:val="en-US"/>
        </w:rPr>
        <w:t xml:space="preserve"> at 6 and 12 months follow up for the main and sensitivity analysis*  </w:t>
      </w:r>
    </w:p>
    <w:tbl>
      <w:tblPr>
        <w:tblStyle w:val="Tablaconcuadrcula1"/>
        <w:tblW w:w="14283"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3369"/>
        <w:gridCol w:w="1819"/>
        <w:gridCol w:w="1819"/>
        <w:gridCol w:w="1819"/>
        <w:gridCol w:w="1819"/>
        <w:gridCol w:w="1819"/>
        <w:gridCol w:w="1819"/>
      </w:tblGrid>
      <w:tr w:rsidR="00F51D8E" w:rsidRPr="007C72DD" w14:paraId="0D7F9DA1" w14:textId="77777777" w:rsidTr="007E28B9">
        <w:trPr>
          <w:trHeight w:val="765"/>
        </w:trPr>
        <w:tc>
          <w:tcPr>
            <w:tcW w:w="3369" w:type="dxa"/>
            <w:noWrap/>
            <w:hideMark/>
          </w:tcPr>
          <w:p w14:paraId="1E07BF16" w14:textId="77777777" w:rsidR="00F51D8E" w:rsidRPr="007C72DD" w:rsidRDefault="00F51D8E" w:rsidP="007E28B9">
            <w:pPr>
              <w:spacing w:after="200"/>
              <w:rPr>
                <w:rFonts w:cs="Calibri"/>
                <w:lang w:val="en-US" w:eastAsia="es-ES"/>
              </w:rPr>
            </w:pPr>
          </w:p>
        </w:tc>
        <w:tc>
          <w:tcPr>
            <w:tcW w:w="1819" w:type="dxa"/>
            <w:hideMark/>
          </w:tcPr>
          <w:p w14:paraId="2A3A5E6C" w14:textId="77777777" w:rsidR="00F51D8E" w:rsidRPr="007C72DD" w:rsidRDefault="00F51D8E" w:rsidP="007E28B9">
            <w:pPr>
              <w:spacing w:after="200"/>
              <w:rPr>
                <w:rFonts w:cs="Calibri"/>
                <w:lang w:val="en-US" w:eastAsia="es-ES"/>
              </w:rPr>
            </w:pPr>
            <w:r w:rsidRPr="007C72DD">
              <w:rPr>
                <w:rFonts w:cs="Calibri"/>
                <w:lang w:val="en-US" w:eastAsia="es-ES"/>
              </w:rPr>
              <w:t xml:space="preserve">Cost difference € </w:t>
            </w:r>
          </w:p>
        </w:tc>
        <w:tc>
          <w:tcPr>
            <w:tcW w:w="1819" w:type="dxa"/>
            <w:hideMark/>
          </w:tcPr>
          <w:p w14:paraId="1C452E40" w14:textId="77777777" w:rsidR="00F51D8E" w:rsidRPr="007C72DD" w:rsidRDefault="00F51D8E" w:rsidP="007E28B9">
            <w:pPr>
              <w:spacing w:after="200"/>
              <w:rPr>
                <w:rFonts w:cs="Calibri"/>
                <w:lang w:val="en-US" w:eastAsia="es-ES"/>
              </w:rPr>
            </w:pPr>
            <w:r w:rsidRPr="007C72DD">
              <w:rPr>
                <w:rFonts w:cs="Calibri"/>
                <w:lang w:val="en-US" w:eastAsia="es-ES"/>
              </w:rPr>
              <w:t xml:space="preserve">Difference in probability of remission (%) </w:t>
            </w:r>
          </w:p>
        </w:tc>
        <w:tc>
          <w:tcPr>
            <w:tcW w:w="1819" w:type="dxa"/>
          </w:tcPr>
          <w:p w14:paraId="250C1F00" w14:textId="77777777" w:rsidR="00F51D8E" w:rsidRPr="007C72DD" w:rsidRDefault="00F51D8E" w:rsidP="007E28B9">
            <w:pPr>
              <w:spacing w:after="200"/>
              <w:rPr>
                <w:rFonts w:cs="Calibri"/>
                <w:lang w:val="en-US" w:eastAsia="es-ES"/>
              </w:rPr>
            </w:pPr>
            <w:r w:rsidRPr="007C72DD">
              <w:rPr>
                <w:rFonts w:cs="Calibri"/>
                <w:lang w:val="en-US" w:eastAsia="es-ES"/>
              </w:rPr>
              <w:t>ICER (€/extra remission per 100 cases)</w:t>
            </w:r>
          </w:p>
        </w:tc>
        <w:tc>
          <w:tcPr>
            <w:tcW w:w="1819" w:type="dxa"/>
          </w:tcPr>
          <w:p w14:paraId="5D0DFCFE" w14:textId="77777777" w:rsidR="00F51D8E" w:rsidRPr="007C72DD" w:rsidRDefault="00F51D8E" w:rsidP="007E28B9">
            <w:pPr>
              <w:spacing w:after="200"/>
              <w:rPr>
                <w:rFonts w:cs="Calibri"/>
                <w:lang w:val="en-US" w:eastAsia="es-ES"/>
              </w:rPr>
            </w:pPr>
            <w:r w:rsidRPr="007C72DD">
              <w:rPr>
                <w:rFonts w:cs="Calibri"/>
                <w:lang w:val="en-US" w:eastAsia="es-ES"/>
              </w:rPr>
              <w:t xml:space="preserve">Cost difference € </w:t>
            </w:r>
          </w:p>
        </w:tc>
        <w:tc>
          <w:tcPr>
            <w:tcW w:w="1819" w:type="dxa"/>
          </w:tcPr>
          <w:p w14:paraId="7CAF8CBD" w14:textId="77777777" w:rsidR="00F51D8E" w:rsidRPr="007C72DD" w:rsidRDefault="00F51D8E" w:rsidP="007E28B9">
            <w:pPr>
              <w:spacing w:after="200"/>
              <w:rPr>
                <w:rFonts w:cs="Calibri"/>
                <w:lang w:val="en-US" w:eastAsia="es-ES"/>
              </w:rPr>
            </w:pPr>
            <w:r w:rsidRPr="007C72DD">
              <w:rPr>
                <w:rFonts w:cs="Calibri"/>
                <w:lang w:val="en-US" w:eastAsia="es-ES"/>
              </w:rPr>
              <w:t xml:space="preserve">Extra remissions (per 100 cases) </w:t>
            </w:r>
          </w:p>
        </w:tc>
        <w:tc>
          <w:tcPr>
            <w:tcW w:w="1819" w:type="dxa"/>
          </w:tcPr>
          <w:p w14:paraId="75B72126" w14:textId="77777777" w:rsidR="00F51D8E" w:rsidRPr="007C72DD" w:rsidRDefault="00F51D8E" w:rsidP="007E28B9">
            <w:pPr>
              <w:spacing w:after="200"/>
              <w:rPr>
                <w:rFonts w:cs="Calibri"/>
                <w:lang w:val="en-US" w:eastAsia="es-ES"/>
              </w:rPr>
            </w:pPr>
            <w:r w:rsidRPr="007C72DD">
              <w:rPr>
                <w:rFonts w:cs="Calibri"/>
                <w:lang w:val="en-US" w:eastAsia="es-ES"/>
              </w:rPr>
              <w:t>ICER (€/extra remission per 100 cases)</w:t>
            </w:r>
          </w:p>
        </w:tc>
      </w:tr>
      <w:tr w:rsidR="00F51D8E" w:rsidRPr="00933AB8" w14:paraId="045F7653" w14:textId="77777777" w:rsidTr="007E28B9">
        <w:trPr>
          <w:trHeight w:val="255"/>
        </w:trPr>
        <w:tc>
          <w:tcPr>
            <w:tcW w:w="3369" w:type="dxa"/>
            <w:tcBorders>
              <w:bottom w:val="single" w:sz="4" w:space="0" w:color="auto"/>
            </w:tcBorders>
            <w:noWrap/>
            <w:hideMark/>
          </w:tcPr>
          <w:p w14:paraId="73CECF79" w14:textId="77777777" w:rsidR="00F51D8E" w:rsidRPr="00933AB8" w:rsidRDefault="00F51D8E" w:rsidP="007E28B9">
            <w:pPr>
              <w:spacing w:after="200"/>
              <w:rPr>
                <w:rFonts w:cs="Calibri"/>
                <w:b/>
                <w:lang w:val="en-US" w:eastAsia="es-ES"/>
              </w:rPr>
            </w:pPr>
          </w:p>
        </w:tc>
        <w:tc>
          <w:tcPr>
            <w:tcW w:w="1819" w:type="dxa"/>
            <w:tcBorders>
              <w:bottom w:val="single" w:sz="4" w:space="0" w:color="auto"/>
            </w:tcBorders>
            <w:hideMark/>
          </w:tcPr>
          <w:p w14:paraId="5FFA58AE" w14:textId="77777777" w:rsidR="00F51D8E" w:rsidRPr="00933AB8" w:rsidRDefault="00F51D8E" w:rsidP="007E28B9">
            <w:pPr>
              <w:spacing w:after="200"/>
              <w:jc w:val="both"/>
              <w:rPr>
                <w:rFonts w:cs="Calibri"/>
                <w:b/>
                <w:lang w:val="en-US" w:eastAsia="es-ES"/>
              </w:rPr>
            </w:pPr>
            <w:r w:rsidRPr="00933AB8">
              <w:rPr>
                <w:rFonts w:cs="Calibri"/>
                <w:b/>
                <w:lang w:val="en-US" w:eastAsia="es-ES"/>
              </w:rPr>
              <w:t>6 month follow-up</w:t>
            </w:r>
          </w:p>
        </w:tc>
        <w:tc>
          <w:tcPr>
            <w:tcW w:w="1819" w:type="dxa"/>
            <w:tcBorders>
              <w:bottom w:val="single" w:sz="4" w:space="0" w:color="auto"/>
            </w:tcBorders>
            <w:hideMark/>
          </w:tcPr>
          <w:p w14:paraId="2228F1A4" w14:textId="77777777" w:rsidR="00F51D8E" w:rsidRPr="00933AB8" w:rsidRDefault="00F51D8E" w:rsidP="007E28B9">
            <w:pPr>
              <w:spacing w:after="200"/>
              <w:jc w:val="both"/>
              <w:rPr>
                <w:rFonts w:cs="Calibri"/>
                <w:b/>
                <w:lang w:val="en-US" w:eastAsia="es-ES"/>
              </w:rPr>
            </w:pPr>
          </w:p>
        </w:tc>
        <w:tc>
          <w:tcPr>
            <w:tcW w:w="1819" w:type="dxa"/>
            <w:tcBorders>
              <w:bottom w:val="single" w:sz="4" w:space="0" w:color="auto"/>
            </w:tcBorders>
          </w:tcPr>
          <w:p w14:paraId="17CADFAC" w14:textId="77777777" w:rsidR="00F51D8E" w:rsidRPr="00933AB8" w:rsidRDefault="00F51D8E" w:rsidP="007E28B9">
            <w:pPr>
              <w:spacing w:after="200"/>
              <w:jc w:val="both"/>
              <w:rPr>
                <w:rFonts w:cs="Calibri"/>
                <w:b/>
                <w:lang w:val="en-US" w:eastAsia="es-ES"/>
              </w:rPr>
            </w:pPr>
          </w:p>
        </w:tc>
        <w:tc>
          <w:tcPr>
            <w:tcW w:w="1819" w:type="dxa"/>
            <w:tcBorders>
              <w:bottom w:val="single" w:sz="4" w:space="0" w:color="auto"/>
            </w:tcBorders>
          </w:tcPr>
          <w:p w14:paraId="5CF37AB6" w14:textId="77777777" w:rsidR="00F51D8E" w:rsidRPr="00933AB8" w:rsidRDefault="00F51D8E" w:rsidP="007E28B9">
            <w:pPr>
              <w:spacing w:after="200"/>
              <w:jc w:val="both"/>
              <w:rPr>
                <w:rFonts w:cs="Calibri"/>
                <w:b/>
                <w:lang w:val="en-US" w:eastAsia="es-ES"/>
              </w:rPr>
            </w:pPr>
            <w:r w:rsidRPr="00933AB8">
              <w:rPr>
                <w:rFonts w:cs="Calibri"/>
                <w:b/>
                <w:lang w:val="en-US" w:eastAsia="es-ES"/>
              </w:rPr>
              <w:t>12 month follow-up</w:t>
            </w:r>
          </w:p>
        </w:tc>
        <w:tc>
          <w:tcPr>
            <w:tcW w:w="1819" w:type="dxa"/>
            <w:tcBorders>
              <w:bottom w:val="single" w:sz="4" w:space="0" w:color="auto"/>
            </w:tcBorders>
          </w:tcPr>
          <w:p w14:paraId="03B77EEC" w14:textId="77777777" w:rsidR="00F51D8E" w:rsidRPr="00933AB8" w:rsidRDefault="00F51D8E" w:rsidP="007E28B9">
            <w:pPr>
              <w:spacing w:after="200"/>
              <w:jc w:val="both"/>
              <w:rPr>
                <w:rFonts w:cs="Calibri"/>
                <w:b/>
                <w:lang w:val="en-US" w:eastAsia="es-ES"/>
              </w:rPr>
            </w:pPr>
          </w:p>
        </w:tc>
        <w:tc>
          <w:tcPr>
            <w:tcW w:w="1819" w:type="dxa"/>
            <w:tcBorders>
              <w:bottom w:val="single" w:sz="4" w:space="0" w:color="auto"/>
            </w:tcBorders>
          </w:tcPr>
          <w:p w14:paraId="318CDF4E" w14:textId="77777777" w:rsidR="00F51D8E" w:rsidRPr="00933AB8" w:rsidRDefault="00F51D8E" w:rsidP="007E28B9">
            <w:pPr>
              <w:spacing w:after="200"/>
              <w:jc w:val="both"/>
              <w:rPr>
                <w:rFonts w:cs="Calibri"/>
                <w:b/>
                <w:lang w:val="en-US" w:eastAsia="es-ES"/>
              </w:rPr>
            </w:pPr>
          </w:p>
        </w:tc>
      </w:tr>
      <w:tr w:rsidR="00F51D8E" w:rsidRPr="00933AB8" w14:paraId="4E37BD63" w14:textId="77777777" w:rsidTr="007E28B9">
        <w:trPr>
          <w:trHeight w:val="255"/>
        </w:trPr>
        <w:tc>
          <w:tcPr>
            <w:tcW w:w="3369" w:type="dxa"/>
            <w:tcBorders>
              <w:bottom w:val="nil"/>
            </w:tcBorders>
            <w:noWrap/>
          </w:tcPr>
          <w:p w14:paraId="5D4B1076" w14:textId="77777777" w:rsidR="00F51D8E" w:rsidRPr="00933AB8" w:rsidRDefault="00F51D8E" w:rsidP="007E28B9">
            <w:pPr>
              <w:spacing w:after="200" w:line="276" w:lineRule="auto"/>
              <w:rPr>
                <w:rFonts w:cs="Calibri"/>
                <w:b/>
                <w:lang w:val="en-US" w:eastAsia="es-ES"/>
              </w:rPr>
            </w:pPr>
            <w:r w:rsidRPr="00933AB8">
              <w:rPr>
                <w:rFonts w:cs="Calibri"/>
                <w:b/>
                <w:lang w:val="en-US" w:eastAsia="es-ES"/>
              </w:rPr>
              <w:t>Main analysis</w:t>
            </w:r>
          </w:p>
        </w:tc>
        <w:tc>
          <w:tcPr>
            <w:tcW w:w="1819" w:type="dxa"/>
            <w:tcBorders>
              <w:bottom w:val="nil"/>
            </w:tcBorders>
            <w:noWrap/>
          </w:tcPr>
          <w:p w14:paraId="23C3758E" w14:textId="77777777" w:rsidR="00F51D8E" w:rsidRPr="00933AB8" w:rsidRDefault="00F51D8E" w:rsidP="007E28B9">
            <w:pPr>
              <w:spacing w:after="200" w:line="276" w:lineRule="auto"/>
              <w:rPr>
                <w:rFonts w:cs="Calibri"/>
                <w:lang w:val="en-US" w:eastAsia="es-ES"/>
              </w:rPr>
            </w:pPr>
          </w:p>
        </w:tc>
        <w:tc>
          <w:tcPr>
            <w:tcW w:w="1819" w:type="dxa"/>
            <w:tcBorders>
              <w:bottom w:val="nil"/>
            </w:tcBorders>
            <w:noWrap/>
          </w:tcPr>
          <w:p w14:paraId="1C8197A3" w14:textId="77777777" w:rsidR="00F51D8E" w:rsidRPr="00933AB8" w:rsidRDefault="00F51D8E" w:rsidP="007E28B9">
            <w:pPr>
              <w:spacing w:after="200" w:line="276" w:lineRule="auto"/>
              <w:rPr>
                <w:rFonts w:cs="Calibri"/>
                <w:lang w:val="en-US" w:eastAsia="es-ES"/>
              </w:rPr>
            </w:pPr>
          </w:p>
        </w:tc>
        <w:tc>
          <w:tcPr>
            <w:tcW w:w="1819" w:type="dxa"/>
            <w:tcBorders>
              <w:bottom w:val="nil"/>
            </w:tcBorders>
          </w:tcPr>
          <w:p w14:paraId="32A313E5" w14:textId="77777777" w:rsidR="00F51D8E" w:rsidRPr="00933AB8" w:rsidRDefault="00F51D8E" w:rsidP="007E28B9">
            <w:pPr>
              <w:spacing w:after="200" w:line="276" w:lineRule="auto"/>
              <w:jc w:val="right"/>
              <w:rPr>
                <w:rFonts w:cs="Calibri"/>
                <w:lang w:val="en-US" w:eastAsia="es-ES"/>
              </w:rPr>
            </w:pPr>
          </w:p>
        </w:tc>
        <w:tc>
          <w:tcPr>
            <w:tcW w:w="1819" w:type="dxa"/>
            <w:tcBorders>
              <w:bottom w:val="nil"/>
            </w:tcBorders>
          </w:tcPr>
          <w:p w14:paraId="353EFD34" w14:textId="77777777" w:rsidR="00F51D8E" w:rsidRPr="00933AB8" w:rsidRDefault="00F51D8E" w:rsidP="007E28B9">
            <w:pPr>
              <w:spacing w:after="200" w:line="276" w:lineRule="auto"/>
              <w:jc w:val="right"/>
              <w:rPr>
                <w:rFonts w:cs="Calibri"/>
                <w:lang w:val="en-US" w:eastAsia="es-ES"/>
              </w:rPr>
            </w:pPr>
          </w:p>
        </w:tc>
        <w:tc>
          <w:tcPr>
            <w:tcW w:w="1819" w:type="dxa"/>
            <w:tcBorders>
              <w:bottom w:val="nil"/>
            </w:tcBorders>
          </w:tcPr>
          <w:p w14:paraId="4C847288" w14:textId="77777777" w:rsidR="00F51D8E" w:rsidRPr="00933AB8" w:rsidRDefault="00F51D8E" w:rsidP="007E28B9">
            <w:pPr>
              <w:spacing w:after="200" w:line="276" w:lineRule="auto"/>
              <w:jc w:val="right"/>
              <w:rPr>
                <w:rFonts w:cs="Calibri"/>
                <w:lang w:val="en-US" w:eastAsia="es-ES"/>
              </w:rPr>
            </w:pPr>
          </w:p>
        </w:tc>
        <w:tc>
          <w:tcPr>
            <w:tcW w:w="1819" w:type="dxa"/>
            <w:tcBorders>
              <w:bottom w:val="nil"/>
            </w:tcBorders>
          </w:tcPr>
          <w:p w14:paraId="102A9F8E" w14:textId="77777777" w:rsidR="00F51D8E" w:rsidRPr="00933AB8" w:rsidRDefault="00F51D8E" w:rsidP="007E28B9">
            <w:pPr>
              <w:spacing w:after="200" w:line="276" w:lineRule="auto"/>
              <w:jc w:val="right"/>
              <w:rPr>
                <w:rFonts w:cs="Calibri"/>
                <w:lang w:val="en-US" w:eastAsia="es-ES"/>
              </w:rPr>
            </w:pPr>
          </w:p>
        </w:tc>
      </w:tr>
      <w:tr w:rsidR="00F51D8E" w:rsidRPr="00933AB8" w14:paraId="3E092233" w14:textId="77777777" w:rsidTr="007E28B9">
        <w:trPr>
          <w:trHeight w:val="255"/>
        </w:trPr>
        <w:tc>
          <w:tcPr>
            <w:tcW w:w="3369" w:type="dxa"/>
            <w:tcBorders>
              <w:top w:val="nil"/>
              <w:bottom w:val="nil"/>
            </w:tcBorders>
            <w:noWrap/>
            <w:hideMark/>
          </w:tcPr>
          <w:p w14:paraId="4B695EA6" w14:textId="77777777" w:rsidR="00F51D8E" w:rsidRPr="00933AB8" w:rsidRDefault="00F51D8E" w:rsidP="007E28B9">
            <w:pPr>
              <w:spacing w:after="200" w:line="276" w:lineRule="auto"/>
              <w:rPr>
                <w:rFonts w:cs="Calibri"/>
                <w:lang w:val="en-US" w:eastAsia="es-ES"/>
              </w:rPr>
            </w:pPr>
            <w:r w:rsidRPr="00933AB8">
              <w:rPr>
                <w:rFonts w:cs="Calibri"/>
                <w:lang w:val="en-US" w:eastAsia="es-ES"/>
              </w:rPr>
              <w:t>Government perspective</w:t>
            </w:r>
          </w:p>
        </w:tc>
        <w:tc>
          <w:tcPr>
            <w:tcW w:w="1819" w:type="dxa"/>
            <w:tcBorders>
              <w:top w:val="nil"/>
              <w:bottom w:val="nil"/>
            </w:tcBorders>
            <w:noWrap/>
            <w:hideMark/>
          </w:tcPr>
          <w:p w14:paraId="2460DE6C" w14:textId="77777777" w:rsidR="00F51D8E" w:rsidRPr="007C72DD" w:rsidRDefault="00F51D8E" w:rsidP="007E28B9">
            <w:pPr>
              <w:spacing w:after="200" w:line="276" w:lineRule="auto"/>
              <w:rPr>
                <w:rFonts w:cs="Calibri"/>
                <w:lang w:val="en-US" w:eastAsia="es-ES"/>
              </w:rPr>
            </w:pPr>
            <w:r w:rsidRPr="007C72DD">
              <w:rPr>
                <w:rFonts w:cs="Calibri"/>
                <w:lang w:val="en-US" w:eastAsia="es-ES"/>
              </w:rPr>
              <w:t xml:space="preserve">23.6 </w:t>
            </w:r>
          </w:p>
        </w:tc>
        <w:tc>
          <w:tcPr>
            <w:tcW w:w="1819" w:type="dxa"/>
            <w:tcBorders>
              <w:top w:val="nil"/>
              <w:bottom w:val="nil"/>
            </w:tcBorders>
            <w:noWrap/>
          </w:tcPr>
          <w:p w14:paraId="3341A017" w14:textId="77777777" w:rsidR="00F51D8E" w:rsidRPr="007C72DD" w:rsidRDefault="00F51D8E" w:rsidP="007E28B9">
            <w:pPr>
              <w:spacing w:after="200" w:line="276" w:lineRule="auto"/>
              <w:rPr>
                <w:rFonts w:cs="Calibri"/>
                <w:lang w:val="en-US" w:eastAsia="es-ES"/>
              </w:rPr>
            </w:pPr>
            <w:r w:rsidRPr="007C72DD">
              <w:rPr>
                <w:rFonts w:cs="Calibri"/>
                <w:lang w:val="en-US" w:eastAsia="es-ES"/>
              </w:rPr>
              <w:t>2.0</w:t>
            </w:r>
          </w:p>
        </w:tc>
        <w:tc>
          <w:tcPr>
            <w:tcW w:w="1819" w:type="dxa"/>
            <w:tcBorders>
              <w:top w:val="nil"/>
              <w:bottom w:val="nil"/>
            </w:tcBorders>
          </w:tcPr>
          <w:p w14:paraId="77A75770" w14:textId="77777777" w:rsidR="00F51D8E" w:rsidRPr="007C72DD" w:rsidRDefault="00F51D8E" w:rsidP="007E28B9">
            <w:pPr>
              <w:spacing w:after="200" w:line="276" w:lineRule="auto"/>
              <w:rPr>
                <w:rFonts w:cs="Calibri"/>
                <w:lang w:val="en-US" w:eastAsia="es-ES"/>
              </w:rPr>
            </w:pPr>
            <w:r w:rsidRPr="007C72DD">
              <w:rPr>
                <w:rFonts w:cs="Calibri"/>
                <w:lang w:val="en-US" w:eastAsia="es-ES"/>
              </w:rPr>
              <w:t>12</w:t>
            </w:r>
          </w:p>
        </w:tc>
        <w:tc>
          <w:tcPr>
            <w:tcW w:w="1819" w:type="dxa"/>
            <w:tcBorders>
              <w:top w:val="nil"/>
              <w:bottom w:val="nil"/>
            </w:tcBorders>
          </w:tcPr>
          <w:p w14:paraId="69D24FA8" w14:textId="77777777" w:rsidR="00F51D8E" w:rsidRPr="007C72DD" w:rsidRDefault="00F51D8E" w:rsidP="007E28B9">
            <w:pPr>
              <w:spacing w:after="200" w:line="276" w:lineRule="auto"/>
              <w:rPr>
                <w:rFonts w:cs="Calibri"/>
                <w:lang w:val="en-US" w:eastAsia="es-ES"/>
              </w:rPr>
            </w:pPr>
            <w:r w:rsidRPr="007C72DD">
              <w:rPr>
                <w:rFonts w:cs="Calibri"/>
                <w:lang w:val="en-US" w:eastAsia="es-ES"/>
              </w:rPr>
              <w:t xml:space="preserve">269 </w:t>
            </w:r>
          </w:p>
        </w:tc>
        <w:tc>
          <w:tcPr>
            <w:tcW w:w="1819" w:type="dxa"/>
            <w:tcBorders>
              <w:top w:val="nil"/>
              <w:bottom w:val="nil"/>
            </w:tcBorders>
          </w:tcPr>
          <w:p w14:paraId="4446D67E" w14:textId="77777777" w:rsidR="00F51D8E" w:rsidRPr="007C72DD" w:rsidRDefault="00F51D8E" w:rsidP="007E28B9">
            <w:pPr>
              <w:spacing w:after="200" w:line="276" w:lineRule="auto"/>
              <w:rPr>
                <w:rFonts w:cs="Calibri"/>
                <w:lang w:val="en-US" w:eastAsia="es-ES"/>
              </w:rPr>
            </w:pPr>
            <w:r w:rsidRPr="007C72DD">
              <w:rPr>
                <w:rFonts w:cs="Calibri"/>
                <w:lang w:val="en-US" w:eastAsia="es-ES"/>
              </w:rPr>
              <w:t xml:space="preserve">-0.1 </w:t>
            </w:r>
          </w:p>
        </w:tc>
        <w:tc>
          <w:tcPr>
            <w:tcW w:w="1819" w:type="dxa"/>
            <w:tcBorders>
              <w:top w:val="nil"/>
              <w:bottom w:val="nil"/>
            </w:tcBorders>
          </w:tcPr>
          <w:p w14:paraId="6C9F8047" w14:textId="77777777" w:rsidR="00F51D8E" w:rsidRPr="007C72DD" w:rsidRDefault="00F51D8E" w:rsidP="007E28B9">
            <w:pPr>
              <w:spacing w:after="200" w:line="276" w:lineRule="auto"/>
              <w:rPr>
                <w:rFonts w:cs="Calibri"/>
                <w:lang w:val="en-US" w:eastAsia="es-ES"/>
              </w:rPr>
            </w:pPr>
            <w:r w:rsidRPr="007C72DD">
              <w:rPr>
                <w:rFonts w:cs="Calibri"/>
                <w:lang w:val="en-US" w:eastAsia="es-ES"/>
              </w:rPr>
              <w:t>-280</w:t>
            </w:r>
          </w:p>
        </w:tc>
      </w:tr>
      <w:tr w:rsidR="00F51D8E" w:rsidRPr="00933AB8" w14:paraId="268FD7CA" w14:textId="77777777" w:rsidTr="007E28B9">
        <w:trPr>
          <w:trHeight w:val="255"/>
        </w:trPr>
        <w:tc>
          <w:tcPr>
            <w:tcW w:w="3369" w:type="dxa"/>
            <w:tcBorders>
              <w:top w:val="nil"/>
              <w:bottom w:val="nil"/>
            </w:tcBorders>
            <w:noWrap/>
            <w:hideMark/>
          </w:tcPr>
          <w:p w14:paraId="7F71C27C" w14:textId="77777777" w:rsidR="00F51D8E" w:rsidRPr="00933AB8" w:rsidRDefault="00F51D8E" w:rsidP="007E28B9">
            <w:pPr>
              <w:spacing w:after="200" w:line="276" w:lineRule="auto"/>
              <w:rPr>
                <w:rFonts w:cs="Calibri"/>
                <w:lang w:val="en-US" w:eastAsia="es-ES"/>
              </w:rPr>
            </w:pPr>
            <w:r w:rsidRPr="00933AB8">
              <w:rPr>
                <w:rFonts w:cs="Calibri"/>
                <w:lang w:val="en-US" w:eastAsia="es-ES"/>
              </w:rPr>
              <w:t>Healthcare perspective</w:t>
            </w:r>
          </w:p>
        </w:tc>
        <w:tc>
          <w:tcPr>
            <w:tcW w:w="1819" w:type="dxa"/>
            <w:tcBorders>
              <w:top w:val="nil"/>
              <w:bottom w:val="nil"/>
            </w:tcBorders>
            <w:noWrap/>
            <w:hideMark/>
          </w:tcPr>
          <w:p w14:paraId="4A3F0595" w14:textId="77777777" w:rsidR="00F51D8E" w:rsidRPr="007C72DD" w:rsidRDefault="00F51D8E" w:rsidP="007E28B9">
            <w:pPr>
              <w:spacing w:after="200" w:line="276" w:lineRule="auto"/>
              <w:rPr>
                <w:rFonts w:cs="Calibri"/>
                <w:lang w:val="en-US" w:eastAsia="es-ES"/>
              </w:rPr>
            </w:pPr>
            <w:r w:rsidRPr="007C72DD">
              <w:rPr>
                <w:rFonts w:cs="Calibri"/>
                <w:lang w:val="en-US" w:eastAsia="es-ES"/>
              </w:rPr>
              <w:t xml:space="preserve">27.6 </w:t>
            </w:r>
          </w:p>
        </w:tc>
        <w:tc>
          <w:tcPr>
            <w:tcW w:w="1819" w:type="dxa"/>
            <w:tcBorders>
              <w:top w:val="nil"/>
              <w:bottom w:val="nil"/>
            </w:tcBorders>
            <w:noWrap/>
          </w:tcPr>
          <w:p w14:paraId="6EC60CC1" w14:textId="77777777" w:rsidR="00F51D8E" w:rsidRPr="007C72DD" w:rsidRDefault="00F51D8E" w:rsidP="007E28B9">
            <w:pPr>
              <w:spacing w:after="200" w:line="276" w:lineRule="auto"/>
              <w:rPr>
                <w:rFonts w:cs="Calibri"/>
                <w:lang w:val="en-US" w:eastAsia="es-ES"/>
              </w:rPr>
            </w:pPr>
            <w:r w:rsidRPr="007C72DD">
              <w:rPr>
                <w:rFonts w:cs="Calibri"/>
                <w:lang w:val="en-US" w:eastAsia="es-ES"/>
              </w:rPr>
              <w:t>2.0</w:t>
            </w:r>
          </w:p>
        </w:tc>
        <w:tc>
          <w:tcPr>
            <w:tcW w:w="1819" w:type="dxa"/>
            <w:tcBorders>
              <w:top w:val="nil"/>
              <w:bottom w:val="nil"/>
            </w:tcBorders>
          </w:tcPr>
          <w:p w14:paraId="3EE429F8" w14:textId="77777777" w:rsidR="00F51D8E" w:rsidRPr="007C72DD" w:rsidRDefault="00F51D8E" w:rsidP="007E28B9">
            <w:pPr>
              <w:spacing w:after="200" w:line="276" w:lineRule="auto"/>
              <w:rPr>
                <w:rFonts w:cs="Calibri"/>
                <w:lang w:val="en-US" w:eastAsia="es-ES"/>
              </w:rPr>
            </w:pPr>
            <w:r w:rsidRPr="007C72DD">
              <w:rPr>
                <w:rFonts w:cs="Calibri"/>
                <w:lang w:val="en-US" w:eastAsia="es-ES"/>
              </w:rPr>
              <w:t>14</w:t>
            </w:r>
          </w:p>
        </w:tc>
        <w:tc>
          <w:tcPr>
            <w:tcW w:w="1819" w:type="dxa"/>
            <w:tcBorders>
              <w:top w:val="nil"/>
              <w:bottom w:val="nil"/>
            </w:tcBorders>
          </w:tcPr>
          <w:p w14:paraId="522AF1A0" w14:textId="77777777" w:rsidR="00F51D8E" w:rsidRPr="007C72DD" w:rsidRDefault="00F51D8E" w:rsidP="007E28B9">
            <w:pPr>
              <w:spacing w:after="200" w:line="276" w:lineRule="auto"/>
              <w:rPr>
                <w:rFonts w:cs="Calibri"/>
                <w:lang w:val="en-US" w:eastAsia="es-ES"/>
              </w:rPr>
            </w:pPr>
            <w:r w:rsidRPr="007C72DD">
              <w:rPr>
                <w:rFonts w:cs="Calibri"/>
                <w:lang w:val="en-US" w:eastAsia="es-ES"/>
              </w:rPr>
              <w:t xml:space="preserve">156 </w:t>
            </w:r>
          </w:p>
        </w:tc>
        <w:tc>
          <w:tcPr>
            <w:tcW w:w="1819" w:type="dxa"/>
            <w:tcBorders>
              <w:top w:val="nil"/>
              <w:bottom w:val="nil"/>
            </w:tcBorders>
          </w:tcPr>
          <w:p w14:paraId="54845B7E" w14:textId="77777777" w:rsidR="00F51D8E" w:rsidRPr="007C72DD" w:rsidRDefault="00F51D8E" w:rsidP="007E28B9">
            <w:pPr>
              <w:spacing w:after="200" w:line="276" w:lineRule="auto"/>
              <w:rPr>
                <w:rFonts w:cs="Calibri"/>
                <w:lang w:val="en-US" w:eastAsia="es-ES"/>
              </w:rPr>
            </w:pPr>
            <w:r w:rsidRPr="007C72DD">
              <w:rPr>
                <w:rFonts w:cs="Calibri"/>
                <w:lang w:val="en-US" w:eastAsia="es-ES"/>
              </w:rPr>
              <w:t xml:space="preserve">-0.1 </w:t>
            </w:r>
          </w:p>
        </w:tc>
        <w:tc>
          <w:tcPr>
            <w:tcW w:w="1819" w:type="dxa"/>
            <w:tcBorders>
              <w:top w:val="nil"/>
              <w:bottom w:val="nil"/>
            </w:tcBorders>
          </w:tcPr>
          <w:p w14:paraId="74B6DED7" w14:textId="77777777" w:rsidR="00F51D8E" w:rsidRPr="007C72DD" w:rsidRDefault="00F51D8E" w:rsidP="007E28B9">
            <w:pPr>
              <w:spacing w:after="200" w:line="276" w:lineRule="auto"/>
              <w:rPr>
                <w:rFonts w:cs="Calibri"/>
                <w:lang w:val="en-US" w:eastAsia="es-ES"/>
              </w:rPr>
            </w:pPr>
            <w:r w:rsidRPr="007C72DD">
              <w:rPr>
                <w:rFonts w:cs="Calibri"/>
                <w:lang w:val="en-US" w:eastAsia="es-ES"/>
              </w:rPr>
              <w:t>-162</w:t>
            </w:r>
          </w:p>
        </w:tc>
      </w:tr>
      <w:tr w:rsidR="00F51D8E" w:rsidRPr="00933AB8" w14:paraId="35C9A996" w14:textId="77777777" w:rsidTr="007E28B9">
        <w:trPr>
          <w:trHeight w:val="255"/>
        </w:trPr>
        <w:tc>
          <w:tcPr>
            <w:tcW w:w="3369" w:type="dxa"/>
            <w:tcBorders>
              <w:top w:val="nil"/>
              <w:bottom w:val="nil"/>
            </w:tcBorders>
            <w:noWrap/>
          </w:tcPr>
          <w:p w14:paraId="7756399F" w14:textId="77777777" w:rsidR="00F51D8E" w:rsidRPr="00933AB8" w:rsidRDefault="00F51D8E" w:rsidP="007E28B9">
            <w:pPr>
              <w:spacing w:after="200" w:line="276" w:lineRule="auto"/>
              <w:rPr>
                <w:rFonts w:cs="Calibri"/>
                <w:lang w:val="en-US" w:eastAsia="es-ES"/>
              </w:rPr>
            </w:pPr>
            <w:r w:rsidRPr="00933AB8">
              <w:rPr>
                <w:rFonts w:cs="Calibri"/>
                <w:b/>
                <w:lang w:val="en-US" w:eastAsia="es-ES"/>
              </w:rPr>
              <w:t>Sensitivity analyses</w:t>
            </w:r>
          </w:p>
        </w:tc>
        <w:tc>
          <w:tcPr>
            <w:tcW w:w="1819" w:type="dxa"/>
            <w:tcBorders>
              <w:top w:val="nil"/>
              <w:bottom w:val="nil"/>
            </w:tcBorders>
            <w:noWrap/>
          </w:tcPr>
          <w:p w14:paraId="41ED6F6A" w14:textId="77777777" w:rsidR="00F51D8E" w:rsidRPr="007C72DD" w:rsidRDefault="00F51D8E" w:rsidP="007E28B9">
            <w:pPr>
              <w:spacing w:after="200" w:line="276" w:lineRule="auto"/>
              <w:rPr>
                <w:rFonts w:cs="Calibri"/>
                <w:lang w:val="en-US" w:eastAsia="es-ES"/>
              </w:rPr>
            </w:pPr>
          </w:p>
        </w:tc>
        <w:tc>
          <w:tcPr>
            <w:tcW w:w="1819" w:type="dxa"/>
            <w:tcBorders>
              <w:top w:val="nil"/>
              <w:bottom w:val="nil"/>
            </w:tcBorders>
            <w:noWrap/>
          </w:tcPr>
          <w:p w14:paraId="4CD809A7" w14:textId="77777777" w:rsidR="00F51D8E" w:rsidRPr="007C72DD" w:rsidRDefault="00F51D8E" w:rsidP="007E28B9">
            <w:pPr>
              <w:spacing w:after="200" w:line="276" w:lineRule="auto"/>
              <w:rPr>
                <w:rFonts w:cs="Calibri"/>
                <w:lang w:val="en-US" w:eastAsia="es-ES"/>
              </w:rPr>
            </w:pPr>
          </w:p>
        </w:tc>
        <w:tc>
          <w:tcPr>
            <w:tcW w:w="1819" w:type="dxa"/>
            <w:tcBorders>
              <w:top w:val="nil"/>
              <w:bottom w:val="nil"/>
            </w:tcBorders>
          </w:tcPr>
          <w:p w14:paraId="16F724D6" w14:textId="77777777" w:rsidR="00F51D8E" w:rsidRPr="007C72DD" w:rsidRDefault="00F51D8E" w:rsidP="007E28B9">
            <w:pPr>
              <w:spacing w:after="200" w:line="276" w:lineRule="auto"/>
              <w:rPr>
                <w:rFonts w:cs="Calibri"/>
                <w:lang w:val="en-US" w:eastAsia="es-ES"/>
              </w:rPr>
            </w:pPr>
          </w:p>
        </w:tc>
        <w:tc>
          <w:tcPr>
            <w:tcW w:w="1819" w:type="dxa"/>
            <w:tcBorders>
              <w:top w:val="nil"/>
              <w:bottom w:val="nil"/>
            </w:tcBorders>
          </w:tcPr>
          <w:p w14:paraId="224CDF11" w14:textId="77777777" w:rsidR="00F51D8E" w:rsidRPr="007C72DD" w:rsidRDefault="00F51D8E" w:rsidP="007E28B9">
            <w:pPr>
              <w:spacing w:after="200" w:line="276" w:lineRule="auto"/>
              <w:rPr>
                <w:rFonts w:cs="Calibri"/>
                <w:lang w:val="en-US" w:eastAsia="es-ES"/>
              </w:rPr>
            </w:pPr>
          </w:p>
        </w:tc>
        <w:tc>
          <w:tcPr>
            <w:tcW w:w="1819" w:type="dxa"/>
            <w:tcBorders>
              <w:top w:val="nil"/>
              <w:bottom w:val="nil"/>
            </w:tcBorders>
          </w:tcPr>
          <w:p w14:paraId="7A1640ED" w14:textId="77777777" w:rsidR="00F51D8E" w:rsidRPr="007C72DD" w:rsidRDefault="00F51D8E" w:rsidP="007E28B9">
            <w:pPr>
              <w:spacing w:after="200" w:line="276" w:lineRule="auto"/>
              <w:rPr>
                <w:rFonts w:cs="Calibri"/>
                <w:lang w:val="en-US" w:eastAsia="es-ES"/>
              </w:rPr>
            </w:pPr>
          </w:p>
        </w:tc>
        <w:tc>
          <w:tcPr>
            <w:tcW w:w="1819" w:type="dxa"/>
            <w:tcBorders>
              <w:top w:val="nil"/>
              <w:bottom w:val="nil"/>
            </w:tcBorders>
          </w:tcPr>
          <w:p w14:paraId="42C5B551" w14:textId="77777777" w:rsidR="00F51D8E" w:rsidRPr="007C72DD" w:rsidRDefault="00F51D8E" w:rsidP="007E28B9">
            <w:pPr>
              <w:spacing w:after="200" w:line="276" w:lineRule="auto"/>
              <w:rPr>
                <w:rFonts w:cs="Calibri"/>
                <w:lang w:val="en-US" w:eastAsia="es-ES"/>
              </w:rPr>
            </w:pPr>
          </w:p>
        </w:tc>
      </w:tr>
      <w:tr w:rsidR="00F51D8E" w:rsidRPr="00933AB8" w14:paraId="1B3D5D32" w14:textId="77777777" w:rsidTr="007E28B9">
        <w:trPr>
          <w:trHeight w:val="255"/>
        </w:trPr>
        <w:tc>
          <w:tcPr>
            <w:tcW w:w="3369" w:type="dxa"/>
            <w:tcBorders>
              <w:top w:val="nil"/>
              <w:bottom w:val="nil"/>
            </w:tcBorders>
            <w:noWrap/>
            <w:hideMark/>
          </w:tcPr>
          <w:p w14:paraId="147BAC12" w14:textId="77777777" w:rsidR="00F51D8E" w:rsidRPr="00933AB8" w:rsidRDefault="00F51D8E" w:rsidP="007E28B9">
            <w:pPr>
              <w:spacing w:after="200" w:line="276" w:lineRule="auto"/>
              <w:rPr>
                <w:rFonts w:cs="Calibri"/>
                <w:lang w:val="en-US" w:eastAsia="es-ES"/>
              </w:rPr>
            </w:pPr>
            <w:r w:rsidRPr="00933AB8">
              <w:rPr>
                <w:rFonts w:cs="Calibri"/>
                <w:lang w:val="en-US" w:eastAsia="es-ES"/>
              </w:rPr>
              <w:t>Analysis with generalized linear models (no correction for propensity score)</w:t>
            </w:r>
          </w:p>
        </w:tc>
        <w:tc>
          <w:tcPr>
            <w:tcW w:w="1819" w:type="dxa"/>
            <w:tcBorders>
              <w:top w:val="nil"/>
              <w:bottom w:val="nil"/>
            </w:tcBorders>
            <w:noWrap/>
            <w:hideMark/>
          </w:tcPr>
          <w:p w14:paraId="6784FA70" w14:textId="77777777" w:rsidR="00F51D8E" w:rsidRPr="007C72DD" w:rsidRDefault="00F51D8E" w:rsidP="007E28B9">
            <w:pPr>
              <w:spacing w:after="200" w:line="276" w:lineRule="auto"/>
              <w:rPr>
                <w:rFonts w:cs="Calibri"/>
                <w:lang w:val="en-US" w:eastAsia="es-ES"/>
              </w:rPr>
            </w:pPr>
            <w:r w:rsidRPr="007C72DD">
              <w:rPr>
                <w:rFonts w:cs="Calibri"/>
                <w:lang w:val="en-US" w:eastAsia="es-ES"/>
              </w:rPr>
              <w:t xml:space="preserve">137.6 </w:t>
            </w:r>
          </w:p>
        </w:tc>
        <w:tc>
          <w:tcPr>
            <w:tcW w:w="1819" w:type="dxa"/>
            <w:tcBorders>
              <w:top w:val="nil"/>
              <w:bottom w:val="nil"/>
            </w:tcBorders>
            <w:noWrap/>
          </w:tcPr>
          <w:p w14:paraId="73889AF6" w14:textId="77777777" w:rsidR="00F51D8E" w:rsidRPr="007C72DD" w:rsidRDefault="00F51D8E" w:rsidP="007E28B9">
            <w:pPr>
              <w:spacing w:after="200" w:line="276" w:lineRule="auto"/>
              <w:rPr>
                <w:rFonts w:cs="Calibri"/>
                <w:lang w:val="en-US" w:eastAsia="es-ES"/>
              </w:rPr>
            </w:pPr>
            <w:r w:rsidRPr="007C72DD">
              <w:rPr>
                <w:rFonts w:cs="Calibri"/>
                <w:lang w:val="en-US" w:eastAsia="es-ES"/>
              </w:rPr>
              <w:t>7.1</w:t>
            </w:r>
          </w:p>
        </w:tc>
        <w:tc>
          <w:tcPr>
            <w:tcW w:w="1819" w:type="dxa"/>
            <w:tcBorders>
              <w:top w:val="nil"/>
              <w:bottom w:val="nil"/>
            </w:tcBorders>
          </w:tcPr>
          <w:p w14:paraId="5AADCE5F" w14:textId="77777777" w:rsidR="00F51D8E" w:rsidRPr="007C72DD" w:rsidRDefault="00F51D8E" w:rsidP="007E28B9">
            <w:pPr>
              <w:spacing w:after="200" w:line="276" w:lineRule="auto"/>
              <w:rPr>
                <w:rFonts w:cs="Calibri"/>
                <w:lang w:val="en-US" w:eastAsia="es-ES"/>
              </w:rPr>
            </w:pPr>
            <w:r w:rsidRPr="007C72DD">
              <w:rPr>
                <w:rFonts w:cs="Calibri"/>
                <w:lang w:val="en-US" w:eastAsia="es-ES"/>
              </w:rPr>
              <w:t>19</w:t>
            </w:r>
          </w:p>
        </w:tc>
        <w:tc>
          <w:tcPr>
            <w:tcW w:w="1819" w:type="dxa"/>
            <w:tcBorders>
              <w:top w:val="nil"/>
              <w:bottom w:val="nil"/>
            </w:tcBorders>
          </w:tcPr>
          <w:p w14:paraId="58D2E7DB" w14:textId="77777777" w:rsidR="00F51D8E" w:rsidRPr="007C72DD" w:rsidRDefault="00F51D8E" w:rsidP="007E28B9">
            <w:pPr>
              <w:spacing w:after="200" w:line="276" w:lineRule="auto"/>
              <w:rPr>
                <w:rFonts w:cs="Calibri"/>
                <w:lang w:val="en-US" w:eastAsia="es-ES"/>
              </w:rPr>
            </w:pPr>
            <w:r w:rsidRPr="007C72DD">
              <w:rPr>
                <w:rFonts w:cs="Calibri"/>
                <w:lang w:val="en-US" w:eastAsia="es-ES"/>
              </w:rPr>
              <w:t xml:space="preserve">294.9 </w:t>
            </w:r>
          </w:p>
        </w:tc>
        <w:tc>
          <w:tcPr>
            <w:tcW w:w="1819" w:type="dxa"/>
            <w:tcBorders>
              <w:top w:val="nil"/>
              <w:bottom w:val="nil"/>
            </w:tcBorders>
          </w:tcPr>
          <w:p w14:paraId="2E159221" w14:textId="77777777" w:rsidR="00F51D8E" w:rsidRPr="007C72DD" w:rsidRDefault="00F51D8E" w:rsidP="007E28B9">
            <w:pPr>
              <w:spacing w:after="200" w:line="276" w:lineRule="auto"/>
              <w:rPr>
                <w:rFonts w:cs="Calibri"/>
                <w:lang w:val="en-US" w:eastAsia="es-ES"/>
              </w:rPr>
            </w:pPr>
            <w:r w:rsidRPr="007C72DD">
              <w:rPr>
                <w:rFonts w:cs="Calibri"/>
                <w:lang w:val="en-US" w:eastAsia="es-ES"/>
              </w:rPr>
              <w:t>-6</w:t>
            </w:r>
          </w:p>
        </w:tc>
        <w:tc>
          <w:tcPr>
            <w:tcW w:w="1819" w:type="dxa"/>
            <w:tcBorders>
              <w:top w:val="nil"/>
              <w:bottom w:val="nil"/>
            </w:tcBorders>
          </w:tcPr>
          <w:p w14:paraId="0C93C01A" w14:textId="77777777" w:rsidR="00F51D8E" w:rsidRPr="007C72DD" w:rsidRDefault="00F51D8E" w:rsidP="007E28B9">
            <w:pPr>
              <w:spacing w:after="200" w:line="276" w:lineRule="auto"/>
              <w:rPr>
                <w:rFonts w:cs="Calibri"/>
                <w:lang w:val="en-US" w:eastAsia="es-ES"/>
              </w:rPr>
            </w:pPr>
            <w:r w:rsidRPr="007C72DD">
              <w:rPr>
                <w:rFonts w:cs="Calibri"/>
                <w:lang w:val="en-US" w:eastAsia="es-ES"/>
              </w:rPr>
              <w:t>-51</w:t>
            </w:r>
          </w:p>
        </w:tc>
      </w:tr>
      <w:tr w:rsidR="00F51D8E" w:rsidRPr="00933AB8" w14:paraId="3D61FB53" w14:textId="77777777" w:rsidTr="007E28B9">
        <w:trPr>
          <w:trHeight w:val="255"/>
        </w:trPr>
        <w:tc>
          <w:tcPr>
            <w:tcW w:w="3369" w:type="dxa"/>
            <w:tcBorders>
              <w:top w:val="nil"/>
              <w:bottom w:val="nil"/>
            </w:tcBorders>
            <w:noWrap/>
          </w:tcPr>
          <w:p w14:paraId="1C2D000A" w14:textId="77777777" w:rsidR="00F51D8E" w:rsidRPr="00933AB8" w:rsidRDefault="00F51D8E" w:rsidP="007E28B9">
            <w:pPr>
              <w:spacing w:after="200" w:line="276" w:lineRule="auto"/>
              <w:rPr>
                <w:rFonts w:cs="Calibri"/>
                <w:lang w:val="en-US" w:eastAsia="es-ES"/>
              </w:rPr>
            </w:pPr>
            <w:r w:rsidRPr="00933AB8">
              <w:rPr>
                <w:rFonts w:cs="Calibri"/>
                <w:lang w:val="en-US" w:eastAsia="es-ES"/>
              </w:rPr>
              <w:t>Patients with major depression according to DSM-IV criteria (n=82)</w:t>
            </w:r>
          </w:p>
        </w:tc>
        <w:tc>
          <w:tcPr>
            <w:tcW w:w="1819" w:type="dxa"/>
            <w:tcBorders>
              <w:top w:val="nil"/>
              <w:bottom w:val="nil"/>
            </w:tcBorders>
            <w:noWrap/>
          </w:tcPr>
          <w:p w14:paraId="05672DF1" w14:textId="77777777" w:rsidR="00F51D8E" w:rsidRPr="007C72DD" w:rsidRDefault="00F51D8E" w:rsidP="007E28B9">
            <w:pPr>
              <w:spacing w:after="200" w:line="276" w:lineRule="auto"/>
              <w:rPr>
                <w:rFonts w:cs="Calibri"/>
                <w:lang w:val="en-US" w:eastAsia="es-ES"/>
              </w:rPr>
            </w:pPr>
            <w:r w:rsidRPr="007C72DD">
              <w:rPr>
                <w:rFonts w:cs="Calibri"/>
                <w:lang w:val="en-US" w:eastAsia="es-ES"/>
              </w:rPr>
              <w:t>-59.1</w:t>
            </w:r>
          </w:p>
        </w:tc>
        <w:tc>
          <w:tcPr>
            <w:tcW w:w="1819" w:type="dxa"/>
            <w:tcBorders>
              <w:top w:val="nil"/>
              <w:bottom w:val="nil"/>
            </w:tcBorders>
            <w:noWrap/>
          </w:tcPr>
          <w:p w14:paraId="625A33C4" w14:textId="77777777" w:rsidR="00F51D8E" w:rsidRPr="007C72DD" w:rsidRDefault="00F51D8E" w:rsidP="007E28B9">
            <w:pPr>
              <w:spacing w:after="200" w:line="276" w:lineRule="auto"/>
              <w:rPr>
                <w:rFonts w:cs="Calibri"/>
                <w:lang w:val="en-US" w:eastAsia="es-ES"/>
              </w:rPr>
            </w:pPr>
            <w:r w:rsidRPr="007C72DD">
              <w:rPr>
                <w:rFonts w:cs="Calibri"/>
                <w:lang w:val="en-US" w:eastAsia="es-ES"/>
              </w:rPr>
              <w:t>-4.4</w:t>
            </w:r>
          </w:p>
        </w:tc>
        <w:tc>
          <w:tcPr>
            <w:tcW w:w="1819" w:type="dxa"/>
            <w:tcBorders>
              <w:top w:val="nil"/>
              <w:bottom w:val="nil"/>
            </w:tcBorders>
          </w:tcPr>
          <w:p w14:paraId="3980CF67" w14:textId="77777777" w:rsidR="00F51D8E" w:rsidRPr="007C72DD" w:rsidRDefault="00F51D8E" w:rsidP="007E28B9">
            <w:pPr>
              <w:spacing w:after="200" w:line="276" w:lineRule="auto"/>
              <w:rPr>
                <w:rFonts w:cs="Calibri"/>
                <w:lang w:val="en-US" w:eastAsia="es-ES"/>
              </w:rPr>
            </w:pPr>
            <w:r w:rsidRPr="007C72DD">
              <w:rPr>
                <w:rFonts w:cs="Calibri"/>
                <w:lang w:val="en-US" w:eastAsia="es-ES"/>
              </w:rPr>
              <w:t>13</w:t>
            </w:r>
          </w:p>
        </w:tc>
        <w:tc>
          <w:tcPr>
            <w:tcW w:w="1819" w:type="dxa"/>
            <w:tcBorders>
              <w:top w:val="nil"/>
              <w:bottom w:val="nil"/>
            </w:tcBorders>
          </w:tcPr>
          <w:p w14:paraId="1DA17D29" w14:textId="77777777" w:rsidR="00F51D8E" w:rsidRPr="007C72DD" w:rsidRDefault="00F51D8E" w:rsidP="007E28B9">
            <w:pPr>
              <w:spacing w:after="200" w:line="276" w:lineRule="auto"/>
              <w:rPr>
                <w:rFonts w:cs="Calibri"/>
                <w:lang w:val="en-US" w:eastAsia="es-ES"/>
              </w:rPr>
            </w:pPr>
            <w:r w:rsidRPr="007C72DD">
              <w:rPr>
                <w:rFonts w:cs="Calibri"/>
                <w:lang w:val="en-US" w:eastAsia="es-ES"/>
              </w:rPr>
              <w:t xml:space="preserve">53 </w:t>
            </w:r>
          </w:p>
        </w:tc>
        <w:tc>
          <w:tcPr>
            <w:tcW w:w="1819" w:type="dxa"/>
            <w:tcBorders>
              <w:top w:val="nil"/>
              <w:bottom w:val="nil"/>
            </w:tcBorders>
          </w:tcPr>
          <w:p w14:paraId="574B4018" w14:textId="77777777" w:rsidR="00F51D8E" w:rsidRPr="007C72DD" w:rsidRDefault="00F51D8E" w:rsidP="007E28B9">
            <w:pPr>
              <w:spacing w:after="200" w:line="276" w:lineRule="auto"/>
              <w:rPr>
                <w:rFonts w:cs="Calibri"/>
                <w:lang w:val="en-US" w:eastAsia="es-ES"/>
              </w:rPr>
            </w:pPr>
            <w:r w:rsidRPr="007C72DD">
              <w:rPr>
                <w:rFonts w:cs="Calibri"/>
                <w:lang w:val="en-US" w:eastAsia="es-ES"/>
              </w:rPr>
              <w:t xml:space="preserve">9,6*10-03 </w:t>
            </w:r>
          </w:p>
        </w:tc>
        <w:tc>
          <w:tcPr>
            <w:tcW w:w="1819" w:type="dxa"/>
            <w:tcBorders>
              <w:top w:val="nil"/>
              <w:bottom w:val="nil"/>
            </w:tcBorders>
          </w:tcPr>
          <w:p w14:paraId="7CE6CD61" w14:textId="77777777" w:rsidR="00F51D8E" w:rsidRPr="007C72DD" w:rsidRDefault="00F51D8E" w:rsidP="007E28B9">
            <w:pPr>
              <w:spacing w:after="200" w:line="276" w:lineRule="auto"/>
              <w:rPr>
                <w:rFonts w:cs="Calibri"/>
                <w:lang w:val="en-US" w:eastAsia="es-ES"/>
              </w:rPr>
            </w:pPr>
            <w:r w:rsidRPr="007C72DD">
              <w:rPr>
                <w:rFonts w:cs="Calibri"/>
                <w:lang w:val="en-US" w:eastAsia="es-ES"/>
              </w:rPr>
              <w:t>5554</w:t>
            </w:r>
          </w:p>
        </w:tc>
      </w:tr>
      <w:tr w:rsidR="00F51D8E" w:rsidRPr="00933AB8" w14:paraId="4FFAD2E2" w14:textId="77777777" w:rsidTr="007E28B9">
        <w:trPr>
          <w:trHeight w:val="255"/>
        </w:trPr>
        <w:tc>
          <w:tcPr>
            <w:tcW w:w="3369" w:type="dxa"/>
            <w:tcBorders>
              <w:top w:val="nil"/>
              <w:bottom w:val="nil"/>
            </w:tcBorders>
            <w:noWrap/>
            <w:hideMark/>
          </w:tcPr>
          <w:p w14:paraId="72F36701" w14:textId="77777777" w:rsidR="00F51D8E" w:rsidRPr="00933AB8" w:rsidRDefault="00F51D8E" w:rsidP="007E28B9">
            <w:pPr>
              <w:spacing w:after="200" w:line="276" w:lineRule="auto"/>
              <w:rPr>
                <w:rFonts w:cs="Calibri"/>
                <w:lang w:val="en-US" w:eastAsia="es-ES"/>
              </w:rPr>
            </w:pPr>
            <w:r w:rsidRPr="00933AB8">
              <w:rPr>
                <w:rFonts w:cs="Calibri"/>
                <w:lang w:val="en-US" w:eastAsia="es-ES"/>
              </w:rPr>
              <w:t>Average salary for absenteeism</w:t>
            </w:r>
          </w:p>
        </w:tc>
        <w:tc>
          <w:tcPr>
            <w:tcW w:w="1819" w:type="dxa"/>
            <w:tcBorders>
              <w:top w:val="nil"/>
              <w:bottom w:val="nil"/>
            </w:tcBorders>
            <w:noWrap/>
            <w:hideMark/>
          </w:tcPr>
          <w:p w14:paraId="7EC398FB" w14:textId="77777777" w:rsidR="00F51D8E" w:rsidRPr="007C72DD" w:rsidRDefault="00F51D8E" w:rsidP="007E28B9">
            <w:pPr>
              <w:spacing w:after="200" w:line="276" w:lineRule="auto"/>
              <w:rPr>
                <w:rFonts w:cs="Calibri"/>
                <w:lang w:val="en-US" w:eastAsia="es-ES"/>
              </w:rPr>
            </w:pPr>
            <w:r w:rsidRPr="007C72DD">
              <w:rPr>
                <w:rFonts w:cs="Calibri"/>
                <w:lang w:val="en-US" w:eastAsia="es-ES"/>
              </w:rPr>
              <w:t xml:space="preserve">104.5 </w:t>
            </w:r>
          </w:p>
        </w:tc>
        <w:tc>
          <w:tcPr>
            <w:tcW w:w="1819" w:type="dxa"/>
            <w:tcBorders>
              <w:top w:val="nil"/>
              <w:bottom w:val="nil"/>
            </w:tcBorders>
            <w:noWrap/>
          </w:tcPr>
          <w:p w14:paraId="30D0CCB2" w14:textId="77777777" w:rsidR="00F51D8E" w:rsidRPr="007C72DD" w:rsidRDefault="00F51D8E" w:rsidP="007E28B9">
            <w:pPr>
              <w:spacing w:after="200" w:line="276" w:lineRule="auto"/>
              <w:rPr>
                <w:rFonts w:cs="Calibri"/>
                <w:lang w:val="en-US" w:eastAsia="es-ES"/>
              </w:rPr>
            </w:pPr>
            <w:r w:rsidRPr="007C72DD">
              <w:rPr>
                <w:rFonts w:cs="Calibri"/>
                <w:lang w:val="en-US" w:eastAsia="es-ES"/>
              </w:rPr>
              <w:t>2.0</w:t>
            </w:r>
          </w:p>
        </w:tc>
        <w:tc>
          <w:tcPr>
            <w:tcW w:w="1819" w:type="dxa"/>
            <w:tcBorders>
              <w:top w:val="nil"/>
              <w:bottom w:val="nil"/>
            </w:tcBorders>
          </w:tcPr>
          <w:p w14:paraId="554997B6" w14:textId="77777777" w:rsidR="00F51D8E" w:rsidRPr="007C72DD" w:rsidRDefault="00F51D8E" w:rsidP="007E28B9">
            <w:pPr>
              <w:spacing w:after="200" w:line="276" w:lineRule="auto"/>
              <w:rPr>
                <w:rFonts w:cs="Calibri"/>
                <w:lang w:val="en-US" w:eastAsia="es-ES"/>
              </w:rPr>
            </w:pPr>
            <w:r w:rsidRPr="007C72DD">
              <w:rPr>
                <w:rFonts w:cs="Calibri"/>
                <w:lang w:val="en-US" w:eastAsia="es-ES"/>
              </w:rPr>
              <w:t>53</w:t>
            </w:r>
          </w:p>
        </w:tc>
        <w:tc>
          <w:tcPr>
            <w:tcW w:w="1819" w:type="dxa"/>
            <w:tcBorders>
              <w:top w:val="nil"/>
              <w:bottom w:val="nil"/>
            </w:tcBorders>
          </w:tcPr>
          <w:p w14:paraId="034E1329" w14:textId="77777777" w:rsidR="00F51D8E" w:rsidRPr="007C72DD" w:rsidRDefault="00F51D8E" w:rsidP="007E28B9">
            <w:pPr>
              <w:spacing w:after="200" w:line="276" w:lineRule="auto"/>
              <w:rPr>
                <w:rFonts w:cs="Calibri"/>
                <w:lang w:val="en-US" w:eastAsia="es-ES"/>
              </w:rPr>
            </w:pPr>
            <w:r w:rsidRPr="007C72DD">
              <w:rPr>
                <w:rFonts w:cs="Calibri"/>
                <w:lang w:val="en-US" w:eastAsia="es-ES"/>
              </w:rPr>
              <w:t xml:space="preserve">688 </w:t>
            </w:r>
          </w:p>
        </w:tc>
        <w:tc>
          <w:tcPr>
            <w:tcW w:w="1819" w:type="dxa"/>
            <w:tcBorders>
              <w:top w:val="nil"/>
              <w:bottom w:val="nil"/>
            </w:tcBorders>
          </w:tcPr>
          <w:p w14:paraId="6541D0E7" w14:textId="77777777" w:rsidR="00F51D8E" w:rsidRPr="007C72DD" w:rsidRDefault="00F51D8E" w:rsidP="007E28B9">
            <w:pPr>
              <w:spacing w:after="200" w:line="276" w:lineRule="auto"/>
              <w:rPr>
                <w:rFonts w:cs="Calibri"/>
                <w:lang w:val="en-US" w:eastAsia="es-ES"/>
              </w:rPr>
            </w:pPr>
            <w:r w:rsidRPr="007C72DD">
              <w:rPr>
                <w:rFonts w:cs="Calibri"/>
                <w:lang w:val="en-US" w:eastAsia="es-ES"/>
              </w:rPr>
              <w:t xml:space="preserve">-0.1 </w:t>
            </w:r>
          </w:p>
        </w:tc>
        <w:tc>
          <w:tcPr>
            <w:tcW w:w="1819" w:type="dxa"/>
            <w:tcBorders>
              <w:top w:val="nil"/>
              <w:bottom w:val="nil"/>
            </w:tcBorders>
          </w:tcPr>
          <w:p w14:paraId="28F812ED" w14:textId="77777777" w:rsidR="00F51D8E" w:rsidRPr="007C72DD" w:rsidRDefault="00F51D8E" w:rsidP="007E28B9">
            <w:pPr>
              <w:spacing w:after="200" w:line="276" w:lineRule="auto"/>
              <w:rPr>
                <w:rFonts w:cs="Calibri"/>
                <w:lang w:val="en-US" w:eastAsia="es-ES"/>
              </w:rPr>
            </w:pPr>
            <w:r w:rsidRPr="007C72DD">
              <w:rPr>
                <w:rFonts w:cs="Calibri"/>
                <w:lang w:val="en-US" w:eastAsia="es-ES"/>
              </w:rPr>
              <w:t>-716</w:t>
            </w:r>
          </w:p>
        </w:tc>
      </w:tr>
      <w:tr w:rsidR="00F51D8E" w:rsidRPr="00933AB8" w14:paraId="6300E53F" w14:textId="77777777" w:rsidTr="007E28B9">
        <w:trPr>
          <w:trHeight w:val="255"/>
        </w:trPr>
        <w:tc>
          <w:tcPr>
            <w:tcW w:w="3369" w:type="dxa"/>
            <w:tcBorders>
              <w:top w:val="nil"/>
              <w:bottom w:val="nil"/>
            </w:tcBorders>
            <w:noWrap/>
            <w:hideMark/>
          </w:tcPr>
          <w:p w14:paraId="6478F833" w14:textId="77777777" w:rsidR="00F51D8E" w:rsidRPr="00933AB8" w:rsidRDefault="00F51D8E" w:rsidP="007E28B9">
            <w:pPr>
              <w:spacing w:after="200" w:line="276" w:lineRule="auto"/>
              <w:rPr>
                <w:rFonts w:cs="Calibri"/>
                <w:lang w:val="en-US" w:eastAsia="es-ES"/>
              </w:rPr>
            </w:pPr>
            <w:r w:rsidRPr="00933AB8">
              <w:rPr>
                <w:rFonts w:cs="Calibri"/>
                <w:lang w:val="en-US" w:eastAsia="es-ES"/>
              </w:rPr>
              <w:t>Per protocol analysis (n=128)</w:t>
            </w:r>
          </w:p>
        </w:tc>
        <w:tc>
          <w:tcPr>
            <w:tcW w:w="1819" w:type="dxa"/>
            <w:tcBorders>
              <w:top w:val="nil"/>
              <w:bottom w:val="nil"/>
            </w:tcBorders>
            <w:noWrap/>
            <w:hideMark/>
          </w:tcPr>
          <w:p w14:paraId="0FD69D0A" w14:textId="77777777" w:rsidR="00F51D8E" w:rsidRPr="007C72DD" w:rsidRDefault="00F51D8E" w:rsidP="007E28B9">
            <w:pPr>
              <w:spacing w:after="200" w:line="276" w:lineRule="auto"/>
              <w:rPr>
                <w:rFonts w:cs="Calibri"/>
                <w:lang w:val="en-US" w:eastAsia="es-ES"/>
              </w:rPr>
            </w:pPr>
            <w:r w:rsidRPr="007C72DD">
              <w:rPr>
                <w:rFonts w:cs="Calibri"/>
                <w:lang w:val="en-US" w:eastAsia="es-ES"/>
              </w:rPr>
              <w:t xml:space="preserve">-548.3 </w:t>
            </w:r>
          </w:p>
        </w:tc>
        <w:tc>
          <w:tcPr>
            <w:tcW w:w="1819" w:type="dxa"/>
            <w:tcBorders>
              <w:top w:val="nil"/>
              <w:bottom w:val="nil"/>
            </w:tcBorders>
            <w:noWrap/>
          </w:tcPr>
          <w:p w14:paraId="37533A50" w14:textId="77777777" w:rsidR="00F51D8E" w:rsidRPr="007C72DD" w:rsidRDefault="00F51D8E" w:rsidP="007E28B9">
            <w:pPr>
              <w:spacing w:after="200" w:line="276" w:lineRule="auto"/>
              <w:rPr>
                <w:rFonts w:cs="Calibri"/>
                <w:lang w:val="en-US" w:eastAsia="es-ES"/>
              </w:rPr>
            </w:pPr>
            <w:r w:rsidRPr="007C72DD">
              <w:rPr>
                <w:rFonts w:cs="Calibri"/>
                <w:lang w:val="en-US" w:eastAsia="es-ES"/>
              </w:rPr>
              <w:t>2.0</w:t>
            </w:r>
          </w:p>
        </w:tc>
        <w:tc>
          <w:tcPr>
            <w:tcW w:w="1819" w:type="dxa"/>
            <w:tcBorders>
              <w:top w:val="nil"/>
              <w:bottom w:val="nil"/>
            </w:tcBorders>
          </w:tcPr>
          <w:p w14:paraId="0EF0D2F3" w14:textId="77777777" w:rsidR="00F51D8E" w:rsidRPr="007C72DD" w:rsidRDefault="00F51D8E" w:rsidP="007E28B9">
            <w:pPr>
              <w:spacing w:after="200" w:line="276" w:lineRule="auto"/>
              <w:rPr>
                <w:rFonts w:cs="Calibri"/>
                <w:lang w:val="en-US" w:eastAsia="es-ES"/>
              </w:rPr>
            </w:pPr>
            <w:r w:rsidRPr="007C72DD">
              <w:rPr>
                <w:rFonts w:cs="Calibri"/>
                <w:lang w:val="en-US" w:eastAsia="es-ES"/>
              </w:rPr>
              <w:t>-277</w:t>
            </w:r>
          </w:p>
        </w:tc>
        <w:tc>
          <w:tcPr>
            <w:tcW w:w="1819" w:type="dxa"/>
            <w:tcBorders>
              <w:top w:val="nil"/>
              <w:bottom w:val="nil"/>
            </w:tcBorders>
          </w:tcPr>
          <w:p w14:paraId="47D97D7B" w14:textId="77777777" w:rsidR="00F51D8E" w:rsidRPr="007C72DD" w:rsidRDefault="00F51D8E" w:rsidP="007E28B9">
            <w:pPr>
              <w:spacing w:after="200" w:line="276" w:lineRule="auto"/>
              <w:rPr>
                <w:rFonts w:cs="Calibri"/>
                <w:lang w:val="en-US" w:eastAsia="es-ES"/>
              </w:rPr>
            </w:pPr>
            <w:r w:rsidRPr="007C72DD">
              <w:rPr>
                <w:rFonts w:cs="Calibri"/>
                <w:lang w:val="en-US" w:eastAsia="es-ES"/>
              </w:rPr>
              <w:t xml:space="preserve">-162 </w:t>
            </w:r>
          </w:p>
        </w:tc>
        <w:tc>
          <w:tcPr>
            <w:tcW w:w="1819" w:type="dxa"/>
            <w:tcBorders>
              <w:top w:val="nil"/>
              <w:bottom w:val="nil"/>
            </w:tcBorders>
          </w:tcPr>
          <w:p w14:paraId="7DAFC347" w14:textId="77777777" w:rsidR="00F51D8E" w:rsidRPr="007C72DD" w:rsidRDefault="00F51D8E" w:rsidP="007E28B9">
            <w:pPr>
              <w:spacing w:after="200" w:line="276" w:lineRule="auto"/>
              <w:rPr>
                <w:rFonts w:cs="Calibri"/>
                <w:lang w:val="en-US" w:eastAsia="es-ES"/>
              </w:rPr>
            </w:pPr>
            <w:r w:rsidRPr="007C72DD">
              <w:rPr>
                <w:rFonts w:cs="Calibri"/>
                <w:lang w:val="en-US" w:eastAsia="es-ES"/>
              </w:rPr>
              <w:t xml:space="preserve">-1.3 </w:t>
            </w:r>
          </w:p>
        </w:tc>
        <w:tc>
          <w:tcPr>
            <w:tcW w:w="1819" w:type="dxa"/>
            <w:tcBorders>
              <w:top w:val="nil"/>
              <w:bottom w:val="nil"/>
            </w:tcBorders>
          </w:tcPr>
          <w:p w14:paraId="5AE374B3" w14:textId="77777777" w:rsidR="00F51D8E" w:rsidRPr="007C72DD" w:rsidRDefault="00F51D8E" w:rsidP="007E28B9">
            <w:pPr>
              <w:spacing w:after="200" w:line="276" w:lineRule="auto"/>
              <w:rPr>
                <w:rFonts w:cs="Calibri"/>
                <w:lang w:val="en-US" w:eastAsia="es-ES"/>
              </w:rPr>
            </w:pPr>
            <w:r w:rsidRPr="007C72DD">
              <w:rPr>
                <w:rFonts w:cs="Calibri"/>
                <w:lang w:val="en-US" w:eastAsia="es-ES"/>
              </w:rPr>
              <w:t>125</w:t>
            </w:r>
          </w:p>
        </w:tc>
      </w:tr>
      <w:tr w:rsidR="00F51D8E" w:rsidRPr="00933AB8" w14:paraId="382FC74D" w14:textId="77777777" w:rsidTr="007E28B9">
        <w:trPr>
          <w:trHeight w:val="255"/>
        </w:trPr>
        <w:tc>
          <w:tcPr>
            <w:tcW w:w="3369" w:type="dxa"/>
            <w:tcBorders>
              <w:top w:val="nil"/>
            </w:tcBorders>
            <w:noWrap/>
            <w:hideMark/>
          </w:tcPr>
          <w:p w14:paraId="34678325" w14:textId="77777777" w:rsidR="00F51D8E" w:rsidRPr="00933AB8" w:rsidRDefault="00F51D8E" w:rsidP="007E28B9">
            <w:pPr>
              <w:spacing w:after="200" w:line="276" w:lineRule="auto"/>
              <w:rPr>
                <w:rFonts w:cs="Calibri"/>
                <w:lang w:val="en-US" w:eastAsia="es-ES"/>
              </w:rPr>
            </w:pPr>
            <w:r w:rsidRPr="00933AB8">
              <w:rPr>
                <w:rFonts w:cs="Calibri"/>
                <w:lang w:val="en-US" w:eastAsia="es-ES"/>
              </w:rPr>
              <w:t>Completers (6-month n=214; 12-month n=195)</w:t>
            </w:r>
          </w:p>
        </w:tc>
        <w:tc>
          <w:tcPr>
            <w:tcW w:w="1819" w:type="dxa"/>
            <w:tcBorders>
              <w:top w:val="nil"/>
            </w:tcBorders>
            <w:noWrap/>
            <w:hideMark/>
          </w:tcPr>
          <w:p w14:paraId="021EF371" w14:textId="77777777" w:rsidR="00F51D8E" w:rsidRPr="007C72DD" w:rsidRDefault="00F51D8E" w:rsidP="007E28B9">
            <w:pPr>
              <w:spacing w:after="200" w:line="276" w:lineRule="auto"/>
              <w:rPr>
                <w:rFonts w:cs="Calibri"/>
                <w:lang w:val="en-US" w:eastAsia="es-ES"/>
              </w:rPr>
            </w:pPr>
            <w:r w:rsidRPr="007C72DD">
              <w:rPr>
                <w:rFonts w:cs="Calibri"/>
                <w:lang w:val="en-US" w:eastAsia="es-ES"/>
              </w:rPr>
              <w:t xml:space="preserve">-21.0 </w:t>
            </w:r>
          </w:p>
        </w:tc>
        <w:tc>
          <w:tcPr>
            <w:tcW w:w="1819" w:type="dxa"/>
            <w:tcBorders>
              <w:top w:val="nil"/>
            </w:tcBorders>
            <w:noWrap/>
          </w:tcPr>
          <w:p w14:paraId="786DF716" w14:textId="77777777" w:rsidR="00F51D8E" w:rsidRPr="007C72DD" w:rsidRDefault="00F51D8E" w:rsidP="007E28B9">
            <w:pPr>
              <w:spacing w:after="200" w:line="276" w:lineRule="auto"/>
              <w:rPr>
                <w:rFonts w:cs="Calibri"/>
                <w:lang w:val="en-US" w:eastAsia="es-ES"/>
              </w:rPr>
            </w:pPr>
            <w:r w:rsidRPr="007C72DD">
              <w:rPr>
                <w:rFonts w:cs="Calibri"/>
                <w:lang w:val="en-US" w:eastAsia="es-ES"/>
              </w:rPr>
              <w:t>3.4</w:t>
            </w:r>
          </w:p>
        </w:tc>
        <w:tc>
          <w:tcPr>
            <w:tcW w:w="1819" w:type="dxa"/>
            <w:tcBorders>
              <w:top w:val="nil"/>
            </w:tcBorders>
          </w:tcPr>
          <w:p w14:paraId="2DACFA50" w14:textId="77777777" w:rsidR="00F51D8E" w:rsidRPr="007C72DD" w:rsidRDefault="00F51D8E" w:rsidP="007E28B9">
            <w:pPr>
              <w:spacing w:after="200" w:line="276" w:lineRule="auto"/>
              <w:rPr>
                <w:rFonts w:cs="Calibri"/>
                <w:lang w:val="en-US" w:eastAsia="es-ES"/>
              </w:rPr>
            </w:pPr>
            <w:r w:rsidRPr="007C72DD">
              <w:rPr>
                <w:rFonts w:cs="Calibri"/>
                <w:lang w:val="en-US" w:eastAsia="es-ES"/>
              </w:rPr>
              <w:t>-6</w:t>
            </w:r>
          </w:p>
        </w:tc>
        <w:tc>
          <w:tcPr>
            <w:tcW w:w="1819" w:type="dxa"/>
            <w:tcBorders>
              <w:top w:val="nil"/>
            </w:tcBorders>
          </w:tcPr>
          <w:p w14:paraId="600B8815" w14:textId="77777777" w:rsidR="00F51D8E" w:rsidRPr="007C72DD" w:rsidRDefault="00F51D8E" w:rsidP="007E28B9">
            <w:pPr>
              <w:spacing w:after="200" w:line="276" w:lineRule="auto"/>
              <w:rPr>
                <w:rFonts w:cs="Calibri"/>
                <w:lang w:val="en-US" w:eastAsia="es-ES"/>
              </w:rPr>
            </w:pPr>
            <w:r w:rsidRPr="007C72DD">
              <w:rPr>
                <w:rFonts w:cs="Calibri"/>
                <w:lang w:val="en-US" w:eastAsia="es-ES"/>
              </w:rPr>
              <w:t xml:space="preserve"> 185 </w:t>
            </w:r>
          </w:p>
        </w:tc>
        <w:tc>
          <w:tcPr>
            <w:tcW w:w="1819" w:type="dxa"/>
            <w:tcBorders>
              <w:top w:val="nil"/>
            </w:tcBorders>
          </w:tcPr>
          <w:p w14:paraId="3570703C" w14:textId="77777777" w:rsidR="00F51D8E" w:rsidRPr="007C72DD" w:rsidRDefault="00F51D8E" w:rsidP="007E28B9">
            <w:pPr>
              <w:spacing w:after="200" w:line="276" w:lineRule="auto"/>
              <w:rPr>
                <w:rFonts w:cs="Calibri"/>
                <w:lang w:val="en-US" w:eastAsia="es-ES"/>
              </w:rPr>
            </w:pPr>
            <w:r w:rsidRPr="007C72DD">
              <w:rPr>
                <w:rFonts w:cs="Calibri"/>
                <w:lang w:val="en-US" w:eastAsia="es-ES"/>
              </w:rPr>
              <w:t>-0. 03</w:t>
            </w:r>
          </w:p>
        </w:tc>
        <w:tc>
          <w:tcPr>
            <w:tcW w:w="1819" w:type="dxa"/>
            <w:tcBorders>
              <w:top w:val="nil"/>
            </w:tcBorders>
          </w:tcPr>
          <w:p w14:paraId="358E8923" w14:textId="77777777" w:rsidR="00F51D8E" w:rsidRPr="007C72DD" w:rsidRDefault="00F51D8E" w:rsidP="007E28B9">
            <w:pPr>
              <w:spacing w:after="200" w:line="276" w:lineRule="auto"/>
              <w:rPr>
                <w:rFonts w:cs="Calibri"/>
                <w:lang w:val="en-US" w:eastAsia="es-ES"/>
              </w:rPr>
            </w:pPr>
            <w:r w:rsidRPr="007C72DD">
              <w:rPr>
                <w:rFonts w:cs="Calibri"/>
                <w:lang w:val="en-US" w:eastAsia="es-ES"/>
              </w:rPr>
              <w:t>-5921</w:t>
            </w:r>
          </w:p>
        </w:tc>
      </w:tr>
    </w:tbl>
    <w:p w14:paraId="1BFDA8AC" w14:textId="77777777" w:rsidR="00F51D8E" w:rsidRPr="00933AB8" w:rsidRDefault="00F51D8E" w:rsidP="00F51D8E">
      <w:pPr>
        <w:spacing w:after="200" w:line="276" w:lineRule="auto"/>
        <w:jc w:val="both"/>
        <w:rPr>
          <w:lang w:val="en-US"/>
        </w:rPr>
      </w:pPr>
      <w:r w:rsidRPr="00933AB8">
        <w:rPr>
          <w:rFonts w:ascii="Calibri" w:eastAsia="Calibri" w:hAnsi="Calibri"/>
          <w:lang w:val="en-US"/>
        </w:rPr>
        <w:t xml:space="preserve">* Active Monitoring is the reference group. </w:t>
      </w:r>
    </w:p>
    <w:p w14:paraId="25C0D93D" w14:textId="77777777" w:rsidR="00F51D8E" w:rsidRPr="00464E67" w:rsidRDefault="00F51D8E" w:rsidP="00F51D8E">
      <w:pPr>
        <w:rPr>
          <w:lang w:val="en-US"/>
        </w:rPr>
      </w:pPr>
      <w:bookmarkStart w:id="1" w:name="_GoBack"/>
      <w:bookmarkEnd w:id="1"/>
    </w:p>
    <w:sectPr w:rsidR="00F51D8E" w:rsidRPr="00464E6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35E132" w14:textId="77777777" w:rsidR="007B2E58" w:rsidRDefault="007B2E58" w:rsidP="009D1A87">
      <w:pPr>
        <w:spacing w:after="0" w:line="240" w:lineRule="auto"/>
      </w:pPr>
      <w:r>
        <w:separator/>
      </w:r>
    </w:p>
  </w:endnote>
  <w:endnote w:type="continuationSeparator" w:id="0">
    <w:p w14:paraId="6075BE56" w14:textId="77777777" w:rsidR="007B2E58" w:rsidRDefault="007B2E58" w:rsidP="009D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056330"/>
      <w:docPartObj>
        <w:docPartGallery w:val="Page Numbers (Bottom of Page)"/>
        <w:docPartUnique/>
      </w:docPartObj>
    </w:sdtPr>
    <w:sdtEndPr/>
    <w:sdtContent>
      <w:p w14:paraId="759E57B3" w14:textId="08F4100D" w:rsidR="001E7786" w:rsidRDefault="001E7786">
        <w:pPr>
          <w:pStyle w:val="Footer"/>
          <w:jc w:val="center"/>
        </w:pPr>
        <w:r>
          <w:fldChar w:fldCharType="begin"/>
        </w:r>
        <w:r>
          <w:instrText>PAGE   \* MERGEFORMAT</w:instrText>
        </w:r>
        <w:r>
          <w:fldChar w:fldCharType="separate"/>
        </w:r>
        <w:r w:rsidR="00F51D8E">
          <w:rPr>
            <w:noProof/>
          </w:rPr>
          <w:t>28</w:t>
        </w:r>
        <w:r>
          <w:fldChar w:fldCharType="end"/>
        </w:r>
      </w:p>
    </w:sdtContent>
  </w:sdt>
  <w:p w14:paraId="0B3D31D7" w14:textId="77777777" w:rsidR="001E7786" w:rsidRDefault="001E77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4D2825" w14:textId="77777777" w:rsidR="007B2E58" w:rsidRDefault="007B2E58" w:rsidP="009D1A87">
      <w:pPr>
        <w:spacing w:after="0" w:line="240" w:lineRule="auto"/>
      </w:pPr>
      <w:r>
        <w:separator/>
      </w:r>
    </w:p>
  </w:footnote>
  <w:footnote w:type="continuationSeparator" w:id="0">
    <w:p w14:paraId="66657168" w14:textId="77777777" w:rsidR="007B2E58" w:rsidRDefault="007B2E58" w:rsidP="009D1A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97BBF"/>
    <w:multiLevelType w:val="multilevel"/>
    <w:tmpl w:val="0B7288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3EAD2CC0"/>
    <w:multiLevelType w:val="hybridMultilevel"/>
    <w:tmpl w:val="5A0A95A0"/>
    <w:lvl w:ilvl="0" w:tplc="95042458">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D2F3E34"/>
    <w:multiLevelType w:val="hybridMultilevel"/>
    <w:tmpl w:val="33FA8B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F2D399E"/>
    <w:multiLevelType w:val="hybridMultilevel"/>
    <w:tmpl w:val="5BA8D6F6"/>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691F1A6A"/>
    <w:multiLevelType w:val="hybridMultilevel"/>
    <w:tmpl w:val="1214FB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7C005A1B"/>
    <w:multiLevelType w:val="hybridMultilevel"/>
    <w:tmpl w:val="D80E4304"/>
    <w:lvl w:ilvl="0" w:tplc="6FF47EF4">
      <w:start w:val="2010"/>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3E9"/>
    <w:rsid w:val="0000273D"/>
    <w:rsid w:val="000324E0"/>
    <w:rsid w:val="000501D3"/>
    <w:rsid w:val="00095EDF"/>
    <w:rsid w:val="00096D36"/>
    <w:rsid w:val="000B2224"/>
    <w:rsid w:val="000E6884"/>
    <w:rsid w:val="000F1A29"/>
    <w:rsid w:val="00125A52"/>
    <w:rsid w:val="001328BA"/>
    <w:rsid w:val="00150EBA"/>
    <w:rsid w:val="00153C13"/>
    <w:rsid w:val="0017361A"/>
    <w:rsid w:val="00183964"/>
    <w:rsid w:val="00184409"/>
    <w:rsid w:val="0018505E"/>
    <w:rsid w:val="00191F53"/>
    <w:rsid w:val="001D2EDC"/>
    <w:rsid w:val="001E7786"/>
    <w:rsid w:val="0020359E"/>
    <w:rsid w:val="00214534"/>
    <w:rsid w:val="0021718D"/>
    <w:rsid w:val="002353C5"/>
    <w:rsid w:val="002438AF"/>
    <w:rsid w:val="00245F4E"/>
    <w:rsid w:val="00260F00"/>
    <w:rsid w:val="00265BAC"/>
    <w:rsid w:val="00286896"/>
    <w:rsid w:val="003104CC"/>
    <w:rsid w:val="00317658"/>
    <w:rsid w:val="00327A56"/>
    <w:rsid w:val="0034005B"/>
    <w:rsid w:val="00342C0E"/>
    <w:rsid w:val="00357B09"/>
    <w:rsid w:val="00367C22"/>
    <w:rsid w:val="0037751B"/>
    <w:rsid w:val="003A6CD4"/>
    <w:rsid w:val="003D171B"/>
    <w:rsid w:val="00464E67"/>
    <w:rsid w:val="00480840"/>
    <w:rsid w:val="00494B89"/>
    <w:rsid w:val="004A6C70"/>
    <w:rsid w:val="004C1910"/>
    <w:rsid w:val="004E4232"/>
    <w:rsid w:val="004F3E5A"/>
    <w:rsid w:val="004F59FA"/>
    <w:rsid w:val="004F6A90"/>
    <w:rsid w:val="00507A52"/>
    <w:rsid w:val="005113F6"/>
    <w:rsid w:val="005413E9"/>
    <w:rsid w:val="00543286"/>
    <w:rsid w:val="00561288"/>
    <w:rsid w:val="00584AEB"/>
    <w:rsid w:val="005D74AF"/>
    <w:rsid w:val="005E75DC"/>
    <w:rsid w:val="005F104B"/>
    <w:rsid w:val="005F4E47"/>
    <w:rsid w:val="00607A83"/>
    <w:rsid w:val="006122FB"/>
    <w:rsid w:val="0067203B"/>
    <w:rsid w:val="0069223B"/>
    <w:rsid w:val="006B7A9E"/>
    <w:rsid w:val="006C3C87"/>
    <w:rsid w:val="006E11E4"/>
    <w:rsid w:val="0071681D"/>
    <w:rsid w:val="00732557"/>
    <w:rsid w:val="00734E7A"/>
    <w:rsid w:val="00773EB1"/>
    <w:rsid w:val="00776AB7"/>
    <w:rsid w:val="007B2E58"/>
    <w:rsid w:val="007E0084"/>
    <w:rsid w:val="007E6B9D"/>
    <w:rsid w:val="008274AD"/>
    <w:rsid w:val="008612BA"/>
    <w:rsid w:val="00881073"/>
    <w:rsid w:val="0088353A"/>
    <w:rsid w:val="008A2391"/>
    <w:rsid w:val="008A258A"/>
    <w:rsid w:val="008A4261"/>
    <w:rsid w:val="008D190C"/>
    <w:rsid w:val="008D2F9E"/>
    <w:rsid w:val="008E1023"/>
    <w:rsid w:val="008F6976"/>
    <w:rsid w:val="00944713"/>
    <w:rsid w:val="0094604C"/>
    <w:rsid w:val="00952D17"/>
    <w:rsid w:val="009A4DF3"/>
    <w:rsid w:val="009D1A87"/>
    <w:rsid w:val="00A02A21"/>
    <w:rsid w:val="00A33871"/>
    <w:rsid w:val="00A9221F"/>
    <w:rsid w:val="00AA6CB8"/>
    <w:rsid w:val="00AB2D12"/>
    <w:rsid w:val="00AD5FAC"/>
    <w:rsid w:val="00AE0D0B"/>
    <w:rsid w:val="00AE475A"/>
    <w:rsid w:val="00B20112"/>
    <w:rsid w:val="00B5121C"/>
    <w:rsid w:val="00BC1D37"/>
    <w:rsid w:val="00BE3BFE"/>
    <w:rsid w:val="00BF2DC2"/>
    <w:rsid w:val="00BF322E"/>
    <w:rsid w:val="00C10F9F"/>
    <w:rsid w:val="00C25864"/>
    <w:rsid w:val="00C71B3E"/>
    <w:rsid w:val="00CE7BE6"/>
    <w:rsid w:val="00D1140F"/>
    <w:rsid w:val="00D16C4E"/>
    <w:rsid w:val="00D2754C"/>
    <w:rsid w:val="00D74449"/>
    <w:rsid w:val="00D8004B"/>
    <w:rsid w:val="00D85275"/>
    <w:rsid w:val="00DC2AC8"/>
    <w:rsid w:val="00E24955"/>
    <w:rsid w:val="00E36BE0"/>
    <w:rsid w:val="00E4598C"/>
    <w:rsid w:val="00E5586B"/>
    <w:rsid w:val="00E63695"/>
    <w:rsid w:val="00E91738"/>
    <w:rsid w:val="00E920EA"/>
    <w:rsid w:val="00EA371A"/>
    <w:rsid w:val="00F0545A"/>
    <w:rsid w:val="00F249F2"/>
    <w:rsid w:val="00F25629"/>
    <w:rsid w:val="00F456EB"/>
    <w:rsid w:val="00F5081B"/>
    <w:rsid w:val="00F51D8E"/>
    <w:rsid w:val="00F604A8"/>
    <w:rsid w:val="00F76044"/>
    <w:rsid w:val="00F83A58"/>
    <w:rsid w:val="00F9097B"/>
    <w:rsid w:val="00F95897"/>
    <w:rsid w:val="00FA1544"/>
    <w:rsid w:val="00FE566D"/>
    <w:rsid w:val="00FF2EB7"/>
    <w:rsid w:val="00FF38FB"/>
    <w:rsid w:val="00FF5D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A2DDB"/>
  <w15:docId w15:val="{08CC21E3-85D1-4279-951A-EB2D17CAF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E3BFE"/>
    <w:pPr>
      <w:keepNext/>
      <w:keepLines/>
      <w:spacing w:before="240" w:after="240" w:line="480" w:lineRule="auto"/>
      <w:jc w:val="both"/>
      <w:outlineLvl w:val="0"/>
    </w:pPr>
    <w:rPr>
      <w:rFonts w:ascii="Calibri" w:eastAsia="Times New Roman" w:hAnsi="Calibri" w:cs="Times New Roman"/>
      <w:b/>
      <w:bCs/>
      <w:sz w:val="28"/>
      <w:szCs w:val="28"/>
    </w:rPr>
  </w:style>
  <w:style w:type="paragraph" w:styleId="Heading2">
    <w:name w:val="heading 2"/>
    <w:basedOn w:val="Normal"/>
    <w:next w:val="Normal"/>
    <w:link w:val="Heading2Char"/>
    <w:uiPriority w:val="9"/>
    <w:unhideWhenUsed/>
    <w:qFormat/>
    <w:rsid w:val="00BE3BFE"/>
    <w:pPr>
      <w:keepNext/>
      <w:keepLines/>
      <w:spacing w:before="240" w:after="240" w:line="480" w:lineRule="auto"/>
      <w:jc w:val="both"/>
      <w:outlineLvl w:val="1"/>
    </w:pPr>
    <w:rPr>
      <w:rFonts w:ascii="Calibri" w:eastAsia="Times New Roman" w:hAnsi="Calibri" w:cs="Times New Roman"/>
      <w:bCs/>
      <w:sz w:val="24"/>
      <w:szCs w:val="26"/>
      <w:u w:val="single"/>
    </w:rPr>
  </w:style>
  <w:style w:type="paragraph" w:styleId="Heading3">
    <w:name w:val="heading 3"/>
    <w:basedOn w:val="Normal"/>
    <w:next w:val="Normal"/>
    <w:link w:val="Heading3Char"/>
    <w:uiPriority w:val="9"/>
    <w:unhideWhenUsed/>
    <w:qFormat/>
    <w:rsid w:val="00BE3BFE"/>
    <w:pPr>
      <w:keepNext/>
      <w:keepLines/>
      <w:spacing w:before="240" w:after="240" w:line="480" w:lineRule="auto"/>
      <w:jc w:val="both"/>
      <w:outlineLvl w:val="2"/>
    </w:pPr>
    <w:rPr>
      <w:rFonts w:ascii="Calibri" w:eastAsia="Times New Roman" w:hAnsi="Calibri" w:cs="Times New Roman"/>
      <w:bCs/>
      <w:i/>
      <w:szCs w:val="20"/>
    </w:rPr>
  </w:style>
  <w:style w:type="paragraph" w:styleId="Heading4">
    <w:name w:val="heading 4"/>
    <w:basedOn w:val="Normal"/>
    <w:next w:val="Normal"/>
    <w:link w:val="Heading4Char"/>
    <w:uiPriority w:val="9"/>
    <w:semiHidden/>
    <w:unhideWhenUsed/>
    <w:qFormat/>
    <w:rsid w:val="00BE3BFE"/>
    <w:pPr>
      <w:keepNext/>
      <w:keepLines/>
      <w:spacing w:before="40" w:after="0" w:line="276" w:lineRule="auto"/>
      <w:jc w:val="both"/>
      <w:outlineLvl w:val="3"/>
    </w:pPr>
    <w:rPr>
      <w:rFonts w:ascii="Cambria" w:eastAsia="Times New Roman" w:hAnsi="Cambria" w:cs="Times New Roman"/>
      <w:i/>
      <w:iCs/>
      <w:color w:val="2E74B5"/>
    </w:rPr>
  </w:style>
  <w:style w:type="paragraph" w:styleId="Heading5">
    <w:name w:val="heading 5"/>
    <w:basedOn w:val="Normal"/>
    <w:next w:val="Normal"/>
    <w:link w:val="Heading5Char"/>
    <w:uiPriority w:val="9"/>
    <w:unhideWhenUsed/>
    <w:qFormat/>
    <w:rsid w:val="00BE3BFE"/>
    <w:pPr>
      <w:keepNext/>
      <w:keepLines/>
      <w:spacing w:before="40" w:after="0" w:line="276" w:lineRule="auto"/>
      <w:jc w:val="both"/>
      <w:outlineLvl w:val="4"/>
    </w:pPr>
    <w:rPr>
      <w:rFonts w:ascii="Cambria" w:eastAsia="Times New Roman" w:hAnsi="Cambria" w:cs="Times New Roman"/>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inguno">
    <w:name w:val="Ninguno"/>
    <w:rsid w:val="005413E9"/>
    <w:rPr>
      <w:lang w:val="en-US"/>
    </w:rPr>
  </w:style>
  <w:style w:type="character" w:customStyle="1" w:styleId="Heading1Char">
    <w:name w:val="Heading 1 Char"/>
    <w:basedOn w:val="DefaultParagraphFont"/>
    <w:link w:val="Heading1"/>
    <w:uiPriority w:val="9"/>
    <w:rsid w:val="00BE3BFE"/>
    <w:rPr>
      <w:rFonts w:ascii="Calibri" w:eastAsia="Times New Roman" w:hAnsi="Calibri" w:cs="Times New Roman"/>
      <w:b/>
      <w:bCs/>
      <w:sz w:val="28"/>
      <w:szCs w:val="28"/>
    </w:rPr>
  </w:style>
  <w:style w:type="character" w:customStyle="1" w:styleId="Heading2Char">
    <w:name w:val="Heading 2 Char"/>
    <w:basedOn w:val="DefaultParagraphFont"/>
    <w:link w:val="Heading2"/>
    <w:uiPriority w:val="9"/>
    <w:rsid w:val="00BE3BFE"/>
    <w:rPr>
      <w:rFonts w:ascii="Calibri" w:eastAsia="Times New Roman" w:hAnsi="Calibri" w:cs="Times New Roman"/>
      <w:bCs/>
      <w:sz w:val="24"/>
      <w:szCs w:val="26"/>
      <w:u w:val="single"/>
    </w:rPr>
  </w:style>
  <w:style w:type="character" w:customStyle="1" w:styleId="Heading3Char">
    <w:name w:val="Heading 3 Char"/>
    <w:basedOn w:val="DefaultParagraphFont"/>
    <w:link w:val="Heading3"/>
    <w:uiPriority w:val="9"/>
    <w:rsid w:val="00BE3BFE"/>
    <w:rPr>
      <w:rFonts w:ascii="Calibri" w:eastAsia="Times New Roman" w:hAnsi="Calibri" w:cs="Times New Roman"/>
      <w:bCs/>
      <w:i/>
      <w:szCs w:val="20"/>
    </w:rPr>
  </w:style>
  <w:style w:type="character" w:customStyle="1" w:styleId="Heading4Char">
    <w:name w:val="Heading 4 Char"/>
    <w:basedOn w:val="DefaultParagraphFont"/>
    <w:link w:val="Heading4"/>
    <w:uiPriority w:val="9"/>
    <w:semiHidden/>
    <w:rsid w:val="00BE3BFE"/>
    <w:rPr>
      <w:rFonts w:ascii="Cambria" w:eastAsia="Times New Roman" w:hAnsi="Cambria" w:cs="Times New Roman"/>
      <w:i/>
      <w:iCs/>
      <w:color w:val="2E74B5"/>
    </w:rPr>
  </w:style>
  <w:style w:type="character" w:customStyle="1" w:styleId="Heading5Char">
    <w:name w:val="Heading 5 Char"/>
    <w:basedOn w:val="DefaultParagraphFont"/>
    <w:link w:val="Heading5"/>
    <w:uiPriority w:val="9"/>
    <w:rsid w:val="00BE3BFE"/>
    <w:rPr>
      <w:rFonts w:ascii="Cambria" w:eastAsia="Times New Roman" w:hAnsi="Cambria" w:cs="Times New Roman"/>
      <w:color w:val="2E74B5"/>
    </w:rPr>
  </w:style>
  <w:style w:type="character" w:styleId="Hyperlink">
    <w:name w:val="Hyperlink"/>
    <w:uiPriority w:val="99"/>
    <w:unhideWhenUsed/>
    <w:rsid w:val="00BE3BFE"/>
    <w:rPr>
      <w:color w:val="0000FF"/>
      <w:u w:val="single"/>
    </w:rPr>
  </w:style>
  <w:style w:type="character" w:customStyle="1" w:styleId="apple-converted-space">
    <w:name w:val="apple-converted-space"/>
    <w:basedOn w:val="DefaultParagraphFont"/>
    <w:rsid w:val="00BE3BFE"/>
  </w:style>
  <w:style w:type="table" w:styleId="TableGrid">
    <w:name w:val="Table Grid"/>
    <w:basedOn w:val="TableNormal"/>
    <w:uiPriority w:val="59"/>
    <w:rsid w:val="00BE3BFE"/>
    <w:pPr>
      <w:spacing w:after="0" w:line="240" w:lineRule="auto"/>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BE3BFE"/>
    <w:pPr>
      <w:spacing w:after="0" w:line="240" w:lineRule="auto"/>
      <w:jc w:val="both"/>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BE3BFE"/>
    <w:rPr>
      <w:rFonts w:ascii="Tahoma" w:eastAsia="Calibri" w:hAnsi="Tahoma" w:cs="Times New Roman"/>
      <w:sz w:val="16"/>
      <w:szCs w:val="16"/>
    </w:rPr>
  </w:style>
  <w:style w:type="character" w:styleId="CommentReference">
    <w:name w:val="annotation reference"/>
    <w:uiPriority w:val="99"/>
    <w:semiHidden/>
    <w:unhideWhenUsed/>
    <w:rsid w:val="00BE3BFE"/>
    <w:rPr>
      <w:sz w:val="16"/>
      <w:szCs w:val="16"/>
    </w:rPr>
  </w:style>
  <w:style w:type="paragraph" w:styleId="CommentText">
    <w:name w:val="annotation text"/>
    <w:basedOn w:val="Normal"/>
    <w:link w:val="CommentTextChar"/>
    <w:uiPriority w:val="99"/>
    <w:unhideWhenUsed/>
    <w:rsid w:val="00BE3BFE"/>
    <w:pPr>
      <w:spacing w:after="200" w:line="240" w:lineRule="auto"/>
      <w:jc w:val="both"/>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BE3BF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E3BFE"/>
    <w:rPr>
      <w:b/>
      <w:bCs/>
    </w:rPr>
  </w:style>
  <w:style w:type="character" w:customStyle="1" w:styleId="CommentSubjectChar">
    <w:name w:val="Comment Subject Char"/>
    <w:basedOn w:val="CommentTextChar"/>
    <w:link w:val="CommentSubject"/>
    <w:uiPriority w:val="99"/>
    <w:semiHidden/>
    <w:rsid w:val="00BE3BFE"/>
    <w:rPr>
      <w:rFonts w:ascii="Calibri" w:eastAsia="Calibri" w:hAnsi="Calibri" w:cs="Times New Roman"/>
      <w:b/>
      <w:bCs/>
      <w:sz w:val="20"/>
      <w:szCs w:val="20"/>
    </w:rPr>
  </w:style>
  <w:style w:type="character" w:styleId="Emphasis">
    <w:name w:val="Emphasis"/>
    <w:uiPriority w:val="20"/>
    <w:qFormat/>
    <w:rsid w:val="00BE3BFE"/>
    <w:rPr>
      <w:i/>
      <w:iCs/>
    </w:rPr>
  </w:style>
  <w:style w:type="paragraph" w:customStyle="1" w:styleId="Default">
    <w:name w:val="Default"/>
    <w:rsid w:val="00BE3BFE"/>
    <w:pPr>
      <w:autoSpaceDE w:val="0"/>
      <w:autoSpaceDN w:val="0"/>
      <w:adjustRightInd w:val="0"/>
      <w:spacing w:after="0" w:line="240" w:lineRule="auto"/>
    </w:pPr>
    <w:rPr>
      <w:rFonts w:ascii="Cambria" w:eastAsia="Calibri" w:hAnsi="Cambria" w:cs="Cambria"/>
      <w:color w:val="000000"/>
      <w:sz w:val="24"/>
      <w:szCs w:val="24"/>
      <w:lang w:eastAsia="es-ES"/>
    </w:rPr>
  </w:style>
  <w:style w:type="paragraph" w:styleId="FootnoteText">
    <w:name w:val="footnote text"/>
    <w:basedOn w:val="Normal"/>
    <w:link w:val="FootnoteTextChar"/>
    <w:uiPriority w:val="99"/>
    <w:unhideWhenUsed/>
    <w:rsid w:val="00BE3BFE"/>
    <w:pPr>
      <w:spacing w:after="0" w:line="240" w:lineRule="auto"/>
      <w:jc w:val="both"/>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BE3BFE"/>
    <w:rPr>
      <w:rFonts w:ascii="Calibri" w:eastAsia="Calibri" w:hAnsi="Calibri" w:cs="Times New Roman"/>
      <w:sz w:val="20"/>
      <w:szCs w:val="20"/>
    </w:rPr>
  </w:style>
  <w:style w:type="character" w:styleId="FootnoteReference">
    <w:name w:val="footnote reference"/>
    <w:uiPriority w:val="99"/>
    <w:semiHidden/>
    <w:unhideWhenUsed/>
    <w:rsid w:val="00BE3BFE"/>
    <w:rPr>
      <w:vertAlign w:val="superscript"/>
    </w:rPr>
  </w:style>
  <w:style w:type="paragraph" w:styleId="NoSpacing">
    <w:name w:val="No Spacing"/>
    <w:uiPriority w:val="1"/>
    <w:qFormat/>
    <w:rsid w:val="00BE3BFE"/>
    <w:pPr>
      <w:spacing w:after="0" w:line="240" w:lineRule="auto"/>
      <w:jc w:val="both"/>
    </w:pPr>
    <w:rPr>
      <w:rFonts w:ascii="Calibri" w:eastAsia="Calibri" w:hAnsi="Calibri" w:cs="Times New Roman"/>
      <w:sz w:val="20"/>
    </w:rPr>
  </w:style>
  <w:style w:type="paragraph" w:styleId="NormalWeb">
    <w:name w:val="Normal (Web)"/>
    <w:basedOn w:val="Normal"/>
    <w:uiPriority w:val="99"/>
    <w:unhideWhenUsed/>
    <w:rsid w:val="00BE3BF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highlight">
    <w:name w:val="highlight"/>
    <w:basedOn w:val="DefaultParagraphFont"/>
    <w:rsid w:val="00BE3BFE"/>
  </w:style>
  <w:style w:type="paragraph" w:styleId="ListParagraph">
    <w:name w:val="List Paragraph"/>
    <w:basedOn w:val="Normal"/>
    <w:uiPriority w:val="34"/>
    <w:qFormat/>
    <w:rsid w:val="00BE3BFE"/>
    <w:pPr>
      <w:spacing w:after="200" w:line="276" w:lineRule="auto"/>
      <w:ind w:left="720"/>
      <w:contextualSpacing/>
      <w:jc w:val="both"/>
    </w:pPr>
    <w:rPr>
      <w:rFonts w:ascii="Calibri" w:eastAsia="Calibri" w:hAnsi="Calibri" w:cs="Times New Roman"/>
    </w:rPr>
  </w:style>
  <w:style w:type="paragraph" w:styleId="Revision">
    <w:name w:val="Revision"/>
    <w:hidden/>
    <w:uiPriority w:val="99"/>
    <w:semiHidden/>
    <w:rsid w:val="00BE3BFE"/>
    <w:pPr>
      <w:spacing w:after="0" w:line="240" w:lineRule="auto"/>
    </w:pPr>
    <w:rPr>
      <w:rFonts w:ascii="Calibri" w:eastAsia="Calibri" w:hAnsi="Calibri" w:cs="Times New Roman"/>
    </w:rPr>
  </w:style>
  <w:style w:type="character" w:customStyle="1" w:styleId="current-selection">
    <w:name w:val="current-selection"/>
    <w:basedOn w:val="DefaultParagraphFont"/>
    <w:rsid w:val="00BE3BFE"/>
  </w:style>
  <w:style w:type="character" w:customStyle="1" w:styleId="a">
    <w:name w:val="_"/>
    <w:basedOn w:val="DefaultParagraphFont"/>
    <w:rsid w:val="00BE3BFE"/>
  </w:style>
  <w:style w:type="character" w:customStyle="1" w:styleId="ff6">
    <w:name w:val="ff6"/>
    <w:basedOn w:val="DefaultParagraphFont"/>
    <w:rsid w:val="00BE3BFE"/>
  </w:style>
  <w:style w:type="table" w:customStyle="1" w:styleId="Sombreadoclaro1">
    <w:name w:val="Sombreado claro1"/>
    <w:basedOn w:val="TableNormal"/>
    <w:uiPriority w:val="60"/>
    <w:rsid w:val="00BE3BFE"/>
    <w:pPr>
      <w:spacing w:after="0" w:line="240" w:lineRule="auto"/>
    </w:pPr>
    <w:rPr>
      <w:rFonts w:ascii="Calibri" w:eastAsia="Calibri" w:hAnsi="Calibri" w:cs="Times New Roman"/>
      <w:color w:val="000000"/>
      <w:sz w:val="20"/>
      <w:szCs w:val="20"/>
      <w:lang w:eastAsia="es-E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PlaceholderText">
    <w:name w:val="Placeholder Text"/>
    <w:basedOn w:val="DefaultParagraphFont"/>
    <w:uiPriority w:val="99"/>
    <w:semiHidden/>
    <w:rsid w:val="00BE3BFE"/>
    <w:rPr>
      <w:color w:val="808080"/>
    </w:rPr>
  </w:style>
  <w:style w:type="paragraph" w:styleId="Header">
    <w:name w:val="header"/>
    <w:basedOn w:val="Normal"/>
    <w:link w:val="HeaderChar"/>
    <w:uiPriority w:val="99"/>
    <w:unhideWhenUsed/>
    <w:rsid w:val="001E7786"/>
    <w:pPr>
      <w:tabs>
        <w:tab w:val="center" w:pos="4252"/>
        <w:tab w:val="right" w:pos="8504"/>
      </w:tabs>
      <w:spacing w:after="0" w:line="240" w:lineRule="auto"/>
    </w:pPr>
  </w:style>
  <w:style w:type="character" w:customStyle="1" w:styleId="HeaderChar">
    <w:name w:val="Header Char"/>
    <w:basedOn w:val="DefaultParagraphFont"/>
    <w:link w:val="Header"/>
    <w:uiPriority w:val="99"/>
    <w:rsid w:val="001E7786"/>
  </w:style>
  <w:style w:type="paragraph" w:styleId="Footer">
    <w:name w:val="footer"/>
    <w:basedOn w:val="Normal"/>
    <w:link w:val="FooterChar"/>
    <w:uiPriority w:val="99"/>
    <w:unhideWhenUsed/>
    <w:rsid w:val="001E7786"/>
    <w:pPr>
      <w:tabs>
        <w:tab w:val="center" w:pos="4252"/>
        <w:tab w:val="right" w:pos="8504"/>
      </w:tabs>
      <w:spacing w:after="0" w:line="240" w:lineRule="auto"/>
    </w:pPr>
  </w:style>
  <w:style w:type="character" w:customStyle="1" w:styleId="FooterChar">
    <w:name w:val="Footer Char"/>
    <w:basedOn w:val="DefaultParagraphFont"/>
    <w:link w:val="Footer"/>
    <w:uiPriority w:val="99"/>
    <w:rsid w:val="001E7786"/>
  </w:style>
  <w:style w:type="table" w:customStyle="1" w:styleId="Tablaconcuadrcula1">
    <w:name w:val="Tabla con cuadrícula1"/>
    <w:basedOn w:val="TableNormal"/>
    <w:next w:val="TableGrid"/>
    <w:uiPriority w:val="59"/>
    <w:rsid w:val="00F51D8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869653">
      <w:bodyDiv w:val="1"/>
      <w:marLeft w:val="0"/>
      <w:marRight w:val="0"/>
      <w:marTop w:val="0"/>
      <w:marBottom w:val="0"/>
      <w:divBdr>
        <w:top w:val="none" w:sz="0" w:space="0" w:color="auto"/>
        <w:left w:val="none" w:sz="0" w:space="0" w:color="auto"/>
        <w:bottom w:val="none" w:sz="0" w:space="0" w:color="auto"/>
        <w:right w:val="none" w:sz="0" w:space="0" w:color="auto"/>
      </w:divBdr>
    </w:div>
    <w:div w:id="1202597330">
      <w:bodyDiv w:val="1"/>
      <w:marLeft w:val="0"/>
      <w:marRight w:val="0"/>
      <w:marTop w:val="0"/>
      <w:marBottom w:val="0"/>
      <w:divBdr>
        <w:top w:val="none" w:sz="0" w:space="0" w:color="auto"/>
        <w:left w:val="none" w:sz="0" w:space="0" w:color="auto"/>
        <w:bottom w:val="none" w:sz="0" w:space="0" w:color="auto"/>
        <w:right w:val="none" w:sz="0" w:space="0" w:color="auto"/>
      </w:divBdr>
    </w:div>
    <w:div w:id="203105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27197-A0DD-444E-86F8-14EEAD70E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31244</Words>
  <Characters>178092</Characters>
  <Application>Microsoft Office Word</Application>
  <DocSecurity>0</DocSecurity>
  <Lines>1484</Lines>
  <Paragraphs>417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208919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Murrugarra Centurión</dc:creator>
  <cp:lastModifiedBy>Orson,R</cp:lastModifiedBy>
  <cp:revision>3</cp:revision>
  <cp:lastPrinted>2017-09-13T08:53:00Z</cp:lastPrinted>
  <dcterms:created xsi:type="dcterms:W3CDTF">2019-05-20T11:35:00Z</dcterms:created>
  <dcterms:modified xsi:type="dcterms:W3CDTF">2019-05-20T11:36:00Z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c7c3a599-45bc-355f-9fc6-b95a0f4689e8</vt:lpwstr>
  </property>
  <property fmtid="{D5CDD505-2E9C-101B-9397-08002B2CF9AE}" pid="4" name="Mendeley Citation Style_1">
    <vt:lpwstr>http://www.zotero.org/styles/the-european-journal-of-health-economics</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http://www.zotero.org/styles/harvard1</vt:lpwstr>
  </property>
  <property fmtid="{D5CDD505-2E9C-101B-9397-08002B2CF9AE}" pid="12" name="Mendeley Recent Style Name 3_1">
    <vt:lpwstr>Harvard reference format 1 (deprecated)</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8th edition</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http://www.zotero.org/styles/patient-education-and-counseling</vt:lpwstr>
  </property>
  <property fmtid="{D5CDD505-2E9C-101B-9397-08002B2CF9AE}" pid="22" name="Mendeley Recent Style Name 8_1">
    <vt:lpwstr>Patient Education and Counseling</vt:lpwstr>
  </property>
  <property fmtid="{D5CDD505-2E9C-101B-9397-08002B2CF9AE}" pid="23" name="Mendeley Recent Style Id 9_1">
    <vt:lpwstr>http://www.zotero.org/styles/the-european-journal-of-health-economics</vt:lpwstr>
  </property>
  <property fmtid="{D5CDD505-2E9C-101B-9397-08002B2CF9AE}" pid="24" name="Mendeley Recent Style Name 9_1">
    <vt:lpwstr>The European Journal of Health Economics</vt:lpwstr>
  </property>
  <property fmtid="{D5CDD505-2E9C-101B-9397-08002B2CF9AE}" pid="25" name="Mendeley User Name_1">
    <vt:lpwstr>mariarubio@ub.edu@www.mendeley.com</vt:lpwstr>
  </property>
</Properties>
</file>