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02" w:rsidRDefault="002330A3" w:rsidP="00D477E0">
      <w:pPr>
        <w:spacing w:line="360" w:lineRule="auto"/>
        <w:jc w:val="center"/>
        <w:outlineLvl w:val="0"/>
      </w:pPr>
      <w:bookmarkStart w:id="0" w:name="_GoBack"/>
      <w:bookmarkEnd w:id="0"/>
      <w:r>
        <w:rPr>
          <w:b/>
          <w:bCs/>
        </w:rPr>
        <w:t>Occupational income scores and immigrant assimilation.  E</w:t>
      </w:r>
      <w:r w:rsidR="001638B9" w:rsidRPr="00730A1B">
        <w:rPr>
          <w:b/>
          <w:bCs/>
        </w:rPr>
        <w:t>vidence from the Canadian Census</w:t>
      </w:r>
      <w:r w:rsidR="001638B9" w:rsidRPr="00730A1B">
        <w:rPr>
          <w:rStyle w:val="FootnoteReference"/>
          <w:b/>
          <w:bCs/>
        </w:rPr>
        <w:footnoteReference w:id="1"/>
      </w:r>
      <w:r w:rsidR="001638B9" w:rsidRPr="00730A1B">
        <w:rPr>
          <w:b/>
          <w:bCs/>
        </w:rPr>
        <w:t xml:space="preserve"> </w:t>
      </w:r>
    </w:p>
    <w:p w:rsidR="00EE0F02" w:rsidRDefault="00EE0F02">
      <w:pPr>
        <w:spacing w:line="360" w:lineRule="auto"/>
        <w:jc w:val="center"/>
      </w:pPr>
    </w:p>
    <w:p w:rsidR="00EE0F02" w:rsidRDefault="007F14B8">
      <w:pPr>
        <w:spacing w:line="360" w:lineRule="auto"/>
        <w:jc w:val="center"/>
      </w:pPr>
      <w:r>
        <w:t>Kris Inwood (Guelph), Chris Minns (LSE), and Fraser Summerfield (</w:t>
      </w:r>
      <w:r w:rsidR="00600A13">
        <w:t>St.</w:t>
      </w:r>
      <w:r w:rsidR="00AC17D2">
        <w:t xml:space="preserve"> </w:t>
      </w:r>
      <w:r w:rsidR="00600A13">
        <w:t>Francis Xavier)</w:t>
      </w:r>
    </w:p>
    <w:p w:rsidR="00D91045" w:rsidRDefault="00D91045">
      <w:pPr>
        <w:spacing w:line="360" w:lineRule="auto"/>
        <w:jc w:val="center"/>
      </w:pPr>
    </w:p>
    <w:p w:rsidR="00D91045" w:rsidRDefault="00D91045">
      <w:pPr>
        <w:spacing w:line="360" w:lineRule="auto"/>
        <w:jc w:val="center"/>
      </w:pPr>
    </w:p>
    <w:p w:rsidR="00E61308" w:rsidRDefault="00390DBB">
      <w:pPr>
        <w:spacing w:line="360" w:lineRule="auto"/>
        <w:jc w:val="center"/>
      </w:pPr>
      <w:r>
        <w:t>January 2019</w:t>
      </w:r>
    </w:p>
    <w:p w:rsidR="00D91045" w:rsidRDefault="00D91045" w:rsidP="00D91045">
      <w:pPr>
        <w:rPr>
          <w:lang w:val="en-CA"/>
        </w:rPr>
      </w:pPr>
      <w:r>
        <w:rPr>
          <w:lang w:val="en-CA"/>
        </w:rPr>
        <w:t xml:space="preserve">Abstract: Little evidence is available to assess the effect of substituting occupation-based income scores for individual incomes before 1940. The example of immigrant assimilation in Canada 1911-1931 reveals differences in the extent and even the direction of assimilation depending on </w:t>
      </w:r>
      <w:r w:rsidR="00D125E8">
        <w:rPr>
          <w:lang w:val="en-CA"/>
        </w:rPr>
        <w:t xml:space="preserve">whether income scores are used and </w:t>
      </w:r>
      <w:r>
        <w:rPr>
          <w:lang w:val="en-CA"/>
        </w:rPr>
        <w:t xml:space="preserve">how the occupational income score is constructed. </w:t>
      </w:r>
      <w:r w:rsidRPr="00390DBB">
        <w:rPr>
          <w:lang w:val="en-CA"/>
        </w:rPr>
        <w:t xml:space="preserve">Given the increasingly wide use of income scores, we summarize a number of procedures to </w:t>
      </w:r>
      <w:r w:rsidR="006600E3" w:rsidRPr="00390DBB">
        <w:rPr>
          <w:lang w:val="en-CA"/>
        </w:rPr>
        <w:t xml:space="preserve">address the limitations associated with </w:t>
      </w:r>
      <w:r w:rsidRPr="00390DBB">
        <w:rPr>
          <w:lang w:val="en-CA"/>
        </w:rPr>
        <w:t>the absence of individual level income variation</w:t>
      </w:r>
      <w:r>
        <w:rPr>
          <w:lang w:val="en-CA"/>
        </w:rPr>
        <w:t>. An adjustment of conventional income scores for either group earnings differences and/or intertemporal change using summary information for broad groups of occupations reduces the deviation between scores and actual incomes.</w:t>
      </w:r>
    </w:p>
    <w:p w:rsidR="00094424" w:rsidRPr="00D91045" w:rsidRDefault="00094424" w:rsidP="00D91045">
      <w:pPr>
        <w:spacing w:line="360" w:lineRule="auto"/>
        <w:rPr>
          <w:lang w:val="en-CA"/>
        </w:rPr>
      </w:pPr>
    </w:p>
    <w:p w:rsidR="00A87809" w:rsidRPr="00AD7D04" w:rsidRDefault="00A87809">
      <w:pPr>
        <w:spacing w:line="360" w:lineRule="auto"/>
        <w:jc w:val="center"/>
        <w:rPr>
          <w:b/>
        </w:rPr>
      </w:pPr>
    </w:p>
    <w:p w:rsidR="007A3271" w:rsidRDefault="007A3271">
      <w:pPr>
        <w:spacing w:line="360" w:lineRule="auto"/>
        <w:jc w:val="center"/>
        <w:sectPr w:rsidR="007A3271" w:rsidSect="00D3496E">
          <w:footerReference w:type="default" r:id="rId8"/>
          <w:footnotePr>
            <w:numFmt w:val="chicago"/>
          </w:footnotePr>
          <w:pgSz w:w="11906" w:h="16838"/>
          <w:pgMar w:top="1440" w:right="1440" w:bottom="1440" w:left="1440" w:header="708" w:footer="708" w:gutter="0"/>
          <w:cols w:space="708"/>
          <w:docGrid w:linePitch="360"/>
        </w:sectPr>
      </w:pPr>
    </w:p>
    <w:p w:rsidR="00E85BE4" w:rsidRPr="00AA1F2A" w:rsidRDefault="00E85BE4" w:rsidP="00E85BE4">
      <w:pPr>
        <w:spacing w:after="0" w:line="360" w:lineRule="auto"/>
        <w:outlineLvl w:val="0"/>
        <w:rPr>
          <w:b/>
        </w:rPr>
      </w:pPr>
      <w:r w:rsidRPr="00730A1B">
        <w:rPr>
          <w:b/>
        </w:rPr>
        <w:lastRenderedPageBreak/>
        <w:t>Introduction</w:t>
      </w:r>
    </w:p>
    <w:p w:rsidR="00E85BE4" w:rsidRDefault="00E85BE4" w:rsidP="00E85BE4">
      <w:pPr>
        <w:spacing w:after="0" w:line="360" w:lineRule="auto"/>
        <w:ind w:firstLine="720"/>
        <w:rPr>
          <w:rFonts w:cs="Times New Roman"/>
        </w:rPr>
      </w:pPr>
      <w:r>
        <w:rPr>
          <w:lang w:val="en-CA"/>
        </w:rPr>
        <w:t>From the 1850s to the 1930s the integration of immigrants was a defining issue for in North American society, spawning a large public debate about the desirability of immigration</w:t>
      </w:r>
      <w:r w:rsidR="00A52A01">
        <w:rPr>
          <w:lang w:val="en-CA"/>
        </w:rPr>
        <w:t xml:space="preserve"> </w:t>
      </w:r>
      <w:r>
        <w:rPr>
          <w:lang w:val="en-CA"/>
        </w:rPr>
        <w:t xml:space="preserve">(Abramitzky and Boustan 2017; Ferrie and Hatton 2015). And yet, because the census did not collect information about individual earnings until 1901 in Canada and 1940 in the United States, our understanding of immigrant assimilation </w:t>
      </w:r>
      <w:r w:rsidR="00946221">
        <w:rPr>
          <w:lang w:val="en-CA"/>
        </w:rPr>
        <w:t xml:space="preserve">in the labour market </w:t>
      </w:r>
      <w:r>
        <w:rPr>
          <w:lang w:val="en-CA"/>
        </w:rPr>
        <w:t xml:space="preserve">relies almost entirely on occupations and occupation-based income scores. </w:t>
      </w:r>
      <w:r>
        <w:rPr>
          <w:rFonts w:cs="Times New Roman"/>
        </w:rPr>
        <w:t>This practice</w:t>
      </w:r>
      <w:r w:rsidRPr="00730A1B">
        <w:rPr>
          <w:rFonts w:cs="Times New Roman"/>
        </w:rPr>
        <w:t xml:space="preserve">, adapted from an earlier literature in </w:t>
      </w:r>
      <w:r>
        <w:rPr>
          <w:rFonts w:cs="Times New Roman"/>
        </w:rPr>
        <w:t>s</w:t>
      </w:r>
      <w:r w:rsidRPr="00730A1B">
        <w:rPr>
          <w:rFonts w:cs="Times New Roman"/>
        </w:rPr>
        <w:t>ociology (</w:t>
      </w:r>
      <w:r w:rsidRPr="00730A1B">
        <w:t>Duncan 1961; Sobek 1995</w:t>
      </w:r>
      <w:r>
        <w:t>, 1996</w:t>
      </w:r>
      <w:r w:rsidRPr="00730A1B">
        <w:t>; Hauser and Warren 1997),</w:t>
      </w:r>
      <w:r w:rsidRPr="00730A1B">
        <w:rPr>
          <w:rFonts w:cs="Times New Roman"/>
        </w:rPr>
        <w:t xml:space="preserve"> imputes fixed </w:t>
      </w:r>
      <w:r w:rsidRPr="00730A1B">
        <w:rPr>
          <w:lang w:val="en-CA"/>
        </w:rPr>
        <w:t xml:space="preserve">earnings by occupation based on averages in </w:t>
      </w:r>
      <w:r w:rsidRPr="00730A1B">
        <w:rPr>
          <w:rFonts w:cs="Times New Roman"/>
        </w:rPr>
        <w:t xml:space="preserve">a later </w:t>
      </w:r>
      <w:r w:rsidRPr="00D5681A">
        <w:rPr>
          <w:rFonts w:cs="Times New Roman"/>
        </w:rPr>
        <w:t>census for which both income and occupation are</w:t>
      </w:r>
      <w:r>
        <w:rPr>
          <w:rFonts w:cs="Times New Roman"/>
        </w:rPr>
        <w:t xml:space="preserve"> </w:t>
      </w:r>
      <w:r w:rsidRPr="00D5681A">
        <w:rPr>
          <w:rFonts w:cs="Times New Roman"/>
        </w:rPr>
        <w:t xml:space="preserve">available, or from ancillary sources of pay by occupation. </w:t>
      </w:r>
      <w:r>
        <w:rPr>
          <w:rFonts w:cs="Times New Roman"/>
        </w:rPr>
        <w:t>In the last three decades there has been considerable use of income scores for the economic analysis of</w:t>
      </w:r>
      <w:r w:rsidRPr="00A1135B">
        <w:rPr>
          <w:rFonts w:cs="Times New Roman"/>
          <w:lang w:val="en-CA"/>
        </w:rPr>
        <w:t xml:space="preserve"> assimilation (Chiswick 1991; Borjas 1992</w:t>
      </w:r>
      <w:r w:rsidRPr="005A234A">
        <w:rPr>
          <w:rFonts w:cs="Times New Roman"/>
          <w:lang w:val="en-CA"/>
        </w:rPr>
        <w:t>, 1994; Hanes 1996; Minns 2000</w:t>
      </w:r>
      <w:r>
        <w:rPr>
          <w:rFonts w:cs="Times New Roman"/>
          <w:lang w:val="en-CA"/>
        </w:rPr>
        <w:t xml:space="preserve">; </w:t>
      </w:r>
      <w:r w:rsidRPr="00730A1B">
        <w:rPr>
          <w:rFonts w:cs="Times New Roman"/>
        </w:rPr>
        <w:t xml:space="preserve">Abramitzky, Boustan, and Erikkson </w:t>
      </w:r>
      <w:r>
        <w:rPr>
          <w:rFonts w:cs="Times New Roman"/>
        </w:rPr>
        <w:t xml:space="preserve">2012, </w:t>
      </w:r>
      <w:r w:rsidRPr="00730A1B">
        <w:rPr>
          <w:rFonts w:cs="Times New Roman"/>
        </w:rPr>
        <w:t>2014</w:t>
      </w:r>
      <w:r w:rsidRPr="005A234A">
        <w:rPr>
          <w:rFonts w:cs="Times New Roman"/>
          <w:lang w:val="en-CA"/>
        </w:rPr>
        <w:t xml:space="preserve">) </w:t>
      </w:r>
      <w:r w:rsidRPr="00A1135B">
        <w:rPr>
          <w:rFonts w:cs="Times New Roman"/>
          <w:lang w:val="en-CA"/>
        </w:rPr>
        <w:t>and ethnic ine</w:t>
      </w:r>
      <w:r w:rsidRPr="005A234A">
        <w:rPr>
          <w:rFonts w:cs="Times New Roman"/>
          <w:lang w:val="en-CA"/>
        </w:rPr>
        <w:t>quality (Darity et al 1997</w:t>
      </w:r>
      <w:r w:rsidRPr="00A1135B">
        <w:rPr>
          <w:rFonts w:cs="Times New Roman"/>
          <w:lang w:val="en-CA"/>
        </w:rPr>
        <w:t>; Horton et al 2000</w:t>
      </w:r>
      <w:r>
        <w:rPr>
          <w:rFonts w:cs="Times New Roman"/>
          <w:lang w:val="en-CA"/>
        </w:rPr>
        <w:t xml:space="preserve">; </w:t>
      </w:r>
      <w:r w:rsidRPr="00730A1B">
        <w:rPr>
          <w:rFonts w:cs="Times New Roman"/>
        </w:rPr>
        <w:t>Collins and Wannamaker 2014</w:t>
      </w:r>
      <w:r>
        <w:rPr>
          <w:rFonts w:cs="Times New Roman"/>
        </w:rPr>
        <w:t>, 2015</w:t>
      </w:r>
      <w:r w:rsidRPr="00A1135B">
        <w:rPr>
          <w:rFonts w:cs="Times New Roman"/>
          <w:lang w:val="en-CA"/>
        </w:rPr>
        <w:t>).</w:t>
      </w:r>
      <w:r>
        <w:rPr>
          <w:rFonts w:cs="Times New Roman"/>
          <w:lang w:val="en-CA"/>
        </w:rPr>
        <w:t xml:space="preserve"> Occupation-based income scores are </w:t>
      </w:r>
      <w:r w:rsidR="00946221">
        <w:rPr>
          <w:rFonts w:cs="Times New Roman"/>
          <w:lang w:val="en-CA"/>
        </w:rPr>
        <w:t>also</w:t>
      </w:r>
      <w:r>
        <w:rPr>
          <w:rFonts w:cs="Times New Roman"/>
          <w:lang w:val="en-CA"/>
        </w:rPr>
        <w:t xml:space="preserve"> </w:t>
      </w:r>
      <w:r w:rsidR="00946221">
        <w:rPr>
          <w:rFonts w:cs="Times New Roman"/>
          <w:lang w:val="en-CA"/>
        </w:rPr>
        <w:t xml:space="preserve">used </w:t>
      </w:r>
      <w:r>
        <w:rPr>
          <w:rFonts w:cs="Times New Roman"/>
          <w:lang w:val="en-CA"/>
        </w:rPr>
        <w:t xml:space="preserve">to proxy for individual incomes on other topics including </w:t>
      </w:r>
      <w:r w:rsidRPr="00730A1B">
        <w:rPr>
          <w:rFonts w:cs="Times New Roman"/>
        </w:rPr>
        <w:t>intergenerational economic mobility (Olivetti and Paserman 2015</w:t>
      </w:r>
      <w:r>
        <w:rPr>
          <w:rFonts w:cs="Times New Roman"/>
        </w:rPr>
        <w:t xml:space="preserve">), </w:t>
      </w:r>
      <w:r w:rsidRPr="00730A1B">
        <w:rPr>
          <w:rFonts w:cs="Times New Roman"/>
        </w:rPr>
        <w:t>inequality over time (Lindert and Williamson 2016</w:t>
      </w:r>
      <w:r>
        <w:rPr>
          <w:rFonts w:cs="Times New Roman"/>
        </w:rPr>
        <w:t>; Modalsli 2015</w:t>
      </w:r>
      <w:r w:rsidRPr="00730A1B">
        <w:rPr>
          <w:rFonts w:cs="Times New Roman"/>
        </w:rPr>
        <w:t>)</w:t>
      </w:r>
      <w:r>
        <w:rPr>
          <w:rFonts w:cs="Times New Roman"/>
        </w:rPr>
        <w:t xml:space="preserve">, fertility decline (Aaronson, Lange and Mazumder 2014), policy change (Chen 2015; </w:t>
      </w:r>
      <w:r w:rsidRPr="00AA44CF">
        <w:rPr>
          <w:rFonts w:cs="Times New Roman"/>
        </w:rPr>
        <w:t>Fagernäs</w:t>
      </w:r>
      <w:r>
        <w:rPr>
          <w:rFonts w:cs="Times New Roman"/>
        </w:rPr>
        <w:t xml:space="preserve"> 2014), schooling (Stephens and Yang 2014; Lleras-Muney and Shertzer 2015) and </w:t>
      </w:r>
      <w:r>
        <w:rPr>
          <w:rFonts w:cs="Times New Roman"/>
          <w:lang w:val="en-CA"/>
        </w:rPr>
        <w:t xml:space="preserve">the </w:t>
      </w:r>
      <w:r w:rsidRPr="00A1135B">
        <w:rPr>
          <w:rFonts w:cs="Times New Roman"/>
          <w:lang w:val="en-CA"/>
        </w:rPr>
        <w:t xml:space="preserve">early life origins of </w:t>
      </w:r>
      <w:r>
        <w:rPr>
          <w:rFonts w:cs="Times New Roman"/>
          <w:lang w:val="en-CA"/>
        </w:rPr>
        <w:t xml:space="preserve">health and </w:t>
      </w:r>
      <w:r w:rsidRPr="00A1135B">
        <w:rPr>
          <w:rFonts w:cs="Times New Roman"/>
          <w:lang w:val="en-CA"/>
        </w:rPr>
        <w:t>human capital</w:t>
      </w:r>
      <w:r>
        <w:rPr>
          <w:rFonts w:cs="Times New Roman"/>
          <w:lang w:val="en-CA"/>
        </w:rPr>
        <w:t xml:space="preserve"> (Bleakley 2007; </w:t>
      </w:r>
      <w:r w:rsidRPr="00833BEF">
        <w:rPr>
          <w:rFonts w:cs="Times New Roman"/>
          <w:lang w:val="en-CA"/>
        </w:rPr>
        <w:t>Saavedra forthcoming</w:t>
      </w:r>
      <w:r w:rsidRPr="00A1135B">
        <w:rPr>
          <w:rFonts w:cs="Times New Roman"/>
          <w:lang w:val="en-CA"/>
        </w:rPr>
        <w:t>)</w:t>
      </w:r>
      <w:r>
        <w:rPr>
          <w:rFonts w:cs="Times New Roman"/>
          <w:lang w:val="en-CA"/>
        </w:rPr>
        <w:t>.</w:t>
      </w:r>
      <w:r w:rsidR="006600E3">
        <w:rPr>
          <w:rStyle w:val="FootnoteReference"/>
          <w:rFonts w:cs="Times New Roman"/>
          <w:lang w:val="en-CA"/>
        </w:rPr>
        <w:footnoteReference w:id="2"/>
      </w:r>
      <w:r>
        <w:rPr>
          <w:rFonts w:cs="Times New Roman"/>
          <w:lang w:val="en-CA"/>
        </w:rPr>
        <w:t xml:space="preserve"> </w:t>
      </w:r>
    </w:p>
    <w:p w:rsidR="00E85BE4" w:rsidRPr="001835A8" w:rsidRDefault="006600E3" w:rsidP="005E1C1E">
      <w:pPr>
        <w:pStyle w:val="western"/>
        <w:spacing w:before="0" w:beforeAutospacing="0" w:after="0" w:line="360" w:lineRule="auto"/>
        <w:ind w:firstLine="720"/>
        <w:rPr>
          <w:rFonts w:cstheme="minorHAnsi"/>
        </w:rPr>
      </w:pPr>
      <w:r w:rsidRPr="00390DBB">
        <w:rPr>
          <w:rFonts w:asciiTheme="minorHAnsi" w:hAnsiTheme="minorHAnsi" w:cstheme="minorHAnsi"/>
          <w:sz w:val="22"/>
          <w:szCs w:val="22"/>
        </w:rPr>
        <w:t xml:space="preserve">While </w:t>
      </w:r>
      <w:r w:rsidR="00E85BE4" w:rsidRPr="00390DBB">
        <w:rPr>
          <w:rFonts w:asciiTheme="minorHAnsi" w:hAnsiTheme="minorHAnsi" w:cstheme="minorHAnsi"/>
          <w:sz w:val="22"/>
          <w:szCs w:val="22"/>
        </w:rPr>
        <w:t xml:space="preserve">the use of occupational income scores has become common, </w:t>
      </w:r>
      <w:r w:rsidR="00E80208" w:rsidRPr="00390DBB">
        <w:rPr>
          <w:rFonts w:asciiTheme="minorHAnsi" w:hAnsiTheme="minorHAnsi" w:cstheme="minorHAnsi"/>
          <w:sz w:val="22"/>
          <w:szCs w:val="22"/>
        </w:rPr>
        <w:t xml:space="preserve">it comes with </w:t>
      </w:r>
      <w:r w:rsidRPr="00390DBB">
        <w:rPr>
          <w:rFonts w:asciiTheme="minorHAnsi" w:hAnsiTheme="minorHAnsi" w:cstheme="minorHAnsi"/>
          <w:sz w:val="22"/>
          <w:szCs w:val="22"/>
        </w:rPr>
        <w:t xml:space="preserve">several </w:t>
      </w:r>
      <w:r w:rsidR="00E85BE4" w:rsidRPr="00390DBB">
        <w:rPr>
          <w:rFonts w:asciiTheme="minorHAnsi" w:hAnsiTheme="minorHAnsi" w:cstheme="minorHAnsi"/>
          <w:sz w:val="22"/>
          <w:szCs w:val="22"/>
        </w:rPr>
        <w:t>limitations</w:t>
      </w:r>
      <w:r w:rsidR="003A7548" w:rsidRPr="00390DBB">
        <w:rPr>
          <w:rFonts w:asciiTheme="minorHAnsi" w:hAnsiTheme="minorHAnsi" w:cstheme="minorHAnsi"/>
          <w:sz w:val="22"/>
          <w:szCs w:val="22"/>
        </w:rPr>
        <w:t xml:space="preserve"> which are important when </w:t>
      </w:r>
      <w:r w:rsidR="00022E2B" w:rsidRPr="00390DBB">
        <w:rPr>
          <w:rFonts w:asciiTheme="minorHAnsi" w:hAnsiTheme="minorHAnsi" w:cstheme="minorHAnsi"/>
          <w:sz w:val="22"/>
          <w:szCs w:val="22"/>
        </w:rPr>
        <w:t xml:space="preserve">estimating labour market convergence between immigrants and the native-born. </w:t>
      </w:r>
      <w:r w:rsidR="009A14F9" w:rsidRPr="00390DBB">
        <w:rPr>
          <w:rFonts w:asciiTheme="minorHAnsi" w:hAnsiTheme="minorHAnsi" w:cstheme="minorHAnsi"/>
          <w:sz w:val="22"/>
          <w:szCs w:val="22"/>
        </w:rPr>
        <w:t xml:space="preserve">The </w:t>
      </w:r>
      <w:r w:rsidR="00365B2C" w:rsidRPr="00390DBB">
        <w:rPr>
          <w:rFonts w:asciiTheme="minorHAnsi" w:hAnsiTheme="minorHAnsi" w:cstheme="minorHAnsi"/>
          <w:sz w:val="22"/>
          <w:szCs w:val="22"/>
        </w:rPr>
        <w:t>presence</w:t>
      </w:r>
      <w:r w:rsidR="009A14F9" w:rsidRPr="00390DBB">
        <w:rPr>
          <w:rFonts w:asciiTheme="minorHAnsi" w:hAnsiTheme="minorHAnsi" w:cstheme="minorHAnsi"/>
          <w:sz w:val="22"/>
          <w:szCs w:val="22"/>
        </w:rPr>
        <w:t xml:space="preserve"> of these limitations make the immigrant assimilation debate a good arena in which to test the performance of occupational income scores, and, if possible, come up with improvements.  </w:t>
      </w:r>
      <w:r w:rsidR="00E80208" w:rsidRPr="00390DBB">
        <w:rPr>
          <w:rFonts w:asciiTheme="minorHAnsi" w:hAnsiTheme="minorHAnsi" w:cstheme="minorHAnsi"/>
          <w:sz w:val="22"/>
          <w:szCs w:val="22"/>
        </w:rPr>
        <w:t>First, b</w:t>
      </w:r>
      <w:r w:rsidR="00E85BE4" w:rsidRPr="00390DBB">
        <w:rPr>
          <w:rFonts w:asciiTheme="minorHAnsi" w:hAnsiTheme="minorHAnsi" w:cstheme="minorHAnsi"/>
          <w:sz w:val="22"/>
          <w:szCs w:val="22"/>
        </w:rPr>
        <w:t>ecause the income measure is fixed for all observations with the same occupation</w:t>
      </w:r>
      <w:r w:rsidR="00022E2B" w:rsidRPr="00390DBB">
        <w:rPr>
          <w:rFonts w:asciiTheme="minorHAnsi" w:hAnsiTheme="minorHAnsi" w:cstheme="minorHAnsi"/>
          <w:sz w:val="22"/>
          <w:szCs w:val="22"/>
        </w:rPr>
        <w:t>, the variance of any estimation is reduced</w:t>
      </w:r>
      <w:r w:rsidR="00E85BE4" w:rsidRPr="005E1C1E">
        <w:rPr>
          <w:rFonts w:asciiTheme="minorHAnsi" w:hAnsiTheme="minorHAnsi" w:cstheme="minorHAnsi"/>
          <w:sz w:val="22"/>
          <w:szCs w:val="22"/>
        </w:rPr>
        <w:t xml:space="preserve">. The compression of variance, by itself, will reduce the estimated earnings gap between immigrants and the foreign-born. </w:t>
      </w:r>
      <w:r w:rsidRPr="00390DBB">
        <w:rPr>
          <w:rFonts w:asciiTheme="minorHAnsi" w:hAnsiTheme="minorHAnsi" w:cstheme="minorHAnsi"/>
          <w:sz w:val="22"/>
          <w:szCs w:val="22"/>
        </w:rPr>
        <w:t xml:space="preserve">Abramitzky, Boustan, and Eriksson (2014, p. 12, footnote 21) observe that differences in occupation account for a third of total earnings differences in 1970. </w:t>
      </w:r>
      <w:r w:rsidR="00022E2B" w:rsidRPr="00390DBB">
        <w:rPr>
          <w:rFonts w:asciiTheme="minorHAnsi" w:hAnsiTheme="minorHAnsi" w:cstheme="minorHAnsi"/>
          <w:sz w:val="22"/>
          <w:szCs w:val="22"/>
        </w:rPr>
        <w:t>Moreover,</w:t>
      </w:r>
      <w:r w:rsidR="00E80208" w:rsidRPr="00390DBB">
        <w:rPr>
          <w:rFonts w:asciiTheme="minorHAnsi" w:hAnsiTheme="minorHAnsi" w:cstheme="minorHAnsi"/>
          <w:sz w:val="22"/>
          <w:szCs w:val="22"/>
        </w:rPr>
        <w:t xml:space="preserve"> </w:t>
      </w:r>
      <w:r w:rsidR="00031ED2" w:rsidRPr="00390DBB">
        <w:rPr>
          <w:rFonts w:asciiTheme="minorHAnsi" w:hAnsiTheme="minorHAnsi" w:cstheme="minorHAnsi"/>
          <w:sz w:val="22"/>
          <w:szCs w:val="22"/>
        </w:rPr>
        <w:t>immigrants and the native-born may have large differences in age-earnings p</w:t>
      </w:r>
      <w:r w:rsidR="009A14F9" w:rsidRPr="00390DBB">
        <w:rPr>
          <w:rFonts w:asciiTheme="minorHAnsi" w:hAnsiTheme="minorHAnsi" w:cstheme="minorHAnsi"/>
          <w:sz w:val="22"/>
          <w:szCs w:val="22"/>
        </w:rPr>
        <w:t>atterns</w:t>
      </w:r>
      <w:r w:rsidR="00031ED2" w:rsidRPr="00390DBB">
        <w:rPr>
          <w:rFonts w:asciiTheme="minorHAnsi" w:hAnsiTheme="minorHAnsi" w:cstheme="minorHAnsi"/>
          <w:sz w:val="22"/>
          <w:szCs w:val="22"/>
        </w:rPr>
        <w:t xml:space="preserve"> within occupations that are unobserved by the researcher.</w:t>
      </w:r>
      <w:r w:rsidR="00031ED2">
        <w:rPr>
          <w:rFonts w:asciiTheme="minorHAnsi" w:hAnsiTheme="minorHAnsi" w:cstheme="minorHAnsi"/>
          <w:sz w:val="22"/>
          <w:szCs w:val="22"/>
        </w:rPr>
        <w:t xml:space="preserve"> </w:t>
      </w:r>
      <w:r w:rsidR="00E80208">
        <w:rPr>
          <w:rFonts w:asciiTheme="minorHAnsi" w:hAnsiTheme="minorHAnsi" w:cstheme="minorHAnsi"/>
          <w:sz w:val="22"/>
          <w:szCs w:val="22"/>
        </w:rPr>
        <w:t>Second, t</w:t>
      </w:r>
      <w:r w:rsidR="00E85BE4" w:rsidRPr="005E1C1E">
        <w:rPr>
          <w:rFonts w:asciiTheme="minorHAnsi" w:hAnsiTheme="minorHAnsi" w:cstheme="minorHAnsi"/>
          <w:sz w:val="22"/>
          <w:szCs w:val="22"/>
        </w:rPr>
        <w:t>he usefulness of income scores constructed in one year for use in another year</w:t>
      </w:r>
      <w:r w:rsidR="00946221" w:rsidRPr="005E1C1E">
        <w:rPr>
          <w:rFonts w:asciiTheme="minorHAnsi" w:hAnsiTheme="minorHAnsi" w:cstheme="minorHAnsi"/>
          <w:sz w:val="22"/>
          <w:szCs w:val="22"/>
        </w:rPr>
        <w:t xml:space="preserve"> depends on</w:t>
      </w:r>
      <w:r w:rsidR="00E85BE4" w:rsidRPr="005E1C1E">
        <w:rPr>
          <w:rFonts w:asciiTheme="minorHAnsi" w:hAnsiTheme="minorHAnsi" w:cstheme="minorHAnsi"/>
          <w:sz w:val="22"/>
          <w:szCs w:val="22"/>
        </w:rPr>
        <w:t xml:space="preserve"> changes in labour market skills and </w:t>
      </w:r>
      <w:r w:rsidR="00946221" w:rsidRPr="005E1C1E">
        <w:rPr>
          <w:rFonts w:asciiTheme="minorHAnsi" w:hAnsiTheme="minorHAnsi" w:cstheme="minorHAnsi"/>
          <w:sz w:val="22"/>
          <w:szCs w:val="22"/>
        </w:rPr>
        <w:t xml:space="preserve">the </w:t>
      </w:r>
      <w:r w:rsidR="00E85BE4" w:rsidRPr="005E1C1E">
        <w:rPr>
          <w:rFonts w:asciiTheme="minorHAnsi" w:hAnsiTheme="minorHAnsi" w:cstheme="minorHAnsi"/>
          <w:sz w:val="22"/>
          <w:szCs w:val="22"/>
        </w:rPr>
        <w:t xml:space="preserve">accompanying income hierarchy of occupations (Goldin and Margo 1992; Goldin and Katz 2008; Katz and Margo 2013). To the extent that occupational titles carry an element of social status or prestige that changes more slowly than income (Erikson and </w:t>
      </w:r>
      <w:r w:rsidR="00E85BE4" w:rsidRPr="005E1C1E">
        <w:rPr>
          <w:rFonts w:asciiTheme="minorHAnsi" w:hAnsiTheme="minorHAnsi" w:cstheme="minorHAnsi"/>
          <w:sz w:val="22"/>
          <w:szCs w:val="22"/>
        </w:rPr>
        <w:lastRenderedPageBreak/>
        <w:t>Goldthorpe, 1992), the modest rates of earnings convergence implied by immigrant occupational change may understate assimilation by not taking account of changes within occupations.</w:t>
      </w:r>
      <w:r w:rsidR="00946221" w:rsidRPr="005E1C1E">
        <w:rPr>
          <w:rFonts w:asciiTheme="minorHAnsi" w:hAnsiTheme="minorHAnsi" w:cstheme="minorHAnsi"/>
          <w:sz w:val="22"/>
          <w:szCs w:val="22"/>
        </w:rPr>
        <w:t xml:space="preserve"> However,</w:t>
      </w:r>
      <w:r>
        <w:rPr>
          <w:rFonts w:asciiTheme="minorHAnsi" w:hAnsiTheme="minorHAnsi" w:cstheme="minorHAnsi"/>
          <w:sz w:val="22"/>
          <w:szCs w:val="22"/>
        </w:rPr>
        <w:t xml:space="preserve"> </w:t>
      </w:r>
      <w:r w:rsidR="00946221" w:rsidRPr="005E1C1E">
        <w:rPr>
          <w:rFonts w:asciiTheme="minorHAnsi" w:hAnsiTheme="minorHAnsi" w:cstheme="minorHAnsi"/>
          <w:sz w:val="22"/>
          <w:szCs w:val="22"/>
        </w:rPr>
        <w:t>e</w:t>
      </w:r>
      <w:r w:rsidR="00E85BE4" w:rsidRPr="005E1C1E">
        <w:rPr>
          <w:rFonts w:asciiTheme="minorHAnsi" w:hAnsiTheme="minorHAnsi" w:cstheme="minorHAnsi"/>
          <w:sz w:val="22"/>
          <w:szCs w:val="22"/>
        </w:rPr>
        <w:t xml:space="preserve">ven the direction of immigrant assimilation may be estimated incorrectly if movement between occupations over time does not match trends in earnings </w:t>
      </w:r>
      <w:r w:rsidR="003A7548">
        <w:rPr>
          <w:rFonts w:asciiTheme="minorHAnsi" w:hAnsiTheme="minorHAnsi" w:cstheme="minorHAnsi"/>
          <w:sz w:val="22"/>
          <w:szCs w:val="22"/>
        </w:rPr>
        <w:t>between occupations</w:t>
      </w:r>
      <w:r w:rsidR="00946221" w:rsidRPr="005E1C1E">
        <w:rPr>
          <w:rFonts w:asciiTheme="minorHAnsi" w:hAnsiTheme="minorHAnsi" w:cstheme="minorHAnsi"/>
          <w:sz w:val="22"/>
          <w:szCs w:val="22"/>
        </w:rPr>
        <w:t>.</w:t>
      </w:r>
    </w:p>
    <w:p w:rsidR="00E85BE4" w:rsidRDefault="00E85BE4" w:rsidP="00E85BE4">
      <w:pPr>
        <w:pStyle w:val="western"/>
        <w:spacing w:before="0" w:beforeAutospacing="0" w:after="0" w:line="360" w:lineRule="auto"/>
        <w:ind w:firstLine="720"/>
        <w:rPr>
          <w:rFonts w:asciiTheme="minorHAnsi" w:hAnsiTheme="minorHAnsi" w:cs="Times New Roman"/>
          <w:sz w:val="22"/>
          <w:szCs w:val="22"/>
        </w:rPr>
      </w:pPr>
      <w:r w:rsidRPr="00390DBB">
        <w:rPr>
          <w:rFonts w:asciiTheme="minorHAnsi" w:hAnsiTheme="minorHAnsi" w:cs="Times New Roman"/>
          <w:sz w:val="22"/>
          <w:szCs w:val="22"/>
        </w:rPr>
        <w:t xml:space="preserve">All this is reasonably well known, but </w:t>
      </w:r>
      <w:r w:rsidR="003A7548" w:rsidRPr="00390DBB">
        <w:rPr>
          <w:rFonts w:asciiTheme="minorHAnsi" w:hAnsiTheme="minorHAnsi" w:cs="Times New Roman"/>
          <w:sz w:val="22"/>
          <w:szCs w:val="22"/>
        </w:rPr>
        <w:t>there is</w:t>
      </w:r>
      <w:r w:rsidR="00365B2C" w:rsidRPr="00390DBB">
        <w:rPr>
          <w:rFonts w:asciiTheme="minorHAnsi" w:hAnsiTheme="minorHAnsi" w:cs="Times New Roman"/>
          <w:sz w:val="22"/>
          <w:szCs w:val="22"/>
        </w:rPr>
        <w:t xml:space="preserve"> </w:t>
      </w:r>
      <w:r w:rsidR="003A7548" w:rsidRPr="00390DBB">
        <w:rPr>
          <w:rFonts w:asciiTheme="minorHAnsi" w:hAnsiTheme="minorHAnsi" w:cs="Times New Roman"/>
          <w:sz w:val="22"/>
          <w:szCs w:val="22"/>
        </w:rPr>
        <w:t xml:space="preserve">little </w:t>
      </w:r>
      <w:r w:rsidRPr="00390DBB">
        <w:rPr>
          <w:rFonts w:asciiTheme="minorHAnsi" w:hAnsiTheme="minorHAnsi" w:cs="Times New Roman"/>
          <w:sz w:val="22"/>
          <w:szCs w:val="22"/>
        </w:rPr>
        <w:t>evidence on the</w:t>
      </w:r>
      <w:r w:rsidR="00365B2C" w:rsidRPr="00390DBB">
        <w:rPr>
          <w:rFonts w:asciiTheme="minorHAnsi" w:hAnsiTheme="minorHAnsi" w:cs="Times New Roman"/>
          <w:sz w:val="22"/>
          <w:szCs w:val="22"/>
        </w:rPr>
        <w:t xml:space="preserve"> empirical </w:t>
      </w:r>
      <w:r w:rsidR="003F3F99" w:rsidRPr="00390DBB">
        <w:rPr>
          <w:rFonts w:asciiTheme="minorHAnsi" w:hAnsiTheme="minorHAnsi" w:cs="Times New Roman"/>
          <w:sz w:val="22"/>
          <w:szCs w:val="22"/>
        </w:rPr>
        <w:t>consequences of using occupational income</w:t>
      </w:r>
      <w:r w:rsidR="00365B2C" w:rsidRPr="00390DBB">
        <w:rPr>
          <w:rFonts w:asciiTheme="minorHAnsi" w:hAnsiTheme="minorHAnsi" w:cs="Times New Roman"/>
          <w:sz w:val="22"/>
          <w:szCs w:val="22"/>
        </w:rPr>
        <w:t xml:space="preserve"> scores </w:t>
      </w:r>
      <w:r w:rsidR="003F3F99" w:rsidRPr="00390DBB">
        <w:rPr>
          <w:rFonts w:asciiTheme="minorHAnsi" w:hAnsiTheme="minorHAnsi" w:cs="Times New Roman"/>
          <w:sz w:val="22"/>
          <w:szCs w:val="22"/>
        </w:rPr>
        <w:t xml:space="preserve">to estimate </w:t>
      </w:r>
      <w:r w:rsidR="009A14F9" w:rsidRPr="00390DBB">
        <w:rPr>
          <w:rFonts w:asciiTheme="minorHAnsi" w:hAnsiTheme="minorHAnsi" w:cs="Times New Roman"/>
          <w:sz w:val="22"/>
          <w:szCs w:val="22"/>
        </w:rPr>
        <w:t>immigrant labour market assimilation</w:t>
      </w:r>
      <w:r w:rsidRPr="00390DBB">
        <w:rPr>
          <w:rFonts w:asciiTheme="minorHAnsi" w:hAnsiTheme="minorHAnsi" w:cs="Times New Roman"/>
          <w:sz w:val="22"/>
          <w:szCs w:val="22"/>
        </w:rPr>
        <w:t>.</w:t>
      </w:r>
      <w:r w:rsidR="003F3F99" w:rsidRPr="00390DBB">
        <w:rPr>
          <w:rStyle w:val="FootnoteReference"/>
          <w:rFonts w:asciiTheme="minorHAnsi" w:hAnsiTheme="minorHAnsi" w:cs="Times New Roman"/>
          <w:sz w:val="22"/>
          <w:szCs w:val="22"/>
        </w:rPr>
        <w:footnoteReference w:id="3"/>
      </w:r>
      <w:r w:rsidRPr="00390DBB">
        <w:rPr>
          <w:rFonts w:asciiTheme="minorHAnsi" w:hAnsiTheme="minorHAnsi" w:cs="Times New Roman"/>
          <w:sz w:val="22"/>
          <w:szCs w:val="22"/>
        </w:rPr>
        <w:t xml:space="preserve"> </w:t>
      </w:r>
      <w:r w:rsidRPr="00980EA5">
        <w:rPr>
          <w:rFonts w:asciiTheme="minorHAnsi" w:hAnsiTheme="minorHAnsi" w:cstheme="minorHAnsi"/>
          <w:sz w:val="22"/>
          <w:szCs w:val="22"/>
        </w:rPr>
        <w:t>In this pa</w:t>
      </w:r>
      <w:r>
        <w:rPr>
          <w:rFonts w:asciiTheme="minorHAnsi" w:hAnsiTheme="minorHAnsi" w:cstheme="minorHAnsi"/>
          <w:sz w:val="22"/>
          <w:szCs w:val="22"/>
        </w:rPr>
        <w:t xml:space="preserve">per we </w:t>
      </w:r>
      <w:r w:rsidR="00946221" w:rsidRPr="00730A1B">
        <w:rPr>
          <w:rFonts w:asciiTheme="minorHAnsi" w:hAnsiTheme="minorHAnsi" w:cs="Times New Roman"/>
          <w:sz w:val="22"/>
          <w:szCs w:val="22"/>
        </w:rPr>
        <w:t>use Canadian census data from 1911, 1921, and 1931</w:t>
      </w:r>
      <w:r w:rsidR="00946221">
        <w:rPr>
          <w:rFonts w:asciiTheme="minorHAnsi" w:hAnsiTheme="minorHAnsi" w:cs="Times New Roman"/>
          <w:sz w:val="22"/>
          <w:szCs w:val="22"/>
        </w:rPr>
        <w:t>, which include individual earnings,</w:t>
      </w:r>
      <w:r w:rsidR="00946221" w:rsidRPr="00730A1B">
        <w:rPr>
          <w:rFonts w:asciiTheme="minorHAnsi" w:hAnsiTheme="minorHAnsi" w:cs="Times New Roman"/>
          <w:sz w:val="22"/>
          <w:szCs w:val="22"/>
        </w:rPr>
        <w:t xml:space="preserve"> to</w:t>
      </w:r>
      <w:r w:rsidR="00946221">
        <w:rPr>
          <w:rFonts w:asciiTheme="minorHAnsi" w:hAnsiTheme="minorHAnsi" w:cs="Times New Roman"/>
          <w:sz w:val="22"/>
          <w:szCs w:val="22"/>
        </w:rPr>
        <w:t xml:space="preserve"> </w:t>
      </w:r>
      <w:r w:rsidR="00946221" w:rsidRPr="00730A1B">
        <w:rPr>
          <w:rFonts w:asciiTheme="minorHAnsi" w:hAnsiTheme="minorHAnsi" w:cs="Times New Roman"/>
          <w:sz w:val="22"/>
          <w:szCs w:val="22"/>
        </w:rPr>
        <w:t xml:space="preserve">estimate immigrant </w:t>
      </w:r>
      <w:r w:rsidR="00946221">
        <w:rPr>
          <w:rFonts w:asciiTheme="minorHAnsi" w:hAnsiTheme="minorHAnsi" w:cs="Times New Roman"/>
          <w:sz w:val="22"/>
          <w:szCs w:val="22"/>
        </w:rPr>
        <w:t xml:space="preserve">earnings assimilation.  </w:t>
      </w:r>
      <w:r w:rsidR="0098383E">
        <w:rPr>
          <w:rFonts w:asciiTheme="minorHAnsi" w:hAnsiTheme="minorHAnsi" w:cs="Times New Roman"/>
          <w:sz w:val="22"/>
          <w:szCs w:val="22"/>
        </w:rPr>
        <w:t xml:space="preserve">This is based on a synthetic </w:t>
      </w:r>
      <w:r w:rsidR="002330A3">
        <w:rPr>
          <w:rFonts w:asciiTheme="minorHAnsi" w:hAnsiTheme="minorHAnsi" w:cs="Times New Roman"/>
          <w:sz w:val="22"/>
          <w:szCs w:val="22"/>
        </w:rPr>
        <w:t xml:space="preserve">cohort approach, as materials are not yet available to construct a panel of immigrants with Canadian sources. </w:t>
      </w:r>
      <w:r w:rsidR="00946221">
        <w:rPr>
          <w:rFonts w:asciiTheme="minorHAnsi" w:hAnsiTheme="minorHAnsi" w:cs="Times New Roman"/>
          <w:sz w:val="22"/>
          <w:szCs w:val="22"/>
        </w:rPr>
        <w:t xml:space="preserve">Our approach follows </w:t>
      </w:r>
      <w:r>
        <w:rPr>
          <w:rFonts w:asciiTheme="minorHAnsi" w:hAnsiTheme="minorHAnsi" w:cstheme="minorHAnsi"/>
          <w:sz w:val="22"/>
          <w:szCs w:val="22"/>
        </w:rPr>
        <w:t>Feigenbaum</w:t>
      </w:r>
      <w:r w:rsidRPr="00980EA5">
        <w:rPr>
          <w:rFonts w:asciiTheme="minorHAnsi" w:hAnsiTheme="minorHAnsi" w:cstheme="minorHAnsi"/>
          <w:sz w:val="22"/>
          <w:szCs w:val="22"/>
        </w:rPr>
        <w:t xml:space="preserve"> in </w:t>
      </w:r>
      <w:r w:rsidR="00946221">
        <w:rPr>
          <w:rFonts w:asciiTheme="minorHAnsi" w:hAnsiTheme="minorHAnsi" w:cstheme="minorHAnsi"/>
          <w:sz w:val="22"/>
          <w:szCs w:val="22"/>
        </w:rPr>
        <w:t xml:space="preserve">that we </w:t>
      </w:r>
      <w:r w:rsidRPr="00980EA5">
        <w:rPr>
          <w:rFonts w:asciiTheme="minorHAnsi" w:hAnsiTheme="minorHAnsi" w:cstheme="minorHAnsi"/>
          <w:sz w:val="22"/>
          <w:szCs w:val="22"/>
        </w:rPr>
        <w:t>us</w:t>
      </w:r>
      <w:r w:rsidR="00946221">
        <w:rPr>
          <w:rFonts w:asciiTheme="minorHAnsi" w:hAnsiTheme="minorHAnsi" w:cstheme="minorHAnsi"/>
          <w:sz w:val="22"/>
          <w:szCs w:val="22"/>
        </w:rPr>
        <w:t>e</w:t>
      </w:r>
      <w:r w:rsidRPr="00980EA5">
        <w:rPr>
          <w:rFonts w:asciiTheme="minorHAnsi" w:hAnsiTheme="minorHAnsi" w:cstheme="minorHAnsi"/>
          <w:sz w:val="22"/>
          <w:szCs w:val="22"/>
        </w:rPr>
        <w:t xml:space="preserve"> occupational income scores wh</w:t>
      </w:r>
      <w:r>
        <w:rPr>
          <w:rFonts w:asciiTheme="minorHAnsi" w:hAnsiTheme="minorHAnsi" w:cstheme="minorHAnsi"/>
          <w:sz w:val="22"/>
          <w:szCs w:val="22"/>
        </w:rPr>
        <w:t xml:space="preserve">en individual earnings are </w:t>
      </w:r>
      <w:r w:rsidRPr="00980EA5">
        <w:rPr>
          <w:rFonts w:asciiTheme="minorHAnsi" w:hAnsiTheme="minorHAnsi" w:cstheme="minorHAnsi"/>
          <w:sz w:val="22"/>
          <w:szCs w:val="22"/>
        </w:rPr>
        <w:t xml:space="preserve">available in order to </w:t>
      </w:r>
      <w:r>
        <w:rPr>
          <w:rFonts w:asciiTheme="minorHAnsi" w:hAnsiTheme="minorHAnsi" w:cstheme="minorHAnsi"/>
          <w:sz w:val="22"/>
          <w:szCs w:val="22"/>
        </w:rPr>
        <w:t xml:space="preserve">compare estimates </w:t>
      </w:r>
      <w:r w:rsidRPr="00980EA5">
        <w:rPr>
          <w:rFonts w:asciiTheme="minorHAnsi" w:hAnsiTheme="minorHAnsi" w:cstheme="minorHAnsi"/>
          <w:sz w:val="22"/>
          <w:szCs w:val="22"/>
        </w:rPr>
        <w:t>of immigrant assimilation</w:t>
      </w:r>
      <w:r>
        <w:rPr>
          <w:rFonts w:asciiTheme="minorHAnsi" w:hAnsiTheme="minorHAnsi" w:cstheme="minorHAnsi"/>
          <w:sz w:val="22"/>
          <w:szCs w:val="22"/>
        </w:rPr>
        <w:t xml:space="preserve"> with alternate measures</w:t>
      </w:r>
      <w:r w:rsidRPr="00980EA5">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imes New Roman"/>
          <w:sz w:val="22"/>
          <w:szCs w:val="22"/>
        </w:rPr>
        <w:t xml:space="preserve">We find </w:t>
      </w:r>
      <w:r w:rsidRPr="00730A1B">
        <w:rPr>
          <w:rFonts w:asciiTheme="minorHAnsi" w:hAnsiTheme="minorHAnsi" w:cs="Times New Roman"/>
          <w:sz w:val="22"/>
          <w:szCs w:val="22"/>
        </w:rPr>
        <w:t xml:space="preserve">differences in the extent </w:t>
      </w:r>
      <w:r>
        <w:rPr>
          <w:rFonts w:asciiTheme="minorHAnsi" w:hAnsiTheme="minorHAnsi" w:cs="Times New Roman"/>
          <w:sz w:val="22"/>
          <w:szCs w:val="22"/>
        </w:rPr>
        <w:t xml:space="preserve">and even the direction </w:t>
      </w:r>
      <w:r w:rsidRPr="00730A1B">
        <w:rPr>
          <w:rFonts w:asciiTheme="minorHAnsi" w:hAnsiTheme="minorHAnsi" w:cs="Times New Roman"/>
          <w:sz w:val="22"/>
          <w:szCs w:val="22"/>
        </w:rPr>
        <w:t xml:space="preserve">of </w:t>
      </w:r>
      <w:r>
        <w:rPr>
          <w:rFonts w:asciiTheme="minorHAnsi" w:hAnsiTheme="minorHAnsi" w:cs="Times New Roman"/>
          <w:sz w:val="22"/>
          <w:szCs w:val="22"/>
        </w:rPr>
        <w:t xml:space="preserve">assimilation </w:t>
      </w:r>
      <w:r w:rsidRPr="00730A1B">
        <w:rPr>
          <w:rFonts w:asciiTheme="minorHAnsi" w:hAnsiTheme="minorHAnsi" w:cs="Times New Roman"/>
          <w:sz w:val="22"/>
          <w:szCs w:val="22"/>
        </w:rPr>
        <w:t xml:space="preserve">depending on which </w:t>
      </w:r>
      <w:r>
        <w:rPr>
          <w:rFonts w:asciiTheme="minorHAnsi" w:hAnsiTheme="minorHAnsi" w:cs="Times New Roman"/>
          <w:sz w:val="22"/>
          <w:szCs w:val="22"/>
        </w:rPr>
        <w:t>measure</w:t>
      </w:r>
      <w:r w:rsidRPr="00730A1B">
        <w:rPr>
          <w:rFonts w:asciiTheme="minorHAnsi" w:hAnsiTheme="minorHAnsi" w:cs="Times New Roman"/>
          <w:sz w:val="22"/>
          <w:szCs w:val="22"/>
        </w:rPr>
        <w:t xml:space="preserve"> is used</w:t>
      </w:r>
      <w:r>
        <w:rPr>
          <w:rFonts w:asciiTheme="minorHAnsi" w:hAnsiTheme="minorHAnsi" w:cs="Times New Roman"/>
          <w:sz w:val="22"/>
          <w:szCs w:val="22"/>
        </w:rPr>
        <w:t>.</w:t>
      </w:r>
      <w:r w:rsidR="00F567EB">
        <w:rPr>
          <w:rStyle w:val="FootnoteReference"/>
          <w:rFonts w:asciiTheme="minorHAnsi" w:hAnsiTheme="minorHAnsi" w:cs="Times New Roman"/>
          <w:sz w:val="22"/>
          <w:szCs w:val="22"/>
        </w:rPr>
        <w:footnoteReference w:id="4"/>
      </w:r>
      <w:r>
        <w:rPr>
          <w:rFonts w:asciiTheme="minorHAnsi" w:hAnsiTheme="minorHAnsi" w:cs="Times New Roman"/>
          <w:sz w:val="22"/>
          <w:szCs w:val="22"/>
        </w:rPr>
        <w:t xml:space="preserve">  Our results also show, however, that some variants of occupational income scores perform better </w:t>
      </w:r>
      <w:r w:rsidR="00A52A01">
        <w:rPr>
          <w:rFonts w:asciiTheme="minorHAnsi" w:hAnsiTheme="minorHAnsi" w:cs="Times New Roman"/>
          <w:sz w:val="22"/>
          <w:szCs w:val="22"/>
        </w:rPr>
        <w:t xml:space="preserve">than others </w:t>
      </w:r>
      <w:r>
        <w:rPr>
          <w:rFonts w:asciiTheme="minorHAnsi" w:hAnsiTheme="minorHAnsi" w:cs="Times New Roman"/>
          <w:sz w:val="22"/>
          <w:szCs w:val="22"/>
        </w:rPr>
        <w:t xml:space="preserve">in terms of capturing differences in levels in earnings and the patterns of assimilation </w:t>
      </w:r>
      <w:r w:rsidR="00946221">
        <w:rPr>
          <w:rFonts w:asciiTheme="minorHAnsi" w:hAnsiTheme="minorHAnsi" w:cs="Times New Roman"/>
          <w:sz w:val="22"/>
          <w:szCs w:val="22"/>
        </w:rPr>
        <w:t xml:space="preserve">in individual earnings </w:t>
      </w:r>
      <w:r>
        <w:rPr>
          <w:rFonts w:asciiTheme="minorHAnsi" w:hAnsiTheme="minorHAnsi" w:cs="Times New Roman"/>
          <w:sz w:val="22"/>
          <w:szCs w:val="22"/>
        </w:rPr>
        <w:t xml:space="preserve">over time.  We use these better performing scores to devise adjustments to </w:t>
      </w:r>
      <w:r w:rsidR="002F3777">
        <w:rPr>
          <w:rFonts w:asciiTheme="minorHAnsi" w:hAnsiTheme="minorHAnsi" w:cs="Times New Roman"/>
          <w:sz w:val="22"/>
          <w:szCs w:val="22"/>
        </w:rPr>
        <w:t xml:space="preserve">standard </w:t>
      </w:r>
      <w:r w:rsidR="0098383E">
        <w:rPr>
          <w:rFonts w:asciiTheme="minorHAnsi" w:hAnsiTheme="minorHAnsi" w:cs="Times New Roman"/>
          <w:sz w:val="22"/>
          <w:szCs w:val="22"/>
        </w:rPr>
        <w:t xml:space="preserve">occupational </w:t>
      </w:r>
      <w:r>
        <w:rPr>
          <w:rFonts w:asciiTheme="minorHAnsi" w:hAnsiTheme="minorHAnsi" w:cs="Times New Roman"/>
          <w:sz w:val="22"/>
          <w:szCs w:val="22"/>
        </w:rPr>
        <w:t>income scores that c</w:t>
      </w:r>
      <w:r w:rsidR="00A52A01">
        <w:rPr>
          <w:rFonts w:asciiTheme="minorHAnsi" w:hAnsiTheme="minorHAnsi" w:cs="Times New Roman"/>
          <w:sz w:val="22"/>
          <w:szCs w:val="22"/>
        </w:rPr>
        <w:t>an</w:t>
      </w:r>
      <w:r>
        <w:rPr>
          <w:rFonts w:asciiTheme="minorHAnsi" w:hAnsiTheme="minorHAnsi" w:cs="Times New Roman"/>
          <w:sz w:val="22"/>
          <w:szCs w:val="22"/>
        </w:rPr>
        <w:t xml:space="preserve"> be applied using ancillary evidence in the US context, and indeed elsewhere.</w:t>
      </w:r>
      <w:r w:rsidR="00C52222">
        <w:rPr>
          <w:rFonts w:asciiTheme="minorHAnsi" w:hAnsiTheme="minorHAnsi" w:cs="Times New Roman"/>
          <w:sz w:val="22"/>
          <w:szCs w:val="22"/>
        </w:rPr>
        <w:t xml:space="preserve">  </w:t>
      </w:r>
    </w:p>
    <w:p w:rsidR="00E85BE4" w:rsidRDefault="005D5E5F" w:rsidP="00E85BE4">
      <w:pPr>
        <w:pStyle w:val="western"/>
        <w:spacing w:before="0" w:beforeAutospacing="0" w:after="0" w:line="360" w:lineRule="auto"/>
        <w:rPr>
          <w:rFonts w:asciiTheme="minorHAnsi" w:hAnsiTheme="minorHAnsi" w:cs="Times New Roman"/>
          <w:sz w:val="22"/>
          <w:szCs w:val="22"/>
        </w:rPr>
      </w:pPr>
      <w:r>
        <w:rPr>
          <w:rFonts w:asciiTheme="minorHAnsi" w:hAnsiTheme="minorHAnsi" w:cs="Times New Roman"/>
          <w:sz w:val="22"/>
          <w:szCs w:val="22"/>
        </w:rPr>
        <w:tab/>
      </w:r>
    </w:p>
    <w:p w:rsidR="00E85BE4" w:rsidRPr="00E66339" w:rsidRDefault="00E85BE4" w:rsidP="00E85BE4">
      <w:pPr>
        <w:pStyle w:val="western"/>
        <w:spacing w:before="0" w:beforeAutospacing="0" w:after="0" w:line="360" w:lineRule="auto"/>
        <w:rPr>
          <w:rFonts w:asciiTheme="minorHAnsi" w:hAnsiTheme="minorHAnsi" w:cs="Times New Roman"/>
          <w:b/>
          <w:sz w:val="22"/>
          <w:szCs w:val="22"/>
        </w:rPr>
      </w:pPr>
      <w:r w:rsidRPr="00E66339">
        <w:rPr>
          <w:rFonts w:asciiTheme="minorHAnsi" w:hAnsiTheme="minorHAnsi" w:cs="Times New Roman"/>
          <w:b/>
          <w:sz w:val="22"/>
          <w:szCs w:val="22"/>
        </w:rPr>
        <w:t>A formal representation of occupational income scores</w:t>
      </w:r>
    </w:p>
    <w:p w:rsidR="00E85BE4" w:rsidRPr="00730A1B" w:rsidRDefault="00E85BE4" w:rsidP="00E85BE4">
      <w:pPr>
        <w:pStyle w:val="western"/>
        <w:spacing w:before="0" w:beforeAutospacing="0" w:after="0" w:line="360" w:lineRule="auto"/>
        <w:ind w:firstLine="720"/>
        <w:rPr>
          <w:rFonts w:asciiTheme="minorHAnsi" w:hAnsiTheme="minorHAnsi" w:cstheme="minorHAnsi"/>
          <w:sz w:val="22"/>
          <w:szCs w:val="22"/>
        </w:rPr>
      </w:pPr>
      <w:r w:rsidRPr="00730A1B">
        <w:rPr>
          <w:rFonts w:asciiTheme="minorHAnsi" w:hAnsiTheme="minorHAnsi" w:cstheme="minorHAnsi"/>
          <w:sz w:val="22"/>
          <w:szCs w:val="22"/>
        </w:rPr>
        <w:t xml:space="preserve">Occupational income scores measure </w:t>
      </w:r>
      <w:r>
        <w:rPr>
          <w:rFonts w:asciiTheme="minorHAnsi" w:hAnsiTheme="minorHAnsi" w:cstheme="minorHAnsi"/>
          <w:sz w:val="22"/>
          <w:szCs w:val="22"/>
        </w:rPr>
        <w:t xml:space="preserve">individual </w:t>
      </w:r>
      <w:r w:rsidRPr="00730A1B">
        <w:rPr>
          <w:rFonts w:asciiTheme="minorHAnsi" w:hAnsiTheme="minorHAnsi" w:cstheme="minorHAnsi"/>
          <w:sz w:val="22"/>
          <w:szCs w:val="22"/>
        </w:rPr>
        <w:t>earnings with error</w:t>
      </w:r>
      <w:r>
        <w:rPr>
          <w:rFonts w:asciiTheme="minorHAnsi" w:hAnsiTheme="minorHAnsi" w:cstheme="minorHAnsi"/>
          <w:sz w:val="22"/>
          <w:szCs w:val="22"/>
        </w:rPr>
        <w:t xml:space="preserve"> that may result in a misrepresentation of the direction of assimilation and an understatement of differences between immigrant and native-born earnings. We represent the </w:t>
      </w:r>
      <w:r w:rsidRPr="00730A1B">
        <w:rPr>
          <w:rFonts w:asciiTheme="minorHAnsi" w:hAnsiTheme="minorHAnsi" w:cstheme="minorHAnsi"/>
          <w:sz w:val="22"/>
          <w:szCs w:val="22"/>
        </w:rPr>
        <w:t xml:space="preserve">earnings of individual </w:t>
      </w:r>
      <w:r w:rsidRPr="00730A1B">
        <w:rPr>
          <w:rFonts w:asciiTheme="minorHAnsi" w:hAnsiTheme="minorHAnsi" w:cstheme="minorHAnsi"/>
          <w:i/>
          <w:sz w:val="22"/>
          <w:szCs w:val="22"/>
        </w:rPr>
        <w:t xml:space="preserve">i </w:t>
      </w:r>
      <w:r w:rsidRPr="00730A1B">
        <w:rPr>
          <w:rFonts w:asciiTheme="minorHAnsi" w:hAnsiTheme="minorHAnsi" w:cstheme="minorHAnsi"/>
          <w:sz w:val="22"/>
          <w:szCs w:val="22"/>
        </w:rPr>
        <w:t xml:space="preserve">in occupation </w:t>
      </w:r>
      <w:r w:rsidRPr="00730A1B">
        <w:rPr>
          <w:rFonts w:asciiTheme="minorHAnsi" w:hAnsiTheme="minorHAnsi" w:cstheme="minorHAnsi"/>
          <w:i/>
          <w:sz w:val="22"/>
          <w:szCs w:val="22"/>
        </w:rPr>
        <w:t>o, w</w:t>
      </w:r>
      <w:r w:rsidRPr="00730A1B">
        <w:rPr>
          <w:rFonts w:asciiTheme="minorHAnsi" w:hAnsiTheme="minorHAnsi" w:cstheme="minorHAnsi"/>
          <w:i/>
          <w:sz w:val="22"/>
          <w:szCs w:val="22"/>
          <w:vertAlign w:val="subscript"/>
        </w:rPr>
        <w:t>io</w:t>
      </w:r>
      <w:r w:rsidRPr="00730A1B">
        <w:rPr>
          <w:rFonts w:asciiTheme="minorHAnsi" w:hAnsiTheme="minorHAnsi" w:cstheme="minorHAnsi"/>
          <w:sz w:val="22"/>
          <w:szCs w:val="22"/>
        </w:rPr>
        <w:t xml:space="preserve"> with a surrogate value </w:t>
      </w: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w</m:t>
                </m:r>
              </m:e>
            </m:acc>
          </m:e>
          <m:sub>
            <m:r>
              <w:rPr>
                <w:rFonts w:ascii="Cambria Math" w:hAnsi="Cambria Math" w:cstheme="minorHAnsi"/>
                <w:sz w:val="22"/>
                <w:szCs w:val="22"/>
              </w:rPr>
              <m:t>o</m:t>
            </m:r>
          </m:sub>
        </m:sSub>
      </m:oMath>
      <w:r w:rsidRPr="00730A1B">
        <w:rPr>
          <w:rFonts w:asciiTheme="minorHAnsi" w:hAnsiTheme="minorHAnsi" w:cstheme="minorHAnsi"/>
          <w:sz w:val="22"/>
          <w:szCs w:val="22"/>
        </w:rPr>
        <w:t xml:space="preserve"> that varies only across occupation,</w:t>
      </w:r>
    </w:p>
    <w:p w:rsidR="00E85BE4" w:rsidRPr="00730A1B" w:rsidRDefault="00242319" w:rsidP="00E85BE4">
      <w:pPr>
        <w:autoSpaceDE w:val="0"/>
        <w:autoSpaceDN w:val="0"/>
        <w:adjustRightInd w:val="0"/>
        <w:spacing w:after="0" w:line="360" w:lineRule="auto"/>
        <w:jc w:val="center"/>
        <w:rPr>
          <w:rFonts w:cstheme="minorHAnsi"/>
        </w:rPr>
      </w:pP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w</m:t>
                </m:r>
              </m:e>
            </m:acc>
          </m:e>
          <m:sub>
            <m:r>
              <w:rPr>
                <w:rFonts w:ascii="Cambria Math" w:hAnsi="Cambria Math" w:cstheme="minorHAnsi"/>
              </w:rPr>
              <m:t>o</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io</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io</m:t>
            </m:r>
          </m:sub>
        </m:sSub>
      </m:oMath>
      <w:r w:rsidR="00E85BE4" w:rsidRPr="00730A1B">
        <w:rPr>
          <w:rFonts w:cstheme="minorHAnsi"/>
        </w:rPr>
        <w:t xml:space="preserve"> </w:t>
      </w:r>
      <w:r w:rsidR="00E85BE4" w:rsidRPr="00730A1B">
        <w:rPr>
          <w:rFonts w:cstheme="minorHAnsi"/>
        </w:rPr>
        <w:tab/>
        <w:t>(1)</w:t>
      </w:r>
      <w:r w:rsidR="002F3777">
        <w:rPr>
          <w:rFonts w:cstheme="minorHAnsi"/>
        </w:rPr>
        <w:t>.</w:t>
      </w:r>
    </w:p>
    <w:p w:rsidR="00E85BE4" w:rsidRPr="00C80BAF" w:rsidRDefault="00C80BAF" w:rsidP="00D91045">
      <w:pPr>
        <w:spacing w:line="360" w:lineRule="auto"/>
        <w:rPr>
          <w:rFonts w:cstheme="minorHAnsi"/>
        </w:rPr>
      </w:pPr>
      <w:r>
        <w:rPr>
          <w:rFonts w:cstheme="minorHAnsi"/>
        </w:rPr>
        <w:t>I</w:t>
      </w:r>
      <w:r w:rsidR="00E85BE4">
        <w:rPr>
          <w:rFonts w:cstheme="minorHAnsi"/>
        </w:rPr>
        <w:t>f immigrant</w:t>
      </w:r>
      <w:r w:rsidR="00E85BE4" w:rsidRPr="00730A1B">
        <w:rPr>
          <w:rFonts w:cstheme="minorHAnsi"/>
        </w:rPr>
        <w:t xml:space="preserve"> </w:t>
      </w:r>
      <w:r w:rsidR="00E85BE4">
        <w:rPr>
          <w:rFonts w:cstheme="minorHAnsi"/>
        </w:rPr>
        <w:t>location</w:t>
      </w:r>
      <w:r w:rsidR="00E85BE4" w:rsidRPr="00730A1B">
        <w:rPr>
          <w:rFonts w:cstheme="minorHAnsi"/>
        </w:rPr>
        <w:t xml:space="preserve"> </w:t>
      </w:r>
      <w:r w:rsidR="00E85BE4">
        <w:rPr>
          <w:rFonts w:cstheme="minorHAnsi"/>
        </w:rPr>
        <w:t xml:space="preserve">in </w:t>
      </w:r>
      <w:r>
        <w:rPr>
          <w:rFonts w:cstheme="minorHAnsi"/>
        </w:rPr>
        <w:t>the</w:t>
      </w:r>
      <w:r w:rsidR="00E85BE4">
        <w:rPr>
          <w:rFonts w:cstheme="minorHAnsi"/>
        </w:rPr>
        <w:t xml:space="preserve"> </w:t>
      </w:r>
      <w:r w:rsidR="00E85BE4" w:rsidRPr="00730A1B">
        <w:rPr>
          <w:rFonts w:cstheme="minorHAnsi"/>
        </w:rPr>
        <w:t xml:space="preserve">within-occupation earnings distribution is </w:t>
      </w:r>
      <w:r w:rsidR="00E85BE4">
        <w:rPr>
          <w:rFonts w:cstheme="minorHAnsi"/>
        </w:rPr>
        <w:t xml:space="preserve">not </w:t>
      </w:r>
      <w:r w:rsidR="00E85BE4" w:rsidRPr="00730A1B">
        <w:rPr>
          <w:rFonts w:cstheme="minorHAnsi"/>
        </w:rPr>
        <w:t>random</w:t>
      </w:r>
      <w:r>
        <w:rPr>
          <w:rFonts w:cstheme="minorHAnsi"/>
        </w:rPr>
        <w:t xml:space="preserve">, the error term </w:t>
      </w:r>
      <w:r w:rsidRPr="00730A1B">
        <w:rPr>
          <w:rFonts w:cstheme="minorHAnsi"/>
          <w:i/>
        </w:rPr>
        <w:t>e</w:t>
      </w:r>
      <w:r w:rsidRPr="004F3B23">
        <w:rPr>
          <w:rFonts w:cstheme="minorHAnsi"/>
          <w:i/>
          <w:vertAlign w:val="subscript"/>
        </w:rPr>
        <w:t>io</w:t>
      </w:r>
      <w:r>
        <w:rPr>
          <w:rFonts w:cstheme="minorHAnsi"/>
        </w:rPr>
        <w:t xml:space="preserve"> varies</w:t>
      </w:r>
      <w:r w:rsidRPr="004F3B23">
        <w:rPr>
          <w:rFonts w:cstheme="minorHAnsi"/>
        </w:rPr>
        <w:t xml:space="preserve"> systematically</w:t>
      </w:r>
      <w:r>
        <w:rPr>
          <w:rFonts w:cstheme="minorHAnsi"/>
        </w:rPr>
        <w:t xml:space="preserve"> by immigrant status</w:t>
      </w:r>
      <w:r w:rsidR="00E85BE4">
        <w:rPr>
          <w:rFonts w:cstheme="minorHAnsi"/>
        </w:rPr>
        <w:t xml:space="preserve">. </w:t>
      </w:r>
      <w:r>
        <w:rPr>
          <w:rFonts w:cstheme="minorHAnsi"/>
        </w:rPr>
        <w:t>This becomes</w:t>
      </w:r>
      <w:r w:rsidR="004D03D2">
        <w:rPr>
          <w:rFonts w:cstheme="minorHAnsi"/>
        </w:rPr>
        <w:t xml:space="preserve"> a straightforward example of </w:t>
      </w:r>
      <w:r w:rsidR="004D03D2">
        <w:rPr>
          <w:color w:val="000000"/>
        </w:rPr>
        <w:t xml:space="preserve">measurement error in </w:t>
      </w:r>
      <w:r w:rsidR="008B67B9">
        <w:rPr>
          <w:color w:val="000000"/>
        </w:rPr>
        <w:t>the dependent variable</w:t>
      </w:r>
      <w:r w:rsidR="004D03D2">
        <w:rPr>
          <w:color w:val="000000"/>
        </w:rPr>
        <w:t xml:space="preserve"> that is correlated with </w:t>
      </w:r>
      <w:r w:rsidR="00D21389">
        <w:rPr>
          <w:color w:val="000000"/>
        </w:rPr>
        <w:t xml:space="preserve">an </w:t>
      </w:r>
      <w:r w:rsidR="008B67B9">
        <w:rPr>
          <w:color w:val="000000"/>
        </w:rPr>
        <w:t>independent variable</w:t>
      </w:r>
      <w:r w:rsidR="00D21389">
        <w:rPr>
          <w:color w:val="000000"/>
        </w:rPr>
        <w:t xml:space="preserve"> k</w:t>
      </w:r>
      <w:r w:rsidR="008B67B9">
        <w:rPr>
          <w:color w:val="000000"/>
        </w:rPr>
        <w:t xml:space="preserve"> rather than random</w:t>
      </w:r>
      <w:r>
        <w:rPr>
          <w:color w:val="000000"/>
        </w:rPr>
        <w:t xml:space="preserve"> (Woodridge 2009, chapter 9)</w:t>
      </w:r>
      <w:r>
        <w:t>.</w:t>
      </w:r>
      <w:r w:rsidR="004D03D2" w:rsidRPr="00730A1B">
        <w:rPr>
          <w:rFonts w:cstheme="minorHAnsi"/>
        </w:rPr>
        <w:t xml:space="preserve"> </w:t>
      </w:r>
      <w:r w:rsidR="00E85BE4" w:rsidRPr="00730A1B">
        <w:rPr>
          <w:rFonts w:cstheme="minorHAnsi"/>
        </w:rPr>
        <w:t>Suppose the true</w:t>
      </w:r>
      <w:r w:rsidR="00E85BE4">
        <w:rPr>
          <w:rFonts w:cstheme="minorHAnsi"/>
        </w:rPr>
        <w:t xml:space="preserve"> </w:t>
      </w:r>
      <w:r w:rsidR="00E85BE4" w:rsidRPr="00730A1B">
        <w:rPr>
          <w:rFonts w:cstheme="minorHAnsi"/>
        </w:rPr>
        <w:t xml:space="preserve">data generating process for earnings </w:t>
      </w:r>
      <w:r w:rsidR="002F3777">
        <w:rPr>
          <w:rFonts w:cstheme="minorHAnsi"/>
        </w:rPr>
        <w:t xml:space="preserve">is </w:t>
      </w:r>
    </w:p>
    <w:p w:rsidR="00E85BE4" w:rsidRPr="00730A1B" w:rsidRDefault="00242319" w:rsidP="00E85BE4">
      <w:pPr>
        <w:autoSpaceDE w:val="0"/>
        <w:autoSpaceDN w:val="0"/>
        <w:adjustRightInd w:val="0"/>
        <w:spacing w:after="0" w:line="360" w:lineRule="auto"/>
        <w:jc w:val="center"/>
        <w:rPr>
          <w:rFonts w:cstheme="minorHAnsi"/>
        </w:rPr>
      </w:pPr>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io</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io</m:t>
            </m:r>
          </m:sub>
        </m:sSub>
        <m:r>
          <w:rPr>
            <w:rFonts w:ascii="Cambria Math" w:hAnsi="Cambria Math" w:cstheme="minorHAnsi"/>
          </w:rPr>
          <m:t>β+</m:t>
        </m:r>
        <m:sSub>
          <m:sSubPr>
            <m:ctrlPr>
              <w:rPr>
                <w:rFonts w:ascii="Cambria Math" w:hAnsi="Cambria Math" w:cstheme="minorHAnsi"/>
                <w:i/>
              </w:rPr>
            </m:ctrlPr>
          </m:sSubPr>
          <m:e>
            <m:r>
              <w:rPr>
                <w:rFonts w:ascii="Cambria Math" w:hAnsi="Cambria Math" w:cstheme="minorHAnsi"/>
              </w:rPr>
              <m:t>ϵ</m:t>
            </m:r>
          </m:e>
          <m:sub>
            <m:r>
              <w:rPr>
                <w:rFonts w:ascii="Cambria Math" w:hAnsi="Cambria Math" w:cstheme="minorHAnsi"/>
              </w:rPr>
              <m:t>io</m:t>
            </m:r>
          </m:sub>
        </m:sSub>
      </m:oMath>
      <w:r w:rsidR="00E85BE4" w:rsidRPr="00730A1B">
        <w:rPr>
          <w:rFonts w:cstheme="minorHAnsi"/>
        </w:rPr>
        <w:t xml:space="preserve"> (2)</w:t>
      </w:r>
      <w:r w:rsidR="002F3777">
        <w:rPr>
          <w:rFonts w:cstheme="minorHAnsi"/>
        </w:rPr>
        <w:t>,</w:t>
      </w:r>
    </w:p>
    <w:p w:rsidR="002E3A06" w:rsidRDefault="002F3777" w:rsidP="002E3A06">
      <w:pPr>
        <w:autoSpaceDE w:val="0"/>
        <w:autoSpaceDN w:val="0"/>
        <w:adjustRightInd w:val="0"/>
        <w:spacing w:after="0" w:line="360" w:lineRule="auto"/>
        <w:rPr>
          <w:rFonts w:cstheme="minorHAnsi"/>
          <w:oMath/>
        </w:rPr>
      </w:pPr>
      <w:r>
        <w:rPr>
          <w:rFonts w:cstheme="minorHAnsi"/>
        </w:rPr>
        <w:lastRenderedPageBreak/>
        <w:t xml:space="preserve">such that the </w:t>
      </w:r>
      <w:r w:rsidR="00E85BE4" w:rsidRPr="00730A1B">
        <w:rPr>
          <w:rFonts w:cstheme="minorHAnsi"/>
        </w:rPr>
        <w:t>vector</w:t>
      </w:r>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io</m:t>
            </m:r>
          </m:sub>
        </m:sSub>
      </m:oMath>
      <w:r w:rsidR="00E85BE4">
        <w:rPr>
          <w:rFonts w:cstheme="minorHAnsi"/>
        </w:rPr>
        <w:t xml:space="preserve"> </w:t>
      </w:r>
      <w:r w:rsidR="00E85BE4" w:rsidRPr="00730A1B">
        <w:rPr>
          <w:rFonts w:cstheme="minorHAnsi"/>
        </w:rPr>
        <w:t xml:space="preserve">captures various characteristics </w:t>
      </w:r>
      <w:r w:rsidR="00E85BE4">
        <w:rPr>
          <w:rFonts w:cstheme="minorHAnsi"/>
        </w:rPr>
        <w:t xml:space="preserve">related </w:t>
      </w:r>
      <w:r w:rsidR="00E85BE4" w:rsidRPr="00730A1B">
        <w:rPr>
          <w:rFonts w:cstheme="minorHAnsi"/>
        </w:rPr>
        <w:t xml:space="preserve">to earnings.  </w:t>
      </w:r>
      <w:r w:rsidR="00E85BE4">
        <w:rPr>
          <w:rFonts w:cstheme="minorHAnsi"/>
        </w:rPr>
        <w:t>T</w:t>
      </w:r>
      <w:r w:rsidR="00E85BE4" w:rsidRPr="00730A1B">
        <w:rPr>
          <w:rFonts w:cstheme="minorHAnsi"/>
        </w:rPr>
        <w:t>he error term for estimation of an equivalent specification with occupation-scores</w:t>
      </w:r>
    </w:p>
    <w:p w:rsidR="00E85BE4" w:rsidRPr="00730A1B" w:rsidRDefault="00242319" w:rsidP="00AD7D04">
      <w:pPr>
        <w:autoSpaceDE w:val="0"/>
        <w:autoSpaceDN w:val="0"/>
        <w:adjustRightInd w:val="0"/>
        <w:spacing w:after="0" w:line="360" w:lineRule="auto"/>
        <w:jc w:val="center"/>
        <w:rPr>
          <w:rFonts w:cstheme="minorHAnsi"/>
        </w:rPr>
      </w:pP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w</m:t>
                </m:r>
              </m:e>
            </m:acc>
          </m:e>
          <m:sub>
            <m:r>
              <w:rPr>
                <w:rFonts w:ascii="Cambria Math" w:hAnsi="Cambria Math" w:cstheme="minorHAnsi"/>
              </w:rPr>
              <m:t>o</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io</m:t>
            </m:r>
          </m:sub>
        </m:sSub>
        <m:r>
          <w:rPr>
            <w:rFonts w:ascii="Cambria Math" w:hAnsi="Cambria Math" w:cstheme="minorHAnsi"/>
          </w:rPr>
          <m:t>β+</m:t>
        </m:r>
        <m:sSub>
          <m:sSubPr>
            <m:ctrlPr>
              <w:rPr>
                <w:rFonts w:ascii="Cambria Math" w:hAnsi="Cambria Math" w:cstheme="minorHAnsi"/>
                <w:i/>
              </w:rPr>
            </m:ctrlPr>
          </m:sSubPr>
          <m:e>
            <m:r>
              <w:rPr>
                <w:rFonts w:ascii="Cambria Math" w:hAnsi="Cambria Math" w:cstheme="minorHAnsi"/>
              </w:rPr>
              <m:t>ξ</m:t>
            </m:r>
          </m:e>
          <m:sub>
            <m:r>
              <w:rPr>
                <w:rFonts w:ascii="Cambria Math" w:hAnsi="Cambria Math" w:cstheme="minorHAnsi"/>
              </w:rPr>
              <m:t>io</m:t>
            </m:r>
          </m:sub>
        </m:sSub>
      </m:oMath>
      <w:r w:rsidR="002E3A06">
        <w:rPr>
          <w:rFonts w:cstheme="minorHAnsi"/>
        </w:rPr>
        <w:t xml:space="preserve"> (3)</w:t>
      </w:r>
      <w:r w:rsidR="002F3777">
        <w:rPr>
          <w:rFonts w:cstheme="minorHAnsi"/>
        </w:rPr>
        <w:t>,</w:t>
      </w:r>
    </w:p>
    <w:p w:rsidR="00E85BE4" w:rsidRPr="00730A1B" w:rsidRDefault="002F3777" w:rsidP="00E85BE4">
      <w:pPr>
        <w:autoSpaceDE w:val="0"/>
        <w:autoSpaceDN w:val="0"/>
        <w:adjustRightInd w:val="0"/>
        <w:spacing w:after="0" w:line="360" w:lineRule="auto"/>
        <w:rPr>
          <w:rFonts w:cstheme="minorHAnsi"/>
        </w:rPr>
      </w:pPr>
      <w:r>
        <w:rPr>
          <w:rFonts w:cstheme="minorHAnsi"/>
        </w:rPr>
        <w:t>i</w:t>
      </w:r>
      <w:r w:rsidR="001C0872">
        <w:rPr>
          <w:rFonts w:cstheme="minorHAnsi"/>
        </w:rPr>
        <w:t xml:space="preserve">s </w:t>
      </w:r>
      <w:r w:rsidR="00E85BE4" w:rsidRPr="00730A1B">
        <w:rPr>
          <w:rFonts w:cstheme="minorHAnsi"/>
        </w:rPr>
        <w:t>given by.</w:t>
      </w:r>
    </w:p>
    <w:p w:rsidR="00E85BE4" w:rsidRPr="00730A1B" w:rsidRDefault="00242319" w:rsidP="00E85BE4">
      <w:pPr>
        <w:autoSpaceDE w:val="0"/>
        <w:autoSpaceDN w:val="0"/>
        <w:adjustRightInd w:val="0"/>
        <w:spacing w:after="0" w:line="360" w:lineRule="auto"/>
        <w:jc w:val="center"/>
        <w:rPr>
          <w:rFonts w:cstheme="minorHAnsi"/>
        </w:rPr>
      </w:pPr>
      <m:oMath>
        <m:sSub>
          <m:sSubPr>
            <m:ctrlPr>
              <w:rPr>
                <w:rFonts w:ascii="Cambria Math" w:hAnsi="Cambria Math" w:cstheme="minorHAnsi"/>
                <w:i/>
              </w:rPr>
            </m:ctrlPr>
          </m:sSubPr>
          <m:e>
            <m:r>
              <w:rPr>
                <w:rFonts w:ascii="Cambria Math" w:hAnsi="Cambria Math" w:cstheme="minorHAnsi"/>
              </w:rPr>
              <m:t>ξ</m:t>
            </m:r>
          </m:e>
          <m:sub>
            <m:r>
              <w:rPr>
                <w:rFonts w:ascii="Cambria Math" w:hAnsi="Cambria Math" w:cstheme="minorHAnsi"/>
              </w:rPr>
              <m:t>io</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ϵ</m:t>
            </m:r>
          </m:e>
          <m:sub>
            <m:r>
              <w:rPr>
                <w:rFonts w:ascii="Cambria Math" w:hAnsi="Cambria Math" w:cstheme="minorHAnsi"/>
              </w:rPr>
              <m:t>o</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io</m:t>
            </m:r>
          </m:sub>
        </m:sSub>
      </m:oMath>
      <w:r w:rsidR="002F3777">
        <w:rPr>
          <w:rFonts w:cstheme="minorHAnsi"/>
        </w:rPr>
        <w:t xml:space="preserve"> </w:t>
      </w:r>
      <w:r w:rsidR="002E3A06">
        <w:rPr>
          <w:rFonts w:cstheme="minorHAnsi"/>
        </w:rPr>
        <w:t>(4)</w:t>
      </w:r>
      <w:r w:rsidR="002F3777">
        <w:rPr>
          <w:rFonts w:cstheme="minorHAnsi"/>
        </w:rPr>
        <w:t>.</w:t>
      </w:r>
    </w:p>
    <w:p w:rsidR="00E85BE4" w:rsidRPr="002E3A06" w:rsidRDefault="00E85BE4" w:rsidP="00D91045">
      <w:pPr>
        <w:autoSpaceDE w:val="0"/>
        <w:autoSpaceDN w:val="0"/>
        <w:adjustRightInd w:val="0"/>
        <w:spacing w:after="0" w:line="360" w:lineRule="auto"/>
        <w:rPr>
          <w:rFonts w:cstheme="minorHAnsi"/>
        </w:rPr>
      </w:pPr>
      <w:r w:rsidRPr="00730A1B">
        <w:rPr>
          <w:rFonts w:cstheme="minorHAnsi"/>
        </w:rPr>
        <w:t xml:space="preserve">Estimates of </w:t>
      </w: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k</m:t>
            </m:r>
          </m:sub>
        </m:sSub>
      </m:oMath>
      <w:r w:rsidRPr="00730A1B">
        <w:rPr>
          <w:rFonts w:cstheme="minorHAnsi"/>
        </w:rPr>
        <w:t xml:space="preserve"> will be biased if </w:t>
      </w:r>
      <m:oMath>
        <m:r>
          <w:rPr>
            <w:rFonts w:ascii="Cambria Math" w:hAnsi="Cambria Math" w:cstheme="minorHAnsi"/>
          </w:rPr>
          <m:t>Cov(</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kio</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io</m:t>
            </m:r>
          </m:sub>
        </m:sSub>
        <m:r>
          <w:rPr>
            <w:rFonts w:ascii="Cambria Math" w:hAnsi="Cambria Math" w:cstheme="minorHAnsi" w:hint="eastAsia"/>
          </w:rPr>
          <m:t>)</m:t>
        </m:r>
        <m:r>
          <w:rPr>
            <w:rFonts w:ascii="Cambria Math" w:hAnsi="Cambria Math" w:cstheme="minorHAnsi" w:hint="eastAsia"/>
          </w:rPr>
          <m:t>≠</m:t>
        </m:r>
        <m:r>
          <w:rPr>
            <w:rFonts w:ascii="Cambria Math" w:hAnsi="Cambria Math" w:cstheme="minorHAnsi" w:hint="eastAsia"/>
          </w:rPr>
          <m:t>0</m:t>
        </m:r>
      </m:oMath>
      <w:r w:rsidRPr="00730A1B">
        <w:rPr>
          <w:rFonts w:cstheme="minorHAnsi"/>
        </w:rPr>
        <w:t xml:space="preserve">.  Since many </w:t>
      </w:r>
      <w:r>
        <w:rPr>
          <w:rFonts w:cstheme="minorHAnsi"/>
        </w:rPr>
        <w:t xml:space="preserve">of the </w:t>
      </w:r>
      <w:r w:rsidRPr="00730A1B">
        <w:rPr>
          <w:rFonts w:cstheme="minorHAnsi"/>
        </w:rPr>
        <w:t>characteristics</w:t>
      </w:r>
      <w:r>
        <w:rPr>
          <w:rFonts w:cstheme="minorHAnsi"/>
        </w:rPr>
        <w:t xml:space="preserve"> </w:t>
      </w:r>
      <w:r w:rsidRPr="00730A1B">
        <w:rPr>
          <w:rFonts w:cstheme="minorHAnsi"/>
        </w:rPr>
        <w:t xml:space="preserve">that affect cross-occupation earnings are also likely to affect within-occupation earnings, positive bias </w:t>
      </w:r>
      <w:r>
        <w:rPr>
          <w:rFonts w:cstheme="minorHAnsi"/>
        </w:rPr>
        <w:t>may</w:t>
      </w:r>
      <w:r w:rsidRPr="00730A1B">
        <w:rPr>
          <w:rFonts w:cstheme="minorHAnsi"/>
        </w:rPr>
        <w:t xml:space="preserve"> occur for groups with earnings below </w:t>
      </w: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w</m:t>
                </m:r>
              </m:e>
            </m:acc>
          </m:e>
          <m:sub>
            <m:r>
              <w:rPr>
                <w:rFonts w:ascii="Cambria Math" w:hAnsi="Cambria Math" w:cstheme="minorHAnsi"/>
              </w:rPr>
              <m:t>o</m:t>
            </m:r>
          </m:sub>
        </m:sSub>
      </m:oMath>
      <w:r w:rsidRPr="00730A1B">
        <w:rPr>
          <w:rFonts w:cstheme="minorHAnsi"/>
        </w:rPr>
        <w:t xml:space="preserve">. </w:t>
      </w:r>
      <w:r>
        <w:rPr>
          <w:rFonts w:cstheme="minorHAnsi"/>
        </w:rPr>
        <w:t xml:space="preserve">In other words, the returns to characteristics such as experience or time since migration may be overestimated for immigrant populations, with implications for the rate of assimilation </w:t>
      </w:r>
      <w:r w:rsidR="000E2019">
        <w:rPr>
          <w:rFonts w:cstheme="minorHAnsi"/>
        </w:rPr>
        <w:t xml:space="preserve">since it is estimated by comparing </w:t>
      </w:r>
      <w:r>
        <w:rPr>
          <w:rFonts w:cstheme="minorHAnsi"/>
        </w:rPr>
        <w:t>such returns to the native-born</w:t>
      </w:r>
      <w:r w:rsidR="000E2019">
        <w:rPr>
          <w:rFonts w:cstheme="minorHAnsi"/>
        </w:rPr>
        <w:t xml:space="preserve"> (below)</w:t>
      </w:r>
      <w:r>
        <w:rPr>
          <w:rFonts w:cstheme="minorHAnsi"/>
        </w:rPr>
        <w:t xml:space="preserve">. </w:t>
      </w:r>
      <w:r>
        <w:t xml:space="preserve">In our </w:t>
      </w:r>
      <w:r w:rsidRPr="00D003E2">
        <w:t>empirical model that follows, the potential bias if any would be found in the cohort dummy indicators that capture to returns to time spent in Canada among the foreign-born.</w:t>
      </w:r>
      <w:r w:rsidRPr="00D003E2">
        <w:rPr>
          <w:rStyle w:val="FootnoteReference"/>
          <w:rFonts w:cstheme="minorHAnsi"/>
        </w:rPr>
        <w:footnoteReference w:id="5"/>
      </w:r>
    </w:p>
    <w:p w:rsidR="00C80BAF" w:rsidRDefault="00C80BAF" w:rsidP="00D477E0">
      <w:pPr>
        <w:pStyle w:val="western"/>
        <w:spacing w:before="0" w:beforeAutospacing="0" w:after="0" w:line="360" w:lineRule="auto"/>
        <w:outlineLvl w:val="0"/>
        <w:rPr>
          <w:rFonts w:cstheme="minorHAnsi"/>
        </w:rPr>
      </w:pPr>
    </w:p>
    <w:p w:rsidR="00EE0F02" w:rsidRPr="00EE0F02" w:rsidRDefault="00EE0F02" w:rsidP="00D477E0">
      <w:pPr>
        <w:pStyle w:val="western"/>
        <w:spacing w:before="0" w:beforeAutospacing="0" w:after="0" w:line="360" w:lineRule="auto"/>
        <w:outlineLvl w:val="0"/>
        <w:rPr>
          <w:rFonts w:asciiTheme="minorHAnsi" w:hAnsiTheme="minorHAnsi" w:cs="Times New Roman"/>
          <w:b/>
          <w:sz w:val="22"/>
          <w:szCs w:val="22"/>
        </w:rPr>
      </w:pPr>
      <w:r w:rsidRPr="00EE0F02">
        <w:rPr>
          <w:rFonts w:asciiTheme="minorHAnsi" w:hAnsiTheme="minorHAnsi" w:cs="Times New Roman"/>
          <w:b/>
          <w:sz w:val="22"/>
          <w:szCs w:val="22"/>
        </w:rPr>
        <w:t>Data</w:t>
      </w:r>
    </w:p>
    <w:p w:rsidR="00DB5E08" w:rsidRDefault="00E44BDE">
      <w:pPr>
        <w:spacing w:line="360" w:lineRule="auto"/>
      </w:pPr>
      <w:r w:rsidRPr="00E44BDE">
        <w:t>Our assessment of the implic</w:t>
      </w:r>
      <w:r w:rsidR="00015CC3">
        <w:t>a</w:t>
      </w:r>
      <w:r w:rsidRPr="00E44BDE">
        <w:t xml:space="preserve">tions of occupation-fixed earnings uses three recently released Census samples </w:t>
      </w:r>
      <w:r w:rsidR="00105895">
        <w:t xml:space="preserve">that </w:t>
      </w:r>
      <w:r w:rsidRPr="00E44BDE">
        <w:t>capture 5, 4, and 3 percent of the records from the original 1911, 1921 and 1931 Census enumerations</w:t>
      </w:r>
      <w:r w:rsidR="00E07A5B">
        <w:t>, respectively</w:t>
      </w:r>
      <w:r w:rsidRPr="00E44BDE">
        <w:t xml:space="preserve">.  The data are nationally representative and report a wide range of relevant personal characteristics.  In addition to the usual Census variables available in other countries, the Canadian authorities were among the first to ask respondents to report their earnings.  Earnings coverage is reasonably complete for adult men in urban areas; most manual workers and </w:t>
      </w:r>
      <w:r w:rsidR="009655C0" w:rsidRPr="00E44BDE">
        <w:t>white</w:t>
      </w:r>
      <w:r w:rsidR="009655C0">
        <w:t>-</w:t>
      </w:r>
      <w:r w:rsidRPr="00E44BDE">
        <w:t xml:space="preserve">collar employees reported annual pay.  </w:t>
      </w:r>
      <w:r w:rsidR="009655C0">
        <w:t>Responses were</w:t>
      </w:r>
      <w:r w:rsidRPr="00E44BDE">
        <w:t xml:space="preserve"> less consistent for professionals, and few farmers or self-employed reported their pay.</w:t>
      </w:r>
      <w:r w:rsidR="00946221">
        <w:rPr>
          <w:rStyle w:val="FootnoteReference"/>
        </w:rPr>
        <w:footnoteReference w:id="6"/>
      </w:r>
      <w:r w:rsidRPr="00E44BDE">
        <w:t xml:space="preserve">  As a result, our analysis excludes farm owners and operators, who make up a significant share of the working population.</w:t>
      </w:r>
      <w:r w:rsidRPr="00E44BDE">
        <w:rPr>
          <w:rStyle w:val="FootnoteReference"/>
        </w:rPr>
        <w:footnoteReference w:id="7"/>
      </w:r>
      <w:r w:rsidR="002079D5">
        <w:t xml:space="preserve">  We further limit our attention to adult men between the age of 16 and 65 in each Census sample</w:t>
      </w:r>
      <w:r w:rsidR="00600A13">
        <w:t>, separating the native-born from the foreign-born in most of what follows</w:t>
      </w:r>
      <w:r w:rsidR="002079D5">
        <w:t>.</w:t>
      </w:r>
      <w:r w:rsidR="00600A13">
        <w:rPr>
          <w:rStyle w:val="FootnoteReference"/>
        </w:rPr>
        <w:footnoteReference w:id="8"/>
      </w:r>
      <w:r w:rsidRPr="00E44BDE">
        <w:t xml:space="preserve">  </w:t>
      </w:r>
    </w:p>
    <w:p w:rsidR="002B17BA" w:rsidRPr="00EE0F02" w:rsidRDefault="002B17BA" w:rsidP="00D477E0">
      <w:pPr>
        <w:pStyle w:val="western"/>
        <w:spacing w:before="0" w:beforeAutospacing="0" w:after="0" w:line="360" w:lineRule="auto"/>
        <w:outlineLvl w:val="0"/>
        <w:rPr>
          <w:rFonts w:asciiTheme="minorHAnsi" w:hAnsiTheme="minorHAnsi" w:cs="Times New Roman"/>
          <w:b/>
          <w:sz w:val="22"/>
          <w:szCs w:val="22"/>
        </w:rPr>
      </w:pPr>
      <w:r>
        <w:rPr>
          <w:rFonts w:asciiTheme="minorHAnsi" w:hAnsiTheme="minorHAnsi" w:cs="Times New Roman"/>
          <w:b/>
          <w:sz w:val="22"/>
          <w:szCs w:val="22"/>
        </w:rPr>
        <w:t>Earnings Distributions</w:t>
      </w:r>
    </w:p>
    <w:p w:rsidR="00163040" w:rsidRDefault="008B289F">
      <w:pPr>
        <w:spacing w:after="0" w:line="360" w:lineRule="auto"/>
      </w:pPr>
      <w:r w:rsidRPr="00390DBB">
        <w:lastRenderedPageBreak/>
        <w:t xml:space="preserve">A </w:t>
      </w:r>
      <w:r w:rsidR="00D477E0" w:rsidRPr="00390DBB">
        <w:t>brief</w:t>
      </w:r>
      <w:r w:rsidRPr="00390DBB">
        <w:t xml:space="preserve"> examination of earnings and occupations for the three Canadian censuses</w:t>
      </w:r>
      <w:r w:rsidR="006600E3" w:rsidRPr="00390DBB">
        <w:t xml:space="preserve"> shows how life-cycle patterns differ between individual earnings and </w:t>
      </w:r>
      <w:r w:rsidRPr="00390DBB">
        <w:t>fixed occupational income scores.</w:t>
      </w:r>
      <w:r w:rsidRPr="00163A97">
        <w:t xml:space="preserve"> </w:t>
      </w:r>
      <w:r w:rsidR="0007489E" w:rsidRPr="00390DBB">
        <w:t>Panel</w:t>
      </w:r>
      <w:r w:rsidR="001B5A20" w:rsidRPr="00390DBB">
        <w:t xml:space="preserve"> (i)</w:t>
      </w:r>
      <w:r w:rsidR="0007489E" w:rsidRPr="00390DBB">
        <w:t xml:space="preserve"> of </w:t>
      </w:r>
      <w:r w:rsidR="00CE1855" w:rsidRPr="00390DBB">
        <w:t xml:space="preserve">Figure 1 </w:t>
      </w:r>
      <w:r w:rsidR="00163040" w:rsidRPr="00390DBB">
        <w:t>present</w:t>
      </w:r>
      <w:r w:rsidR="00CE1855" w:rsidRPr="00390DBB">
        <w:t>s</w:t>
      </w:r>
      <w:r w:rsidR="00163040" w:rsidRPr="00390DBB">
        <w:t xml:space="preserve"> unconditional age-earnings profiles</w:t>
      </w:r>
      <w:r w:rsidR="00A268BE" w:rsidRPr="00390DBB">
        <w:t xml:space="preserve"> for </w:t>
      </w:r>
      <w:r w:rsidR="000F43FE" w:rsidRPr="00390DBB">
        <w:t xml:space="preserve">native-born </w:t>
      </w:r>
      <w:r w:rsidR="00A268BE" w:rsidRPr="00390DBB">
        <w:t>adult men</w:t>
      </w:r>
      <w:r w:rsidR="00163040" w:rsidRPr="00390DBB">
        <w:t xml:space="preserve"> from pooled Census data from 1911, 1921, and 1931.  </w:t>
      </w:r>
      <w:r w:rsidR="00EC374D" w:rsidRPr="00390DBB">
        <w:t xml:space="preserve">The comparison of </w:t>
      </w:r>
      <w:r w:rsidR="00163040" w:rsidRPr="00390DBB">
        <w:t xml:space="preserve">individual earnings by age with the </w:t>
      </w:r>
      <w:r w:rsidR="00432900" w:rsidRPr="00390DBB">
        <w:t>analogue</w:t>
      </w:r>
      <w:r w:rsidR="00163040" w:rsidRPr="00390DBB">
        <w:t xml:space="preserve"> for occupational incomes using 1911-based income scores</w:t>
      </w:r>
      <w:r w:rsidR="00EC374D" w:rsidRPr="00390DBB">
        <w:t xml:space="preserve"> </w:t>
      </w:r>
      <w:r w:rsidR="00A268BE" w:rsidRPr="00390DBB">
        <w:t>shows that differences are largest f</w:t>
      </w:r>
      <w:r w:rsidR="00EC374D" w:rsidRPr="00390DBB">
        <w:t>or</w:t>
      </w:r>
      <w:r w:rsidR="00A268BE" w:rsidRPr="00390DBB">
        <w:t xml:space="preserve"> </w:t>
      </w:r>
      <w:r w:rsidR="00EC374D" w:rsidRPr="00390DBB">
        <w:t>workers</w:t>
      </w:r>
      <w:r w:rsidR="00CE1855" w:rsidRPr="00390DBB">
        <w:t xml:space="preserve"> below the age of 35, and to a lesser extent those above the age of 55.</w:t>
      </w:r>
      <w:r w:rsidR="00CE1855">
        <w:t xml:space="preserve">  </w:t>
      </w:r>
      <w:r w:rsidR="00EC374D">
        <w:t xml:space="preserve">An income score, </w:t>
      </w:r>
      <w:r w:rsidR="006B28ED">
        <w:t xml:space="preserve">therefore, </w:t>
      </w:r>
      <w:r w:rsidR="004F29AC">
        <w:t>may</w:t>
      </w:r>
      <w:r w:rsidR="006B28ED">
        <w:t xml:space="preserve"> do an acceptable job of predicting peak earnings potential, </w:t>
      </w:r>
      <w:r w:rsidR="00EC374D">
        <w:t xml:space="preserve">and yet </w:t>
      </w:r>
      <w:r w:rsidR="001B6134">
        <w:t xml:space="preserve">fail to capture the growth of </w:t>
      </w:r>
      <w:r w:rsidR="006B28ED">
        <w:t xml:space="preserve">earnings </w:t>
      </w:r>
      <w:r w:rsidR="00144538">
        <w:t xml:space="preserve">with experience among </w:t>
      </w:r>
      <w:r w:rsidR="006B28ED">
        <w:t>young worker</w:t>
      </w:r>
      <w:r w:rsidR="001B6134">
        <w:t>s</w:t>
      </w:r>
      <w:r w:rsidR="006B28ED">
        <w:t>.</w:t>
      </w:r>
      <w:r w:rsidR="006313FD">
        <w:t xml:space="preserve"> </w:t>
      </w:r>
      <w:r w:rsidR="009655C0">
        <w:t xml:space="preserve"> </w:t>
      </w:r>
      <w:r w:rsidR="00E25FEF" w:rsidRPr="00390DBB">
        <w:t>P</w:t>
      </w:r>
      <w:r w:rsidR="0007489E" w:rsidRPr="00390DBB">
        <w:t>anel</w:t>
      </w:r>
      <w:r w:rsidR="00E25FEF" w:rsidRPr="00390DBB">
        <w:t xml:space="preserve"> </w:t>
      </w:r>
      <w:r w:rsidR="001B5A20" w:rsidRPr="00390DBB">
        <w:t xml:space="preserve">(ii) </w:t>
      </w:r>
      <w:r w:rsidR="00E25FEF" w:rsidRPr="00390DBB">
        <w:t xml:space="preserve">of Figure 1 </w:t>
      </w:r>
      <w:r w:rsidR="00BE562E" w:rsidRPr="00390DBB">
        <w:t>shows</w:t>
      </w:r>
      <w:r w:rsidR="000C6E8A" w:rsidRPr="00390DBB">
        <w:t xml:space="preserve"> </w:t>
      </w:r>
      <w:r w:rsidR="00E25FEF" w:rsidRPr="00390DBB">
        <w:t xml:space="preserve">that </w:t>
      </w:r>
      <w:r w:rsidR="000F43FE" w:rsidRPr="00390DBB">
        <w:t xml:space="preserve">in comparison to the native-born, occupation scores overstate the earnings of immigrants over a wider age range, and by a much larger amount among younger immigrants.  </w:t>
      </w:r>
      <w:r w:rsidR="000C6E8A" w:rsidRPr="00390DBB">
        <w:t xml:space="preserve">This is unsurprising given the age at which foreign-born </w:t>
      </w:r>
      <w:r w:rsidR="009655C0" w:rsidRPr="00390DBB">
        <w:t xml:space="preserve">workers often </w:t>
      </w:r>
      <w:r w:rsidR="000C6E8A" w:rsidRPr="00390DBB">
        <w:t>arrive, and the</w:t>
      </w:r>
      <w:r w:rsidR="009655C0" w:rsidRPr="00390DBB">
        <w:t xml:space="preserve"> subsequent </w:t>
      </w:r>
      <w:r w:rsidR="000C6E8A" w:rsidRPr="00390DBB">
        <w:t xml:space="preserve">accumulation of host country-specific human capital.  </w:t>
      </w:r>
      <w:r w:rsidRPr="00390DBB">
        <w:t>It means, however, that a</w:t>
      </w:r>
      <w:r w:rsidR="000C6E8A" w:rsidRPr="00390DBB">
        <w:t xml:space="preserve"> common age adjustment to occupational scores</w:t>
      </w:r>
      <w:r w:rsidRPr="00390DBB">
        <w:t xml:space="preserve"> </w:t>
      </w:r>
      <w:r w:rsidR="000F43FE" w:rsidRPr="00390DBB">
        <w:t>which may be fairly effective in other circumstances (Saavedra and Twi</w:t>
      </w:r>
      <w:r w:rsidR="005E1C1E" w:rsidRPr="00390DBB">
        <w:t>n</w:t>
      </w:r>
      <w:r w:rsidR="000F43FE" w:rsidRPr="00390DBB">
        <w:t>a</w:t>
      </w:r>
      <w:r w:rsidR="005E1C1E" w:rsidRPr="00390DBB">
        <w:t>m</w:t>
      </w:r>
      <w:r w:rsidR="000F43FE" w:rsidRPr="00390DBB">
        <w:t xml:space="preserve">, 2018) </w:t>
      </w:r>
      <w:r w:rsidR="000C6E8A" w:rsidRPr="00390DBB">
        <w:t>is unlikely to work well for stud</w:t>
      </w:r>
      <w:r w:rsidR="002E7C2F" w:rsidRPr="00390DBB">
        <w:t>i</w:t>
      </w:r>
      <w:r w:rsidR="00987039" w:rsidRPr="00390DBB">
        <w:t>es</w:t>
      </w:r>
      <w:r w:rsidR="000C6E8A" w:rsidRPr="00390DBB">
        <w:t xml:space="preserve"> of immigrant assimilation.</w:t>
      </w:r>
    </w:p>
    <w:p w:rsidR="00F965F5" w:rsidRDefault="00D477C0" w:rsidP="00D91045">
      <w:pPr>
        <w:spacing w:line="360" w:lineRule="auto"/>
        <w:ind w:firstLine="720"/>
      </w:pPr>
      <w:r>
        <w:t xml:space="preserve">How well do occupational income scores perform over time compared to individual data from the same occupations?  </w:t>
      </w:r>
      <w:r w:rsidR="0033724D">
        <w:t xml:space="preserve">Panel (i) </w:t>
      </w:r>
      <w:r w:rsidR="00850D61">
        <w:t xml:space="preserve">of </w:t>
      </w:r>
      <w:r w:rsidR="00A67AE6">
        <w:t xml:space="preserve">Table 1 shows </w:t>
      </w:r>
      <w:r w:rsidR="000E2019">
        <w:t xml:space="preserve">unconditional mean </w:t>
      </w:r>
      <w:r w:rsidR="00A67AE6">
        <w:t>earnings of major (</w:t>
      </w:r>
      <w:r w:rsidR="00B631B9">
        <w:t>1</w:t>
      </w:r>
      <w:r w:rsidR="00A67AE6">
        <w:t xml:space="preserve">-digit) occupation groups relative to that of labourers.  We compare individual earnings with own-year occupation earnings and 1950 IPUMS-USA earnings for 1911, 1921, and 1931. </w:t>
      </w:r>
      <w:r w:rsidR="00953311" w:rsidRPr="003615CC">
        <w:t>Unsurprisingly, the own-year-based occupational score (OCC-Y) does not stray far from actual earnings in most comparisons</w:t>
      </w:r>
      <w:r w:rsidR="00C80BAF">
        <w:t>. T</w:t>
      </w:r>
      <w:r w:rsidR="00953311" w:rsidRPr="003615CC">
        <w:t xml:space="preserve">he 1950-based score understates the </w:t>
      </w:r>
      <w:r w:rsidR="00D049D4">
        <w:t xml:space="preserve">mean </w:t>
      </w:r>
      <w:r w:rsidR="00953311" w:rsidRPr="003615CC">
        <w:t xml:space="preserve">earnings of higher skilled groups relative to labourers in 1931, and it understates the earnings of service workers relative to labourers in 1911 and 1921. At the level of individual occupations (panel ii), the 1950-based score markedly understates income relative to labourers for all categories in 1931 and for most although not all occupations in 1911 and 1921. The greater the earnings premium over labourers, the more 1950-based occupational earnings understate the earnings gap.  This is consistent with the compression of earnings that took place in the US </w:t>
      </w:r>
      <w:r w:rsidR="00E25FEF">
        <w:t xml:space="preserve">and Canada </w:t>
      </w:r>
      <w:r w:rsidR="00953311" w:rsidRPr="003615CC">
        <w:t>between 1930 and 1950 (Goldin and Margo, 1992; Green and Green 2016).  The most importan</w:t>
      </w:r>
      <w:r w:rsidR="00CE191D">
        <w:t>t</w:t>
      </w:r>
      <w:r w:rsidR="00953311" w:rsidRPr="003615CC">
        <w:t xml:space="preserve"> finding here</w:t>
      </w:r>
      <w:r w:rsidR="00D9474B">
        <w:t xml:space="preserve"> is that </w:t>
      </w:r>
      <w:r w:rsidR="00953311" w:rsidRPr="003615CC">
        <w:t xml:space="preserve">1950-based occupational earnings miss entirely the considerable increase in inequality experienced in 1931. </w:t>
      </w:r>
    </w:p>
    <w:p w:rsidR="007A7654" w:rsidRDefault="007F79FD" w:rsidP="00D91045">
      <w:pPr>
        <w:spacing w:line="360" w:lineRule="auto"/>
        <w:ind w:firstLine="720"/>
      </w:pPr>
      <w:r>
        <w:t xml:space="preserve">Table 1 </w:t>
      </w:r>
      <w:r w:rsidR="0033724D">
        <w:t>ignores</w:t>
      </w:r>
      <w:r>
        <w:t xml:space="preserve"> variance in earnings within </w:t>
      </w:r>
      <w:r w:rsidR="00DF4475">
        <w:t xml:space="preserve">occupation categories. </w:t>
      </w:r>
      <w:r w:rsidR="00850D61">
        <w:t>T</w:t>
      </w:r>
      <w:r w:rsidR="00DF4475">
        <w:t>h</w:t>
      </w:r>
      <w:r w:rsidR="000643E9">
        <w:t xml:space="preserve">e absence of such information may be problematic </w:t>
      </w:r>
      <w:r w:rsidR="00DF4475">
        <w:t xml:space="preserve">in the context of theories </w:t>
      </w:r>
      <w:r w:rsidR="000643E9">
        <w:t>explain</w:t>
      </w:r>
      <w:r w:rsidR="008B289F">
        <w:t>ing</w:t>
      </w:r>
      <w:r w:rsidR="00DF4475">
        <w:t xml:space="preserve"> immigrant earnings assimilation.</w:t>
      </w:r>
      <w:r w:rsidR="00A91FD6">
        <w:t xml:space="preserve">  </w:t>
      </w:r>
      <w:r w:rsidR="000176FC">
        <w:t xml:space="preserve"> </w:t>
      </w:r>
      <w:r w:rsidR="005E6204">
        <w:t>W</w:t>
      </w:r>
      <w:r w:rsidR="000176FC">
        <w:t xml:space="preserve">ithin-occupation gaps in pay might be associated with labour market discrimination against immigrants (Buffum and Whaples, 1995).  </w:t>
      </w:r>
      <w:r w:rsidR="00A91FD6">
        <w:t>Acquisiti</w:t>
      </w:r>
      <w:r w:rsidR="00F65620">
        <w:t>o</w:t>
      </w:r>
      <w:r w:rsidR="00A91FD6">
        <w:t>n of host-country human capital, in the form of language and other capabilities, should raise productivity within occupations</w:t>
      </w:r>
      <w:r w:rsidR="000176FC">
        <w:t xml:space="preserve">, leading to changing within-occupation earnings gaps with age and experience.  </w:t>
      </w:r>
      <w:r w:rsidR="00913D53">
        <w:t xml:space="preserve">Figure </w:t>
      </w:r>
      <w:r w:rsidR="00377A84">
        <w:t>3</w:t>
      </w:r>
      <w:r w:rsidR="00E47B20">
        <w:t xml:space="preserve"> </w:t>
      </w:r>
      <w:r w:rsidR="00913D53">
        <w:t>shows</w:t>
      </w:r>
      <w:r w:rsidR="0084315F">
        <w:t xml:space="preserve"> earnings gaps </w:t>
      </w:r>
      <w:r w:rsidR="0084315F">
        <w:lastRenderedPageBreak/>
        <w:t>between the native-born and immigrant</w:t>
      </w:r>
      <w:r w:rsidR="000643E9">
        <w:t>s</w:t>
      </w:r>
      <w:r w:rsidR="0084315F">
        <w:t xml:space="preserve"> </w:t>
      </w:r>
      <w:r w:rsidR="00913D53">
        <w:t xml:space="preserve">for the six </w:t>
      </w:r>
      <w:r w:rsidR="0084315F">
        <w:t xml:space="preserve">1-digit occupation categories </w:t>
      </w:r>
      <w:r w:rsidR="00913D53">
        <w:t>in the 1931 sample.</w:t>
      </w:r>
      <w:r w:rsidR="00913D53">
        <w:rPr>
          <w:rStyle w:val="FootnoteReference"/>
        </w:rPr>
        <w:footnoteReference w:id="9"/>
      </w:r>
      <w:r w:rsidR="00913D53">
        <w:t xml:space="preserve">  </w:t>
      </w:r>
      <w:r w:rsidR="00675CEC" w:rsidRPr="00390DBB">
        <w:t>The figure show</w:t>
      </w:r>
      <w:r w:rsidR="00913D53" w:rsidRPr="00390DBB">
        <w:t>s</w:t>
      </w:r>
      <w:r w:rsidR="00675CEC" w:rsidRPr="00390DBB">
        <w:t xml:space="preserve"> that </w:t>
      </w:r>
      <w:r w:rsidR="005E6204" w:rsidRPr="00390DBB">
        <w:t>immigrant earnings were lower within all broad groups.</w:t>
      </w:r>
      <w:r w:rsidR="005E6204" w:rsidRPr="00390DBB">
        <w:rPr>
          <w:rStyle w:val="FootnoteReference"/>
        </w:rPr>
        <w:footnoteReference w:id="10"/>
      </w:r>
      <w:r w:rsidR="005E6204" w:rsidRPr="00390DBB">
        <w:t xml:space="preserve"> </w:t>
      </w:r>
      <w:r w:rsidR="00387E56" w:rsidRPr="00390DBB">
        <w:t>The figure also make</w:t>
      </w:r>
      <w:r w:rsidR="00377A84" w:rsidRPr="00390DBB">
        <w:t>s</w:t>
      </w:r>
      <w:r w:rsidR="00387E56" w:rsidRPr="00390DBB">
        <w:t xml:space="preserve"> clear that the variation in earnings within 1-digit groups was wide, particularly among </w:t>
      </w:r>
      <w:r w:rsidR="005E6204" w:rsidRPr="00390DBB">
        <w:t>immigrants in lower skill groups.</w:t>
      </w:r>
      <w:r w:rsidR="00387E56">
        <w:t xml:space="preserve">  Th</w:t>
      </w:r>
      <w:r w:rsidR="00913D53">
        <w:t>e implication is that</w:t>
      </w:r>
      <w:r w:rsidR="00387E56">
        <w:t xml:space="preserve"> there was plenty of scope for </w:t>
      </w:r>
      <w:r w:rsidR="000643E9">
        <w:t xml:space="preserve">substantial life-cycle </w:t>
      </w:r>
      <w:r w:rsidR="00387E56">
        <w:t>changes in pay within occupations</w:t>
      </w:r>
      <w:r w:rsidR="000643E9">
        <w:t>.</w:t>
      </w:r>
    </w:p>
    <w:p w:rsidR="00C026CB" w:rsidRPr="00161753" w:rsidRDefault="00C026CB">
      <w:pPr>
        <w:spacing w:after="0" w:line="360" w:lineRule="auto"/>
      </w:pPr>
    </w:p>
    <w:p w:rsidR="00EE0F02" w:rsidRDefault="00122371" w:rsidP="00D477E0">
      <w:pPr>
        <w:spacing w:after="0" w:line="360" w:lineRule="auto"/>
        <w:outlineLvl w:val="0"/>
        <w:rPr>
          <w:b/>
        </w:rPr>
      </w:pPr>
      <w:r>
        <w:rPr>
          <w:b/>
        </w:rPr>
        <w:t xml:space="preserve">Immigrant </w:t>
      </w:r>
      <w:r w:rsidR="00C026CB">
        <w:rPr>
          <w:b/>
        </w:rPr>
        <w:t>Earnings Assimilation</w:t>
      </w:r>
    </w:p>
    <w:p w:rsidR="00EE0F02" w:rsidRDefault="00300CE1" w:rsidP="00EE0F02">
      <w:pPr>
        <w:spacing w:after="0" w:line="360" w:lineRule="auto"/>
      </w:pPr>
      <w:r>
        <w:t xml:space="preserve">We </w:t>
      </w:r>
      <w:r w:rsidR="00545E5A">
        <w:t>use</w:t>
      </w:r>
      <w:r>
        <w:t xml:space="preserve"> a simple Mincer-type earnings function to model relative immigrant earnings in </w:t>
      </w:r>
      <w:r w:rsidR="0077035E">
        <w:t>each cross-section.  The regression takes the following form:</w:t>
      </w:r>
    </w:p>
    <w:p w:rsidR="00EE0F02" w:rsidRDefault="00242319" w:rsidP="00DC5FCF">
      <w:pPr>
        <w:spacing w:after="0" w:line="360" w:lineRule="auto"/>
        <w:ind w:firstLine="720"/>
      </w:pPr>
      <m:oMath>
        <m:sSub>
          <m:sSubPr>
            <m:ctrlPr>
              <w:rPr>
                <w:rFonts w:ascii="Cambria Math" w:hAnsi="Cambria Math"/>
                <w:i/>
              </w:rPr>
            </m:ctrlPr>
          </m:sSubPr>
          <m:e>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e>
          <m:sub>
            <m:r>
              <w:rPr>
                <w:rFonts w:ascii="Cambria Math" w:hAnsi="Cambria Math"/>
              </w:rPr>
              <m:t>i</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age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Sup>
          <m:sSubSupPr>
            <m:ctrlPr>
              <w:rPr>
                <w:rFonts w:ascii="Cambria Math" w:hAnsi="Cambria Math"/>
                <w:i/>
              </w:rPr>
            </m:ctrlPr>
          </m:sSubSupPr>
          <m:e>
            <m:r>
              <w:rPr>
                <w:rFonts w:ascii="Cambria Math" w:hAnsi="Cambria Math"/>
              </w:rPr>
              <m:t>age</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'χ+</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'δ+</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FC4EA2">
        <w:t xml:space="preserve">      (</w:t>
      </w:r>
      <w:r w:rsidR="002330A3">
        <w:t>5</w:t>
      </w:r>
      <w:r w:rsidR="00FC4EA2">
        <w:t>)</w:t>
      </w:r>
    </w:p>
    <w:p w:rsidR="00F965F5" w:rsidRDefault="00F965F5" w:rsidP="00D91045">
      <w:pPr>
        <w:spacing w:after="0" w:line="360" w:lineRule="auto"/>
      </w:pPr>
      <w:r>
        <w:t>On the right-hand side of equation (</w:t>
      </w:r>
      <w:r w:rsidR="002330A3">
        <w:t>5</w:t>
      </w:r>
      <w:r>
        <w:t>), age and the square of age trace out the usual profile of the returns to experience.</w:t>
      </w:r>
      <w:r>
        <w:rPr>
          <w:rStyle w:val="FootnoteReference"/>
        </w:rPr>
        <w:footnoteReference w:id="11"/>
      </w:r>
      <w:r>
        <w:t xml:space="preserve">  </w:t>
      </w:r>
      <w:r w:rsidRPr="00161753">
        <w:rPr>
          <w:i/>
        </w:rPr>
        <w:t>X</w:t>
      </w:r>
      <w:r w:rsidRPr="00AD7D04">
        <w:rPr>
          <w:i/>
          <w:vertAlign w:val="subscript"/>
        </w:rPr>
        <w:t>i</w:t>
      </w:r>
      <w:r>
        <w:t xml:space="preserve"> is a vector of additional personal and geographic characteristics – in our models, these include whether the respondent speaks English, and the province or region of residence.</w:t>
      </w:r>
      <w:r>
        <w:rPr>
          <w:rStyle w:val="FootnoteReference"/>
        </w:rPr>
        <w:footnoteReference w:id="12"/>
      </w:r>
      <w:r>
        <w:t xml:space="preserve">  Finally, </w:t>
      </w:r>
      <w:r w:rsidRPr="00161753">
        <w:rPr>
          <w:i/>
        </w:rPr>
        <w:t>C</w:t>
      </w:r>
      <w:r w:rsidRPr="00AD7D04">
        <w:rPr>
          <w:i/>
          <w:vertAlign w:val="subscript"/>
        </w:rPr>
        <w:t>i</w:t>
      </w:r>
      <w:r>
        <w:t xml:space="preserve"> is a vector of cohort identifiers for immigrants that that serve capture inter-cohort differences in relative earnings in each cross-section.  </w:t>
      </w:r>
      <w:r w:rsidR="00A52C45">
        <w:t>The data include both native-born and immigrant men, so t</w:t>
      </w:r>
      <w:r>
        <w:t xml:space="preserve">he pattern of </w:t>
      </w:r>
      <w:r w:rsidRPr="00161753">
        <w:rPr>
          <w:rFonts w:asciiTheme="majorHAnsi" w:hAnsiTheme="majorHAnsi" w:cs="Lucida Grande"/>
          <w:i/>
          <w:color w:val="000000"/>
        </w:rPr>
        <w:t>δ</w:t>
      </w:r>
      <w:r>
        <w:t xml:space="preserve"> coefficients across the three cross-sections provides an indicator of longitudinal earnings progression </w:t>
      </w:r>
      <w:r w:rsidR="00A52C45">
        <w:t xml:space="preserve">relative to the native-born </w:t>
      </w:r>
      <w:r>
        <w:t>among synthetic cohorts</w:t>
      </w:r>
      <w:r w:rsidR="00A52C45">
        <w:t xml:space="preserve"> of immigrants</w:t>
      </w:r>
      <w:r>
        <w:t>, as well as differences in entry effects and the relative earnings of cohorts at different points in time.</w:t>
      </w:r>
    </w:p>
    <w:p w:rsidR="000176FC" w:rsidRDefault="00354501" w:rsidP="000176FC">
      <w:pPr>
        <w:spacing w:line="360" w:lineRule="auto"/>
        <w:ind w:firstLine="720"/>
      </w:pPr>
      <w:r>
        <w:t xml:space="preserve">The dependent variable </w:t>
      </w:r>
      <w:r w:rsidRPr="00A1135B">
        <w:rPr>
          <w:rFonts w:asciiTheme="majorBidi" w:hAnsiTheme="majorBidi" w:cstheme="majorBidi"/>
          <w:i/>
          <w:iCs/>
        </w:rPr>
        <w:t>Y</w:t>
      </w:r>
      <w:r w:rsidRPr="00A1135B">
        <w:rPr>
          <w:rFonts w:asciiTheme="majorBidi" w:hAnsiTheme="majorBidi" w:cstheme="majorBidi"/>
          <w:i/>
          <w:iCs/>
          <w:vertAlign w:val="subscript"/>
        </w:rPr>
        <w:t>i</w:t>
      </w:r>
      <w:r>
        <w:t xml:space="preserve"> </w:t>
      </w:r>
      <w:r w:rsidRPr="006A528B">
        <w:t xml:space="preserve">is </w:t>
      </w:r>
      <w:r w:rsidR="00AB003C">
        <w:t xml:space="preserve">either </w:t>
      </w:r>
      <w:r w:rsidR="007A3670">
        <w:t xml:space="preserve">real </w:t>
      </w:r>
      <w:r w:rsidR="00AB003C">
        <w:t xml:space="preserve">individual </w:t>
      </w:r>
      <w:r>
        <w:t>earnings</w:t>
      </w:r>
      <w:r w:rsidR="00AB003C">
        <w:t>,</w:t>
      </w:r>
      <w:r>
        <w:t xml:space="preserve"> or one of </w:t>
      </w:r>
      <w:r w:rsidR="00AC1756">
        <w:t>f</w:t>
      </w:r>
      <w:r w:rsidR="000F43FE">
        <w:t>ive</w:t>
      </w:r>
      <w:r w:rsidR="00AC1756">
        <w:t xml:space="preserve"> </w:t>
      </w:r>
      <w:r w:rsidR="00F965F5">
        <w:t>occupational income scores</w:t>
      </w:r>
      <w:r>
        <w:t>.</w:t>
      </w:r>
      <w:r w:rsidR="003124D7">
        <w:rPr>
          <w:rStyle w:val="FootnoteReference"/>
        </w:rPr>
        <w:footnoteReference w:id="13"/>
      </w:r>
      <w:r w:rsidR="000176FC">
        <w:t xml:space="preserve">  The differences in how these occupation scores are constructed reflect how information is potentially lost under different aggregation strategies.  </w:t>
      </w:r>
      <w:r w:rsidR="00B3033D">
        <w:t>Four</w:t>
      </w:r>
      <w:r w:rsidR="000176FC">
        <w:t xml:space="preserve"> of these measures are constructed directly from the Census data.  We use the 1950 </w:t>
      </w:r>
      <w:r w:rsidR="00015CC3">
        <w:t xml:space="preserve">US </w:t>
      </w:r>
      <w:r w:rsidR="000176FC">
        <w:t xml:space="preserve">Census occupation codes as a common base </w:t>
      </w:r>
      <w:r w:rsidR="000E2019">
        <w:t xml:space="preserve">for </w:t>
      </w:r>
      <w:r w:rsidR="000176FC">
        <w:t>mean earnings measures at the 3-digit level.  In cases where an occupation score would be based on fewer than 20 observations, that earnings measure is represented instead with the corresponding 1-digit mean.</w:t>
      </w:r>
    </w:p>
    <w:p w:rsidR="000176FC" w:rsidRDefault="000176FC" w:rsidP="000176FC">
      <w:pPr>
        <w:spacing w:line="360" w:lineRule="auto"/>
        <w:ind w:firstLine="720"/>
      </w:pPr>
      <w:r>
        <w:lastRenderedPageBreak/>
        <w:t xml:space="preserve"> The first occupation code, OCC, assigns individuals across all census years the average real earnings of employed adult men in their occupational category in the 1911 Census sample.  The second measure, OCC-Y, differs from the first by assigning occupation-mean earnings specific to each census year.</w:t>
      </w:r>
      <w:r>
        <w:rPr>
          <w:rStyle w:val="FootnoteReference"/>
        </w:rPr>
        <w:footnoteReference w:id="14"/>
      </w:r>
      <w:r>
        <w:t xml:space="preserve">  Relative to the first measure, OCC-Y allows for shifts in the return to occupational skill over time.   The third measure, OCC-G, employs separate occupational scores for three </w:t>
      </w:r>
      <w:r w:rsidR="00F965F5">
        <w:t xml:space="preserve">groups </w:t>
      </w:r>
      <w:r>
        <w:t xml:space="preserve">in the 1911 census: </w:t>
      </w:r>
      <w:r w:rsidR="00F965F5">
        <w:t xml:space="preserve">the </w:t>
      </w:r>
      <w:r>
        <w:t>native-born, “free” immigrants from the United States or Britain (including Ireland)</w:t>
      </w:r>
      <w:r w:rsidR="00317E25">
        <w:t xml:space="preserve"> and “other”</w:t>
      </w:r>
      <w:r>
        <w:t xml:space="preserve"> immigrants from </w:t>
      </w:r>
      <w:r w:rsidR="00317E25">
        <w:t>continental European</w:t>
      </w:r>
      <w:r>
        <w:t xml:space="preserve"> countries</w:t>
      </w:r>
      <w:r w:rsidR="00317E25">
        <w:rPr>
          <w:rStyle w:val="FootnoteReference"/>
        </w:rPr>
        <w:footnoteReference w:id="15"/>
      </w:r>
      <w:r>
        <w:t xml:space="preserve">. </w:t>
      </w:r>
      <w:r w:rsidR="00B3033D" w:rsidRPr="00390DBB">
        <w:t>A fourth specification, OCC-A5, estimates occupational earnings for 5-year age bands.</w:t>
      </w:r>
      <w:r w:rsidR="00B3033D">
        <w:t xml:space="preserve">  </w:t>
      </w:r>
      <w:r>
        <w:t>The final measure, OCC 50, is the IPUMS-USA occupational income score, which has been widely used in the recent literature.  This score assigns median occupation wages in the 1950 US census to individuals in a relevant occupation.</w:t>
      </w:r>
      <w:r>
        <w:rPr>
          <w:rStyle w:val="FootnoteReference"/>
        </w:rPr>
        <w:footnoteReference w:id="16"/>
      </w:r>
      <w:r>
        <w:t xml:space="preserve">  </w:t>
      </w:r>
    </w:p>
    <w:p w:rsidR="009C4E3A" w:rsidRDefault="009C4E3A" w:rsidP="00AD7D04">
      <w:pPr>
        <w:spacing w:after="0" w:line="360" w:lineRule="auto"/>
        <w:ind w:firstLine="720"/>
      </w:pPr>
      <w:r>
        <w:t xml:space="preserve">While our empirical approach follows well-established lines in the literature, two shortcomings should be acknowledged.  We analyse synthetic cohorts rather than a true panel of individuals observed at more than one point in time.  Our results are therefore sensitive to issues of selection in terms of who remained in Canada in successive census years, among both the foreign-born and native-born Canadians. </w:t>
      </w:r>
      <w:r w:rsidR="0056284A">
        <w:t>Recent research drawing upon panel data of individual immigrants for the United States has shown that the presence of selective return migration can lead to an overstatement of the rate of immigrant assimilation in repeated cross-sections (Abramitzky, Boustan and Eriksson 2014</w:t>
      </w:r>
      <w:r w:rsidR="00390DBB">
        <w:t>; 2016</w:t>
      </w:r>
      <w:r w:rsidR="0056284A">
        <w:t xml:space="preserve">).  </w:t>
      </w:r>
      <w:r>
        <w:t xml:space="preserve">Second, </w:t>
      </w:r>
      <w:r w:rsidR="00DF3D4D">
        <w:t xml:space="preserve">because of under-reporting by </w:t>
      </w:r>
      <w:r>
        <w:t xml:space="preserve">proprietors and the self-employed </w:t>
      </w:r>
      <w:r w:rsidR="00750464">
        <w:t xml:space="preserve">and </w:t>
      </w:r>
      <w:r>
        <w:t xml:space="preserve">previous evidence of greater immigrant mobility into proprietor-type activity over time (Minns, 2000), </w:t>
      </w:r>
      <w:r w:rsidR="00750464">
        <w:t xml:space="preserve">we may not </w:t>
      </w:r>
      <w:r>
        <w:t>fully capture the dynamics of immigrant labour markets in urban areas.</w:t>
      </w:r>
    </w:p>
    <w:p w:rsidR="00AD0E11" w:rsidRDefault="00A02B30" w:rsidP="00A75C6B">
      <w:pPr>
        <w:spacing w:after="0" w:line="360" w:lineRule="auto"/>
      </w:pPr>
      <w:r>
        <w:tab/>
      </w:r>
      <w:r w:rsidR="0056284A">
        <w:t>The full set of r</w:t>
      </w:r>
      <w:r w:rsidR="00232043" w:rsidRPr="00390DBB">
        <w:t xml:space="preserve">egression coefficients </w:t>
      </w:r>
      <w:r w:rsidR="0056284A">
        <w:t xml:space="preserve">from our model </w:t>
      </w:r>
      <w:r w:rsidR="00232043" w:rsidRPr="00390DBB">
        <w:t xml:space="preserve">are presented in </w:t>
      </w:r>
      <w:r w:rsidR="005E6204" w:rsidRPr="00390DBB">
        <w:t>a companion on-line appendix</w:t>
      </w:r>
      <w:r w:rsidR="00232043" w:rsidRPr="00390DBB">
        <w:t>.</w:t>
      </w:r>
      <w:r w:rsidR="005E6204" w:rsidRPr="00390DBB">
        <w:rPr>
          <w:rStyle w:val="FootnoteReference"/>
        </w:rPr>
        <w:footnoteReference w:id="17"/>
      </w:r>
      <w:r w:rsidR="00232043">
        <w:t xml:space="preserve">  </w:t>
      </w:r>
      <w:r w:rsidR="000A0601">
        <w:t xml:space="preserve">In each case we restrict our attention to the cohort born between 1865 and 1895, who are working age in 1911 and remain thus throughout the three periods. </w:t>
      </w:r>
      <w:r w:rsidR="00094C62">
        <w:t xml:space="preserve"> </w:t>
      </w:r>
      <w:r w:rsidR="00C85ADC">
        <w:t>T</w:t>
      </w:r>
      <w:r w:rsidR="00232043">
        <w:t xml:space="preserve">o </w:t>
      </w:r>
      <w:r w:rsidR="00810A73">
        <w:t xml:space="preserve">illustrate how </w:t>
      </w:r>
      <w:r w:rsidR="000D01B0">
        <w:t>estimates of assimilation are affected by the choice or outcome measure</w:t>
      </w:r>
      <w:r w:rsidR="00232043">
        <w:t>,</w:t>
      </w:r>
      <w:r w:rsidR="000D01B0">
        <w:t xml:space="preserve"> </w:t>
      </w:r>
      <w:r w:rsidR="009105CE">
        <w:t>Table 2</w:t>
      </w:r>
      <w:r w:rsidR="00AE185C">
        <w:t xml:space="preserve"> </w:t>
      </w:r>
      <w:r w:rsidR="009105CE">
        <w:t xml:space="preserve">presents </w:t>
      </w:r>
      <w:r w:rsidR="00F965F5">
        <w:t xml:space="preserve">the </w:t>
      </w:r>
      <w:r w:rsidR="00C85ADC">
        <w:t xml:space="preserve">coefficients </w:t>
      </w:r>
      <w:r w:rsidR="009105CE">
        <w:t xml:space="preserve">on cohort </w:t>
      </w:r>
      <w:r w:rsidR="00F965F5">
        <w:t xml:space="preserve">indicators </w:t>
      </w:r>
      <w:r w:rsidR="009105CE">
        <w:t xml:space="preserve">that capture the relative earnings of each group </w:t>
      </w:r>
      <w:r w:rsidR="00A52C45">
        <w:t xml:space="preserve">against the native-born </w:t>
      </w:r>
      <w:r w:rsidR="009105CE">
        <w:t>in each Census after controlling for other differences relative to the native-born</w:t>
      </w:r>
      <w:r w:rsidR="008B289F">
        <w:t xml:space="preserve"> for the alternative income </w:t>
      </w:r>
      <w:r w:rsidR="008B289F">
        <w:lastRenderedPageBreak/>
        <w:t>measures used</w:t>
      </w:r>
      <w:r w:rsidR="009105CE">
        <w:t xml:space="preserve">.  Table 2 shows </w:t>
      </w:r>
      <w:r w:rsidR="00C85ADC">
        <w:t>that restricting earnings to a fixed occupation measure has a substantial effect on estimates of labour market assimilation, and on level differences in earnings between immigrants and the native-born.  When using individual earnings, we document modest assimilation between 1911 and 1921 for cohorts arriving 1901 to 19</w:t>
      </w:r>
      <w:r w:rsidR="002079D5">
        <w:t>1</w:t>
      </w:r>
      <w:r w:rsidR="009105CE">
        <w:t>0</w:t>
      </w:r>
      <w:r w:rsidR="00C85ADC">
        <w:t xml:space="preserve"> (about </w:t>
      </w:r>
      <w:r w:rsidR="00141090">
        <w:t xml:space="preserve">5 </w:t>
      </w:r>
      <w:r w:rsidR="00C85ADC">
        <w:t>log points)</w:t>
      </w:r>
      <w:r w:rsidR="00141090">
        <w:t>.  In the next decade, the 1901-</w:t>
      </w:r>
      <w:r w:rsidR="002079D5">
        <w:t>1</w:t>
      </w:r>
      <w:r w:rsidR="00141090">
        <w:t>0 cohort</w:t>
      </w:r>
      <w:r w:rsidR="002079D5">
        <w:t>s</w:t>
      </w:r>
      <w:r w:rsidR="00141090">
        <w:t xml:space="preserve"> diverge from the native born slightly and those arriving between 19</w:t>
      </w:r>
      <w:r w:rsidR="009105CE">
        <w:t>11</w:t>
      </w:r>
      <w:r w:rsidR="00141090">
        <w:t xml:space="preserve"> and 19</w:t>
      </w:r>
      <w:r w:rsidR="002079D5">
        <w:t>20</w:t>
      </w:r>
      <w:r w:rsidR="00141090">
        <w:t xml:space="preserve"> maintain </w:t>
      </w:r>
      <w:r w:rsidR="009105CE">
        <w:t>their gap to the native-born</w:t>
      </w:r>
      <w:r w:rsidR="00141090">
        <w:t xml:space="preserve">.  </w:t>
      </w:r>
      <w:r w:rsidR="003A4548" w:rsidRPr="00390DBB">
        <w:t>This pattern confirms earlier findings from Inwood, Minns, and Summerfield (2016), which shows sharper earnings convergence between 1911 and 1921 when the immigrant population is split between “free” migrants from the United States and United Kingdom (including Ireland) and other European migrants, followed by a striking pattern of divergence between European migrants and the native-born between 1921 and 1931.  Occupational income scores tell a different story, however.</w:t>
      </w:r>
      <w:r w:rsidR="003A4548">
        <w:t xml:space="preserve"> </w:t>
      </w:r>
      <w:r w:rsidR="00DF66A9">
        <w:t xml:space="preserve">When we look at cohort trends over time through </w:t>
      </w:r>
      <w:r w:rsidR="009105CE">
        <w:t xml:space="preserve">fixed 1911 </w:t>
      </w:r>
      <w:r w:rsidR="00DF66A9">
        <w:t>occupational earnings</w:t>
      </w:r>
      <w:r w:rsidR="00AD0E11">
        <w:t xml:space="preserve"> (OCC) or 1950-based US scores </w:t>
      </w:r>
      <w:r w:rsidR="00747C31">
        <w:t>(OCC 50)</w:t>
      </w:r>
      <w:r w:rsidR="00DF66A9">
        <w:t>, there is l</w:t>
      </w:r>
      <w:r w:rsidR="009105CE">
        <w:t>ess</w:t>
      </w:r>
      <w:r w:rsidR="00DF66A9">
        <w:t xml:space="preserve"> assimilation</w:t>
      </w:r>
      <w:r w:rsidR="003B3078">
        <w:t xml:space="preserve"> </w:t>
      </w:r>
      <w:r w:rsidR="00141090">
        <w:t>for the 19</w:t>
      </w:r>
      <w:r w:rsidR="002079D5">
        <w:t>01</w:t>
      </w:r>
      <w:r w:rsidR="00141090">
        <w:t>-</w:t>
      </w:r>
      <w:r w:rsidR="002079D5">
        <w:t>1</w:t>
      </w:r>
      <w:r w:rsidR="009105CE">
        <w:t>0 cohort</w:t>
      </w:r>
      <w:r w:rsidR="002079D5">
        <w:t>s</w:t>
      </w:r>
      <w:r w:rsidR="009105CE">
        <w:t xml:space="preserve"> to 1921, and occupation-based earnings measures converge further to 1931 despite a widening gap in actual earnings</w:t>
      </w:r>
      <w:r w:rsidR="00141090">
        <w:t xml:space="preserve">. </w:t>
      </w:r>
    </w:p>
    <w:p w:rsidR="00B152C8" w:rsidRDefault="00AD0E11" w:rsidP="00AD7D04">
      <w:pPr>
        <w:spacing w:after="0" w:line="360" w:lineRule="auto"/>
      </w:pPr>
      <w:r>
        <w:tab/>
        <w:t>How do alternative income scores perform?  Table 2 also lists cohort dummies f</w:t>
      </w:r>
      <w:r w:rsidR="00777776">
        <w:t xml:space="preserve">rom models that use </w:t>
      </w:r>
      <w:r>
        <w:t>OCC-G</w:t>
      </w:r>
      <w:r w:rsidR="00B3033D">
        <w:t xml:space="preserve">, </w:t>
      </w:r>
      <w:r>
        <w:t>OCC-Y</w:t>
      </w:r>
      <w:r w:rsidR="00B3033D" w:rsidRPr="00390DBB">
        <w:t>, and OCC-A5</w:t>
      </w:r>
      <w:r w:rsidR="00777776">
        <w:t xml:space="preserve"> as the dependent variable</w:t>
      </w:r>
      <w:r>
        <w:t>.</w:t>
      </w:r>
      <w:r w:rsidR="00A53AD2">
        <w:t xml:space="preserve">  </w:t>
      </w:r>
      <w:r w:rsidR="00777776">
        <w:t>Two of these alternative</w:t>
      </w:r>
      <w:r w:rsidR="000F50AA">
        <w:t>s</w:t>
      </w:r>
      <w:r w:rsidR="00777776">
        <w:t xml:space="preserve"> appear to have some merit</w:t>
      </w:r>
      <w:r w:rsidR="00DF2D14">
        <w:t xml:space="preserve"> in our application.</w:t>
      </w:r>
      <w:r w:rsidR="00777776">
        <w:t xml:space="preserve">  </w:t>
      </w:r>
      <w:r w:rsidR="00A53AD2">
        <w:t>In 1911 and 19</w:t>
      </w:r>
      <w:r w:rsidR="00777776">
        <w:t>3</w:t>
      </w:r>
      <w:r w:rsidR="00A53AD2">
        <w:t xml:space="preserve">1, </w:t>
      </w:r>
      <w:r w:rsidR="00333A21">
        <w:t>g</w:t>
      </w:r>
      <w:r w:rsidR="00A53AD2">
        <w:t xml:space="preserve">roup-specific scores (OCC-G) comes </w:t>
      </w:r>
      <w:r w:rsidR="00333A21">
        <w:t>c</w:t>
      </w:r>
      <w:r w:rsidR="00A53AD2">
        <w:t xml:space="preserve">loser to approximating the earnings gaps at the individual level than standard fixed occupational scores, as well as the other alternative scores presented in Table 2.  While </w:t>
      </w:r>
      <w:r w:rsidR="00F965F5">
        <w:t xml:space="preserve">group income scores </w:t>
      </w:r>
      <w:r w:rsidR="00A53AD2">
        <w:t xml:space="preserve">do best in terms of estimates of the size of earnings gaps in two of the three samples, it is less effective than </w:t>
      </w:r>
      <w:r w:rsidR="0065175E">
        <w:t xml:space="preserve">year-specific scores </w:t>
      </w:r>
      <w:r w:rsidR="00A53AD2">
        <w:t>in approximating the changes in the position of immigrant relative to the native born over time</w:t>
      </w:r>
      <w:r w:rsidR="00333A21">
        <w:t>.</w:t>
      </w:r>
      <w:r w:rsidR="00777776">
        <w:t xml:space="preserve">  </w:t>
      </w:r>
      <w:r w:rsidR="008B289F">
        <w:t xml:space="preserve">To illustrate, consider results for the 1901-1905 arrival cohort.  </w:t>
      </w:r>
      <w:r w:rsidR="00777776">
        <w:t>OCC-G predicts 0.5 percentage point earnings convergence between 1911 and 1921 versus 4.6 percentage points in individual earnings</w:t>
      </w:r>
      <w:r w:rsidR="00B152C8">
        <w:t>; it</w:t>
      </w:r>
      <w:r w:rsidR="00777776">
        <w:t xml:space="preserve"> misses </w:t>
      </w:r>
      <w:r w:rsidR="00B152C8">
        <w:t xml:space="preserve">entirely </w:t>
      </w:r>
      <w:r w:rsidR="00777776">
        <w:t>the divergence in earning between 1921 and 1931.  OCC-Y predicts 3.2 percentage point convergence in earnings between 1911 and 1921 (70 percent of the actual change), and 2.3 percentage points of divergence between 1921 and 1931 (46 percent of the actual change</w:t>
      </w:r>
      <w:r w:rsidR="00777776" w:rsidRPr="00163A97">
        <w:t>).</w:t>
      </w:r>
      <w:r w:rsidR="00333A21" w:rsidRPr="00163A97">
        <w:t xml:space="preserve">  </w:t>
      </w:r>
      <w:r w:rsidR="00F81EC6" w:rsidRPr="00390DBB">
        <w:t>M</w:t>
      </w:r>
      <w:r w:rsidR="00B3033D" w:rsidRPr="00390DBB">
        <w:t xml:space="preserve">easures </w:t>
      </w:r>
      <w:r w:rsidR="00F81EC6" w:rsidRPr="00390DBB">
        <w:t xml:space="preserve">that </w:t>
      </w:r>
      <w:r w:rsidR="00B3033D" w:rsidRPr="00390DBB">
        <w:t>differentiat</w:t>
      </w:r>
      <w:r w:rsidR="00F81EC6" w:rsidRPr="00390DBB">
        <w:t>e</w:t>
      </w:r>
      <w:r w:rsidR="006D2731" w:rsidRPr="00390DBB">
        <w:t xml:space="preserve"> income scores</w:t>
      </w:r>
      <w:r w:rsidR="00B3033D" w:rsidRPr="00390DBB">
        <w:t xml:space="preserve"> by age </w:t>
      </w:r>
      <w:r w:rsidR="006D2731" w:rsidRPr="00390DBB">
        <w:t>(OCC-A5</w:t>
      </w:r>
      <w:r w:rsidR="007E790D" w:rsidRPr="00390DBB">
        <w:t>)</w:t>
      </w:r>
      <w:r w:rsidR="006D2731" w:rsidRPr="00390DBB">
        <w:t xml:space="preserve"> yield coefficients on the age terms that are much more in line within individual income, but </w:t>
      </w:r>
      <w:r w:rsidR="00F81EC6" w:rsidRPr="00390DBB">
        <w:t xml:space="preserve">do not </w:t>
      </w:r>
      <w:r w:rsidR="00B3033D" w:rsidRPr="00390DBB">
        <w:t>perform better than conventional occupational income scores</w:t>
      </w:r>
      <w:r w:rsidR="00F81EC6" w:rsidRPr="00390DBB">
        <w:t xml:space="preserve"> for the study of immigrant earnings assimilation.</w:t>
      </w:r>
      <w:r w:rsidR="006D2731" w:rsidRPr="00390DBB">
        <w:rPr>
          <w:rStyle w:val="FootnoteReference"/>
        </w:rPr>
        <w:footnoteReference w:id="18"/>
      </w:r>
    </w:p>
    <w:p w:rsidR="000D01B0" w:rsidRDefault="009323C3" w:rsidP="0031658F">
      <w:pPr>
        <w:spacing w:after="0" w:line="360" w:lineRule="auto"/>
        <w:ind w:firstLine="720"/>
      </w:pPr>
      <w:r>
        <w:t xml:space="preserve">This exercise yields two takeaways for researchers.  First, cross-sectional studies of earnings differences by demographic groups, including but not limited to race, ethnicity, language or immigrant status, would benefit from the use of occupation scores generated from sources that </w:t>
      </w:r>
      <w:r>
        <w:lastRenderedPageBreak/>
        <w:t>allow for group-specific earnings measures</w:t>
      </w:r>
      <w:r w:rsidR="0065175E">
        <w:t>.</w:t>
      </w:r>
      <w:r>
        <w:t xml:space="preserve">  Second, in studies which trace out life-cycle earnings, sourcing year-specific occupational rankings may be more important than group</w:t>
      </w:r>
      <w:r w:rsidRPr="00390DBB">
        <w:t>-</w:t>
      </w:r>
      <w:r w:rsidR="006D2731" w:rsidRPr="00390DBB">
        <w:t xml:space="preserve"> or age-specific</w:t>
      </w:r>
      <w:r>
        <w:t xml:space="preserve"> rankings.  </w:t>
      </w:r>
    </w:p>
    <w:p w:rsidR="009A5D1B" w:rsidRDefault="009A5D1B">
      <w:pPr>
        <w:spacing w:after="0" w:line="360" w:lineRule="auto"/>
        <w:ind w:firstLine="720"/>
      </w:pPr>
    </w:p>
    <w:p w:rsidR="00AD7D04" w:rsidRDefault="00AD7D04" w:rsidP="00AD7D04">
      <w:pPr>
        <w:spacing w:after="0" w:line="360" w:lineRule="auto"/>
        <w:outlineLvl w:val="0"/>
        <w:rPr>
          <w:b/>
        </w:rPr>
      </w:pPr>
      <w:r>
        <w:rPr>
          <w:b/>
        </w:rPr>
        <w:t>Improving occupational income scores</w:t>
      </w:r>
    </w:p>
    <w:p w:rsidR="00AD7D04" w:rsidRDefault="00AD7D04" w:rsidP="00AD7D04">
      <w:pPr>
        <w:spacing w:after="0" w:line="360" w:lineRule="auto"/>
      </w:pPr>
      <w:r>
        <w:rPr>
          <w:b/>
        </w:rPr>
        <w:tab/>
      </w:r>
      <w:r w:rsidRPr="000A6D65">
        <w:t>The analysis above</w:t>
      </w:r>
      <w:r>
        <w:t xml:space="preserve"> demonstrates</w:t>
      </w:r>
      <w:r w:rsidRPr="00B03620">
        <w:t xml:space="preserve"> </w:t>
      </w:r>
      <w:r>
        <w:t xml:space="preserve">that own-year scores and scores disaggregated for groups of analytical interest improve estimates of immigrant assimilation.  Of course, own-year scores in the absence of individual-level earnings are rare. </w:t>
      </w:r>
      <w:r w:rsidRPr="00390DBB">
        <w:t xml:space="preserve">In some contexts, however, ancillary information on changes in returns to occupations and differences in earnings between immigrants and the native-born may be available and, if so, offer a useful adjustment to </w:t>
      </w:r>
      <w:r w:rsidR="00337AFA" w:rsidRPr="00390DBB">
        <w:t xml:space="preserve">occupational income </w:t>
      </w:r>
      <w:r w:rsidRPr="00390DBB">
        <w:t>scores</w:t>
      </w:r>
      <w:r>
        <w:t>. To illustrate how this process might work, we construct group and year adjusted occupational income scores, starting from our fixed</w:t>
      </w:r>
      <w:r w:rsidR="0065175E">
        <w:t xml:space="preserve"> 1911 occupational income score </w:t>
      </w:r>
      <w:r>
        <w:t>OCC.  We do this by a) rescaling occupational income scores to reflect differences in occupational incomes scores at the 1-digit occupational cluster for immigrants and the native born, and b) rescaling occupational income scores in 1921 and 1931 to reflect changes in the returns to occupations (again, at the 1-digit level) over time.  Under the first adjustment, immigrant earnings for carpenters, for example, would be adjusted to match overall immigrant/native born differences in income for skilled craft workers.  Under the second adjustment, occupational earnings for stenographers in 1921 would be rescaled to reflect trends in earnings for clerical workers between 1911 and 1921.  In generating new occupational income scores that incorporate these adjustments (both separately and combined), we are able to provide a rough simulation of the implications of using imperfect contemporaneous data to deal with group differences in earnings and changes in returns to skill over time.</w:t>
      </w:r>
    </w:p>
    <w:p w:rsidR="00AD7D04" w:rsidRDefault="00AD7D04" w:rsidP="00AD7D04">
      <w:pPr>
        <w:spacing w:after="0" w:line="360" w:lineRule="auto"/>
      </w:pPr>
      <w:r>
        <w:tab/>
        <w:t xml:space="preserve">Earnings regressions using adjusted scores are </w:t>
      </w:r>
      <w:r w:rsidR="005E6204" w:rsidRPr="00390DBB">
        <w:t>detailed in our companion appendix on-line</w:t>
      </w:r>
      <w:r>
        <w:t>, with cohort indicator variables summarized in Table 3.</w:t>
      </w:r>
      <w:r w:rsidR="005E6204" w:rsidRPr="00390DBB">
        <w:rPr>
          <w:rStyle w:val="FootnoteReference"/>
        </w:rPr>
        <w:footnoteReference w:id="19"/>
      </w:r>
      <w:r>
        <w:t xml:space="preserve">  Adjusted scores perform well in terms of replicating the advantageous features of group-specific and year-specific income scores that are unavailable to most researchers.  These results show </w:t>
      </w:r>
      <w:r w:rsidR="00B152C8">
        <w:t xml:space="preserve">that our method more closely </w:t>
      </w:r>
      <w:r>
        <w:t>approximat</w:t>
      </w:r>
      <w:r w:rsidR="00B152C8">
        <w:t>es</w:t>
      </w:r>
      <w:r>
        <w:t xml:space="preserve"> the movement of actual earnings.  For the 1901-1905 and 1906-1910 arrival cohorts, this is most visibl</w:t>
      </w:r>
      <w:r w:rsidR="00DF5756">
        <w:t xml:space="preserve">e for </w:t>
      </w:r>
      <w:r w:rsidR="00760F58" w:rsidRPr="00390DBB">
        <w:t>series where occupational earnings are adjusted for changes in the structure of earnings over time (year-adjusted), or for a combined adjustment for year and differences between immigrant and native-born groups</w:t>
      </w:r>
      <w:r w:rsidR="005D5E5F" w:rsidRPr="00390DBB">
        <w:t xml:space="preserve"> (year/group adjusted)</w:t>
      </w:r>
      <w:r w:rsidR="00760F58" w:rsidRPr="00390DBB">
        <w:t xml:space="preserve">. </w:t>
      </w:r>
      <w:r>
        <w:t xml:space="preserve">For later arrivals, the year-adjusted income scores do not track the direction of change in relative earnings as well as group-adjusted </w:t>
      </w:r>
      <w:r>
        <w:lastRenderedPageBreak/>
        <w:t xml:space="preserve">scores do, but both approaches (individually </w:t>
      </w:r>
      <w:r w:rsidR="00DF5756">
        <w:t>and</w:t>
      </w:r>
      <w:r>
        <w:t xml:space="preserve"> combined) </w:t>
      </w:r>
      <w:r w:rsidR="00DF5756">
        <w:t xml:space="preserve">more closely match </w:t>
      </w:r>
      <w:r>
        <w:t xml:space="preserve">level differences in actual earnings than standard occupational income scores.  </w:t>
      </w:r>
    </w:p>
    <w:p w:rsidR="00AD7D04" w:rsidRDefault="00AD7D04" w:rsidP="00AD7D04">
      <w:pPr>
        <w:spacing w:after="0" w:line="360" w:lineRule="auto"/>
        <w:rPr>
          <w:b/>
        </w:rPr>
      </w:pPr>
    </w:p>
    <w:p w:rsidR="00AD7D04" w:rsidRDefault="00AD7D04" w:rsidP="00AD7D04">
      <w:pPr>
        <w:spacing w:after="0" w:line="360" w:lineRule="auto"/>
        <w:outlineLvl w:val="0"/>
      </w:pPr>
      <w:r w:rsidRPr="0044688E">
        <w:rPr>
          <w:b/>
        </w:rPr>
        <w:t>Conclusions</w:t>
      </w:r>
      <w:r>
        <w:rPr>
          <w:b/>
        </w:rPr>
        <w:t xml:space="preserve"> </w:t>
      </w:r>
      <w:r>
        <w:tab/>
      </w:r>
    </w:p>
    <w:p w:rsidR="00AD7D04" w:rsidRDefault="00AD7D04" w:rsidP="00AD7D04">
      <w:pPr>
        <w:spacing w:after="0" w:line="360" w:lineRule="auto"/>
      </w:pPr>
      <w:r>
        <w:tab/>
      </w:r>
      <w:r w:rsidR="0065175E">
        <w:t>How well do</w:t>
      </w:r>
      <w:r>
        <w:t xml:space="preserve"> occupational income scores substitute for individual incomes</w:t>
      </w:r>
      <w:r w:rsidR="0065175E">
        <w:t>?</w:t>
      </w:r>
      <w:r>
        <w:t xml:space="preserve"> </w:t>
      </w:r>
      <w:r w:rsidR="00BB0A7C" w:rsidRPr="00390DBB">
        <w:t xml:space="preserve">Feigenbaum (2015) shows that </w:t>
      </w:r>
      <w:r w:rsidR="006D2731" w:rsidRPr="00390DBB">
        <w:t>t</w:t>
      </w:r>
      <w:r w:rsidR="00BB0A7C" w:rsidRPr="00390DBB">
        <w:t>he absence of individual earnings variation does not appear to have major implications for studies of intergenerational mobility.  This reflects the fact that peak-to-peak earnings comparisons of native-born generations are relatively immune to unobserved variation in earnings over the life-cycle.</w:t>
      </w:r>
      <w:r w:rsidR="00BB0A7C" w:rsidRPr="00390DBB">
        <w:rPr>
          <w:rStyle w:val="FootnoteReference"/>
        </w:rPr>
        <w:footnoteReference w:id="20"/>
      </w:r>
      <w:r w:rsidR="00BB0A7C" w:rsidRPr="00390DBB">
        <w:t xml:space="preserve"> Our findings from immigrant earnings assimilation in Canada between 1911 and 1931 shows that occupational income scores are </w:t>
      </w:r>
      <w:r w:rsidR="00DF5756" w:rsidRPr="00390DBB">
        <w:t xml:space="preserve">less helpful </w:t>
      </w:r>
      <w:r w:rsidR="00BB0A7C" w:rsidRPr="00390DBB">
        <w:t xml:space="preserve">when level differences between groups and changes in earnings over time are an important consideration.  </w:t>
      </w:r>
      <w:r>
        <w:t xml:space="preserve">Our assimilation estimates based on fixed, aggregate occupation scores typically used in the literature capture a limited share of actual earnings convergence, and underestimate the gap in earnings between the native-born and foreign-born.  </w:t>
      </w:r>
      <w:r w:rsidR="0065175E">
        <w:t>I</w:t>
      </w:r>
      <w:r>
        <w:t xml:space="preserve">ndividual earnings and occupational scores move in </w:t>
      </w:r>
      <w:r w:rsidRPr="00D91045">
        <w:t>opposite</w:t>
      </w:r>
      <w:r>
        <w:t xml:space="preserve"> directions in several of our models between 1921 and 1931, when immigrants experienced a decline in earnings without a corresponding deterioration in occupational profile.  </w:t>
      </w:r>
    </w:p>
    <w:p w:rsidR="00391DEC" w:rsidRPr="00390DBB" w:rsidRDefault="00AD7D04" w:rsidP="005E1C1E">
      <w:pPr>
        <w:spacing w:after="0" w:line="360" w:lineRule="auto"/>
        <w:ind w:firstLine="720"/>
      </w:pPr>
      <w:r w:rsidRPr="00390DBB">
        <w:t xml:space="preserve">Although occupation scores remain the best available surrogate for income in many research purposes, to our knowledge there has been no public discussion about best practice in their use.  </w:t>
      </w:r>
      <w:r w:rsidR="0031658F" w:rsidRPr="00390DBB">
        <w:t xml:space="preserve">Our analysis yields </w:t>
      </w:r>
      <w:r w:rsidRPr="00390DBB">
        <w:t xml:space="preserve">a number of observations about how best to </w:t>
      </w:r>
      <w:r w:rsidR="00A7409D" w:rsidRPr="00390DBB">
        <w:t>deal with the limitation</w:t>
      </w:r>
      <w:r w:rsidR="00A03687" w:rsidRPr="00390DBB">
        <w:t>s</w:t>
      </w:r>
      <w:r w:rsidR="00A7409D" w:rsidRPr="00390DBB">
        <w:t xml:space="preserve"> imposed by </w:t>
      </w:r>
      <w:r w:rsidRPr="00390DBB">
        <w:t xml:space="preserve">occupational </w:t>
      </w:r>
      <w:r w:rsidR="00317FA4" w:rsidRPr="00390DBB">
        <w:t xml:space="preserve">income </w:t>
      </w:r>
      <w:r w:rsidRPr="00390DBB">
        <w:t>scores.</w:t>
      </w:r>
      <w:r w:rsidR="00A03687" w:rsidRPr="00390DBB">
        <w:t xml:space="preserve"> </w:t>
      </w:r>
      <w:r w:rsidR="00391DEC" w:rsidRPr="00390DBB">
        <w:t>Some of the strategies that conform to best practice cohere with the approaches taken by previous researchers who were mindful of the challenged posed in using occupational income scores.  First, a</w:t>
      </w:r>
      <w:r w:rsidRPr="00390DBB">
        <w:rPr>
          <w:rFonts w:eastAsiaTheme="minorHAnsi" w:cstheme="minorHAnsi"/>
          <w:lang w:val="en-US" w:eastAsia="en-US"/>
        </w:rPr>
        <w:t xml:space="preserve"> partial accommodation for the reduction of variance</w:t>
      </w:r>
      <w:r w:rsidR="00391DEC" w:rsidRPr="00390DBB">
        <w:rPr>
          <w:rFonts w:eastAsiaTheme="minorHAnsi" w:cstheme="minorHAnsi"/>
          <w:lang w:val="en-US" w:eastAsia="en-US"/>
        </w:rPr>
        <w:t xml:space="preserve"> introduced by occupational scores </w:t>
      </w:r>
      <w:r w:rsidRPr="00390DBB">
        <w:rPr>
          <w:rFonts w:eastAsiaTheme="minorHAnsi" w:cstheme="minorHAnsi"/>
          <w:lang w:val="en-US" w:eastAsia="en-US"/>
        </w:rPr>
        <w:t xml:space="preserve">is </w:t>
      </w:r>
      <w:r w:rsidR="00391DEC" w:rsidRPr="00390DBB">
        <w:rPr>
          <w:rFonts w:eastAsiaTheme="minorHAnsi" w:cstheme="minorHAnsi"/>
          <w:lang w:val="en-US" w:eastAsia="en-US"/>
        </w:rPr>
        <w:t xml:space="preserve">to </w:t>
      </w:r>
      <w:r w:rsidRPr="00390DBB">
        <w:rPr>
          <w:rFonts w:eastAsiaTheme="minorHAnsi" w:cstheme="minorHAnsi"/>
          <w:lang w:val="en-US" w:eastAsia="en-US"/>
        </w:rPr>
        <w:t xml:space="preserve">cluster standard errors by occupational group </w:t>
      </w:r>
      <w:r w:rsidRPr="00390DBB">
        <w:rPr>
          <w:rFonts w:cstheme="minorHAnsi"/>
        </w:rPr>
        <w:t>(Cameron and Miller, 2015).</w:t>
      </w:r>
      <w:r w:rsidR="00391DEC" w:rsidRPr="00390DBB">
        <w:rPr>
          <w:rFonts w:cstheme="minorHAnsi"/>
        </w:rPr>
        <w:t xml:space="preserve"> Second, our findings support the</w:t>
      </w:r>
      <w:r w:rsidRPr="00390DBB">
        <w:t xml:space="preserve"> </w:t>
      </w:r>
      <w:r w:rsidR="0031658F" w:rsidRPr="00390DBB">
        <w:rPr>
          <w:rFonts w:eastAsiaTheme="minorHAnsi" w:cstheme="minorHAnsi"/>
          <w:lang w:val="en-US" w:eastAsia="en-US"/>
        </w:rPr>
        <w:t>disaggregation</w:t>
      </w:r>
      <w:r w:rsidRPr="00390DBB">
        <w:rPr>
          <w:rFonts w:eastAsiaTheme="minorHAnsi" w:cstheme="minorHAnsi"/>
          <w:lang w:val="en-US" w:eastAsia="en-US"/>
        </w:rPr>
        <w:t xml:space="preserve"> </w:t>
      </w:r>
      <w:r w:rsidR="00391DEC" w:rsidRPr="00390DBB">
        <w:rPr>
          <w:rFonts w:eastAsiaTheme="minorHAnsi" w:cstheme="minorHAnsi"/>
          <w:lang w:val="en-US" w:eastAsia="en-US"/>
        </w:rPr>
        <w:t xml:space="preserve">of </w:t>
      </w:r>
      <w:r w:rsidRPr="00390DBB">
        <w:rPr>
          <w:rFonts w:eastAsiaTheme="minorHAnsi" w:cstheme="minorHAnsi"/>
          <w:lang w:val="en-US" w:eastAsia="en-US"/>
        </w:rPr>
        <w:t xml:space="preserve">income scores by occupation as much as </w:t>
      </w:r>
      <w:r w:rsidR="00391DEC" w:rsidRPr="00390DBB">
        <w:rPr>
          <w:rFonts w:eastAsiaTheme="minorHAnsi" w:cstheme="minorHAnsi"/>
          <w:lang w:val="en-US" w:eastAsia="en-US"/>
        </w:rPr>
        <w:t xml:space="preserve">available data </w:t>
      </w:r>
      <w:r w:rsidRPr="00390DBB">
        <w:rPr>
          <w:rFonts w:eastAsiaTheme="minorHAnsi" w:cstheme="minorHAnsi"/>
          <w:lang w:val="en-US" w:eastAsia="en-US"/>
        </w:rPr>
        <w:t xml:space="preserve">will allow, since </w:t>
      </w:r>
      <w:r w:rsidRPr="00390DBB">
        <w:rPr>
          <w:rFonts w:cstheme="minorHAnsi"/>
        </w:rPr>
        <w:t xml:space="preserve">the severity of any distortion is affected by the number of occupational categories and the distribution of individuals across categories. The arrival of complete count </w:t>
      </w:r>
      <w:r w:rsidR="006D2731" w:rsidRPr="00390DBB">
        <w:rPr>
          <w:rFonts w:cstheme="minorHAnsi"/>
        </w:rPr>
        <w:t xml:space="preserve">US </w:t>
      </w:r>
      <w:r w:rsidRPr="00390DBB">
        <w:rPr>
          <w:rFonts w:cstheme="minorHAnsi"/>
        </w:rPr>
        <w:t xml:space="preserve">census data for 1940 offers greater potential for disaggregation. </w:t>
      </w:r>
      <w:r w:rsidR="00391DEC" w:rsidRPr="00390DBB">
        <w:rPr>
          <w:rFonts w:cstheme="minorHAnsi"/>
        </w:rPr>
        <w:t>I</w:t>
      </w:r>
      <w:r w:rsidRPr="00390DBB">
        <w:rPr>
          <w:rFonts w:eastAsiaTheme="minorHAnsi" w:cstheme="minorHAnsi"/>
          <w:lang w:val="en-US" w:eastAsia="en-US"/>
        </w:rPr>
        <w:t>t is especially helpful to disaggregate by population sub-groups whose outcomes are being compared (Collins and Wannamaker 2014</w:t>
      </w:r>
      <w:r w:rsidR="005E1C1E" w:rsidRPr="00390DBB">
        <w:rPr>
          <w:rFonts w:eastAsiaTheme="minorHAnsi" w:cstheme="minorHAnsi"/>
          <w:lang w:val="en-US" w:eastAsia="en-US"/>
        </w:rPr>
        <w:t>;</w:t>
      </w:r>
      <w:r w:rsidRPr="00390DBB">
        <w:rPr>
          <w:rFonts w:eastAsiaTheme="minorHAnsi" w:cstheme="minorHAnsi"/>
          <w:lang w:val="en-US" w:eastAsia="en-US"/>
        </w:rPr>
        <w:t xml:space="preserve"> 2015). </w:t>
      </w:r>
      <w:r w:rsidR="00391DEC" w:rsidRPr="00390DBB">
        <w:rPr>
          <w:rFonts w:eastAsiaTheme="minorHAnsi" w:cstheme="minorHAnsi"/>
          <w:lang w:val="en-US" w:eastAsia="en-US"/>
        </w:rPr>
        <w:t>Third,</w:t>
      </w:r>
      <w:r w:rsidR="003B3078" w:rsidRPr="00390DBB">
        <w:rPr>
          <w:rFonts w:eastAsiaTheme="minorHAnsi" w:cstheme="minorHAnsi"/>
          <w:lang w:val="en-US" w:eastAsia="en-US"/>
        </w:rPr>
        <w:t xml:space="preserve"> </w:t>
      </w:r>
      <w:r w:rsidR="00A03687" w:rsidRPr="00390DBB">
        <w:rPr>
          <w:rFonts w:eastAsiaTheme="minorHAnsi" w:cstheme="minorHAnsi"/>
          <w:lang w:val="en-US" w:eastAsia="en-US"/>
        </w:rPr>
        <w:t>c</w:t>
      </w:r>
      <w:r w:rsidRPr="00390DBB">
        <w:rPr>
          <w:rFonts w:eastAsiaTheme="minorHAnsi" w:cstheme="minorHAnsi"/>
          <w:lang w:val="en-US" w:eastAsia="en-US"/>
        </w:rPr>
        <w:t>omparisons at the same point in their life cycle</w:t>
      </w:r>
      <w:r w:rsidR="00A03687" w:rsidRPr="00390DBB">
        <w:rPr>
          <w:rFonts w:eastAsiaTheme="minorHAnsi" w:cstheme="minorHAnsi"/>
          <w:lang w:val="en-US" w:eastAsia="en-US"/>
        </w:rPr>
        <w:t xml:space="preserve"> will be </w:t>
      </w:r>
      <w:r w:rsidR="00DF5756" w:rsidRPr="00390DBB">
        <w:rPr>
          <w:rFonts w:eastAsiaTheme="minorHAnsi" w:cstheme="minorHAnsi"/>
          <w:lang w:val="en-US" w:eastAsia="en-US"/>
        </w:rPr>
        <w:t>relatively un</w:t>
      </w:r>
      <w:r w:rsidR="00A03687" w:rsidRPr="00390DBB">
        <w:rPr>
          <w:rFonts w:eastAsiaTheme="minorHAnsi" w:cstheme="minorHAnsi"/>
          <w:lang w:val="en-US" w:eastAsia="en-US"/>
        </w:rPr>
        <w:t xml:space="preserve">affected by </w:t>
      </w:r>
      <w:r w:rsidRPr="00390DBB">
        <w:rPr>
          <w:rFonts w:eastAsiaTheme="minorHAnsi" w:cstheme="minorHAnsi"/>
          <w:lang w:val="en-US" w:eastAsia="en-US"/>
        </w:rPr>
        <w:t xml:space="preserve">age-varying differences between individual earnings and averages for an occupational group (Feigenbaum 2015). </w:t>
      </w:r>
      <w:r w:rsidR="00A03687" w:rsidRPr="00390DBB">
        <w:rPr>
          <w:rFonts w:eastAsiaTheme="minorHAnsi" w:cstheme="minorHAnsi"/>
          <w:lang w:val="en-US" w:eastAsia="en-US"/>
        </w:rPr>
        <w:t xml:space="preserve"> </w:t>
      </w:r>
      <w:r w:rsidR="00391DEC" w:rsidRPr="00390DBB">
        <w:rPr>
          <w:rFonts w:eastAsiaTheme="minorHAnsi" w:cstheme="minorHAnsi"/>
          <w:lang w:val="en-US" w:eastAsia="en-US"/>
        </w:rPr>
        <w:t>Fourth, w</w:t>
      </w:r>
      <w:r w:rsidR="00A03687" w:rsidRPr="00390DBB">
        <w:rPr>
          <w:rFonts w:eastAsiaTheme="minorHAnsi" w:cstheme="minorHAnsi"/>
          <w:lang w:val="en-US" w:eastAsia="en-US"/>
        </w:rPr>
        <w:t xml:space="preserve">e find that </w:t>
      </w:r>
      <w:r w:rsidR="00A03687" w:rsidRPr="00390DBB">
        <w:t xml:space="preserve">decade- or year- specific income scores do a better job of capturing some of the dynamics of Canadian immigrant earnings between 1921 and 1931. </w:t>
      </w:r>
      <w:r w:rsidR="00A03687" w:rsidRPr="00390DBB">
        <w:lastRenderedPageBreak/>
        <w:t xml:space="preserve">More generally, in periods of rapid change in relative wages, such as the early to mid-twentieth century, it may be preferable to create occupational scores from contemporary but less representative sources rather than a census several decades later. Several early contributions to the occupational score literature take this route (Preston and Haines 1990; Borjas 1994), as do some recent studies (Abramitzky, Boustan, and Eriksson 2014; Salisbury 2014; Long and Ferrie 2015). </w:t>
      </w:r>
    </w:p>
    <w:p w:rsidR="00A03687" w:rsidRPr="00390DBB" w:rsidRDefault="00391DEC" w:rsidP="005E1C1E">
      <w:pPr>
        <w:spacing w:after="0" w:line="360" w:lineRule="auto"/>
        <w:ind w:firstLine="720"/>
      </w:pPr>
      <w:r w:rsidRPr="00390DBB">
        <w:t xml:space="preserve">Researchers may not be able to implement </w:t>
      </w:r>
      <w:r w:rsidR="006D2731" w:rsidRPr="00390DBB">
        <w:t>the strategies above in all data sources</w:t>
      </w:r>
      <w:r w:rsidRPr="00390DBB">
        <w:t xml:space="preserve">.  Our results suggest an important further </w:t>
      </w:r>
      <w:r w:rsidR="00A03687" w:rsidRPr="00390DBB">
        <w:t xml:space="preserve">possibility </w:t>
      </w:r>
      <w:r w:rsidRPr="00390DBB">
        <w:t>for researchers wishing to adopt a best practice approach: the a</w:t>
      </w:r>
      <w:r w:rsidR="00A03687" w:rsidRPr="00390DBB">
        <w:t xml:space="preserve">djustment of conventional income scores for either group earnings differences (immigrant or native-born) and/or intertemporal differences (changes in returns to types of skill over time) using </w:t>
      </w:r>
      <w:r w:rsidRPr="00390DBB">
        <w:t xml:space="preserve">ancillary </w:t>
      </w:r>
      <w:r w:rsidR="00A03687" w:rsidRPr="00390DBB">
        <w:t xml:space="preserve">information for broad groups of occupations. </w:t>
      </w:r>
      <w:r w:rsidR="00DF5756" w:rsidRPr="00390DBB">
        <w:t>In our Canadian example a</w:t>
      </w:r>
      <w:r w:rsidR="00A03687" w:rsidRPr="00390DBB">
        <w:t xml:space="preserve">djusted scores perform much better than conventional income scores in terms of matching level and trends in earnings over time.  This approach points to a low cost way to improve income scores for researchers who do not have individual earnings information in their main data source, but do have contemporaneous evidence from alternative sources on broad changes in the return to occupational skill or immigrant-native born earnings differences. </w:t>
      </w:r>
      <w:r w:rsidR="00BC4F2B" w:rsidRPr="00390DBB">
        <w:t xml:space="preserve"> </w:t>
      </w:r>
    </w:p>
    <w:p w:rsidR="00BC4F2B" w:rsidRPr="005E1C1E" w:rsidRDefault="00BC4F2B" w:rsidP="005E1C1E">
      <w:pPr>
        <w:spacing w:after="0" w:line="360" w:lineRule="auto"/>
        <w:ind w:firstLine="720"/>
        <w:rPr>
          <w:rFonts w:eastAsiaTheme="minorHAnsi" w:cstheme="minorHAnsi"/>
          <w:lang w:val="en-US" w:eastAsia="en-US"/>
        </w:rPr>
      </w:pPr>
      <w:r w:rsidRPr="00390DBB">
        <w:t xml:space="preserve">What form might this evidence take?  </w:t>
      </w:r>
      <w:r w:rsidR="00BF24D5" w:rsidRPr="00390DBB">
        <w:t xml:space="preserve">For those interested in adjusting </w:t>
      </w:r>
      <w:r w:rsidR="004C5653" w:rsidRPr="00390DBB">
        <w:t>for changes in pay by occupation</w:t>
      </w:r>
      <w:r w:rsidR="00317FA4" w:rsidRPr="00390DBB">
        <w:t xml:space="preserve"> in American data</w:t>
      </w:r>
      <w:r w:rsidR="004C5653" w:rsidRPr="00390DBB">
        <w:t>, evidence on skill premia in Goldin and Katz (2001) offers a starting point.   Another possibility would be to take advantage of more detailed evidence on changes in pay by occupation groups from Canadian Census data, as summarized in Green and Green (2016).</w:t>
      </w:r>
      <w:r w:rsidR="004C5653" w:rsidRPr="00390DBB">
        <w:rPr>
          <w:rStyle w:val="FootnoteReference"/>
        </w:rPr>
        <w:footnoteReference w:id="21"/>
      </w:r>
      <w:r w:rsidR="004C5653" w:rsidRPr="00390DBB">
        <w:t xml:space="preserve">  One caution here would be that skill premia in Canada fell less than in the US between 1910 and 1940.  To adjust group income scores to reflect the typical earnings of immigrants relative to the native-born, wage evidence from the </w:t>
      </w:r>
      <w:r w:rsidR="00BF24D5" w:rsidRPr="00390DBB">
        <w:t>Reports of the Immigration Commission (1911)</w:t>
      </w:r>
      <w:r w:rsidR="004C5653" w:rsidRPr="00390DBB">
        <w:t xml:space="preserve"> </w:t>
      </w:r>
      <w:r w:rsidR="00BB0A7C" w:rsidRPr="00390DBB">
        <w:t>is a source that could be used to good effect</w:t>
      </w:r>
      <w:r w:rsidR="00BF24D5" w:rsidRPr="00390DBB">
        <w:t>.</w:t>
      </w:r>
      <w:r w:rsidR="00BF24D5">
        <w:t xml:space="preserve"> </w:t>
      </w:r>
    </w:p>
    <w:p w:rsidR="00717414" w:rsidRDefault="00717414" w:rsidP="005E1C1E"/>
    <w:p w:rsidR="00C8612D" w:rsidRDefault="00682E69" w:rsidP="00CF178C">
      <w:pPr>
        <w:spacing w:after="0" w:line="360" w:lineRule="auto"/>
        <w:ind w:firstLine="720"/>
      </w:pPr>
      <w:r>
        <w:tab/>
      </w:r>
    </w:p>
    <w:p w:rsidR="00EE0F02" w:rsidRDefault="00082698" w:rsidP="00D477E0">
      <w:pPr>
        <w:spacing w:line="360" w:lineRule="auto"/>
        <w:outlineLvl w:val="0"/>
        <w:rPr>
          <w:b/>
        </w:rPr>
      </w:pPr>
      <w:r>
        <w:rPr>
          <w:b/>
        </w:rPr>
        <w:br w:type="page"/>
      </w:r>
      <w:r w:rsidR="00FD6A9F" w:rsidRPr="00FD6A9F">
        <w:rPr>
          <w:b/>
        </w:rPr>
        <w:lastRenderedPageBreak/>
        <w:t>References</w:t>
      </w:r>
    </w:p>
    <w:p w:rsidR="00EE0F02" w:rsidRDefault="00EE0F02">
      <w:pPr>
        <w:spacing w:after="0" w:line="360" w:lineRule="auto"/>
        <w:rPr>
          <w:b/>
        </w:rPr>
      </w:pPr>
    </w:p>
    <w:p w:rsidR="00D604A9" w:rsidRDefault="00D604A9" w:rsidP="00AB02A7">
      <w:pPr>
        <w:pStyle w:val="NormalWeb"/>
        <w:spacing w:before="0" w:beforeAutospacing="0" w:after="0" w:afterAutospacing="0" w:line="360" w:lineRule="auto"/>
        <w:rPr>
          <w:rFonts w:asciiTheme="minorHAnsi" w:hAnsiTheme="minorHAnsi"/>
          <w:color w:val="000000" w:themeColor="text1"/>
          <w:sz w:val="22"/>
          <w:szCs w:val="22"/>
        </w:rPr>
      </w:pPr>
      <w:r>
        <w:rPr>
          <w:rFonts w:asciiTheme="minorHAnsi" w:hAnsiTheme="minorHAnsi"/>
          <w:color w:val="000000" w:themeColor="text1"/>
          <w:sz w:val="22"/>
          <w:szCs w:val="22"/>
        </w:rPr>
        <w:t>Daniel Aaronson, Fabian Lange, and Bashkar Mazumder</w:t>
      </w:r>
      <w:r w:rsidR="00DC319B">
        <w:rPr>
          <w:rFonts w:asciiTheme="minorHAnsi" w:hAnsiTheme="minorHAnsi"/>
          <w:color w:val="000000" w:themeColor="text1"/>
          <w:sz w:val="22"/>
          <w:szCs w:val="22"/>
        </w:rPr>
        <w:t xml:space="preserve"> (2014).</w:t>
      </w:r>
      <w:r>
        <w:rPr>
          <w:rFonts w:asciiTheme="minorHAnsi" w:hAnsiTheme="minorHAnsi"/>
          <w:color w:val="000000" w:themeColor="text1"/>
          <w:sz w:val="22"/>
          <w:szCs w:val="22"/>
        </w:rPr>
        <w:t xml:space="preserve"> “Fertility transitions along the extensive and intensive margins.” </w:t>
      </w:r>
      <w:r w:rsidRPr="00A75C6B">
        <w:rPr>
          <w:rFonts w:asciiTheme="minorHAnsi" w:hAnsiTheme="minorHAnsi"/>
          <w:i/>
          <w:color w:val="000000" w:themeColor="text1"/>
          <w:sz w:val="22"/>
          <w:szCs w:val="22"/>
        </w:rPr>
        <w:t>American Economic Review</w:t>
      </w:r>
      <w:r>
        <w:rPr>
          <w:rFonts w:asciiTheme="minorHAnsi" w:hAnsiTheme="minorHAnsi"/>
          <w:color w:val="000000" w:themeColor="text1"/>
          <w:sz w:val="22"/>
          <w:szCs w:val="22"/>
        </w:rPr>
        <w:t>, 104, pp. 3701-3724.</w:t>
      </w:r>
    </w:p>
    <w:p w:rsidR="00A64122" w:rsidRDefault="00A64122" w:rsidP="00AB02A7">
      <w:pPr>
        <w:pStyle w:val="NormalWeb"/>
        <w:spacing w:before="0" w:beforeAutospacing="0" w:after="0" w:afterAutospacing="0" w:line="360" w:lineRule="auto"/>
        <w:rPr>
          <w:rFonts w:asciiTheme="minorHAnsi" w:hAnsiTheme="minorHAnsi"/>
          <w:color w:val="000000" w:themeColor="text1"/>
          <w:sz w:val="22"/>
          <w:szCs w:val="22"/>
        </w:rPr>
      </w:pPr>
    </w:p>
    <w:p w:rsidR="00A64122" w:rsidRPr="00D003E2" w:rsidRDefault="00A64122" w:rsidP="00AD7D04">
      <w:pPr>
        <w:spacing w:after="0" w:line="360" w:lineRule="auto"/>
        <w:rPr>
          <w:rFonts w:eastAsia="Times New Roman" w:cstheme="minorHAnsi"/>
          <w:color w:val="000000" w:themeColor="text1"/>
          <w:shd w:val="clear" w:color="auto" w:fill="FFFFFF"/>
          <w:lang w:val="en-CA" w:eastAsia="en-US"/>
        </w:rPr>
      </w:pPr>
      <w:r w:rsidRPr="00D003E2">
        <w:rPr>
          <w:rFonts w:cstheme="minorHAnsi"/>
          <w:color w:val="000000" w:themeColor="text1"/>
        </w:rPr>
        <w:t>Ran Abramitzky and Leah Boustan (2017). “Immigration in American Economic History”.</w:t>
      </w:r>
      <w:r w:rsidRPr="00D003E2">
        <w:rPr>
          <w:rStyle w:val="apple-converted-space"/>
          <w:rFonts w:cstheme="minorHAnsi"/>
          <w:color w:val="000000" w:themeColor="text1"/>
        </w:rPr>
        <w:t> </w:t>
      </w:r>
      <w:r w:rsidRPr="00D003E2">
        <w:rPr>
          <w:rFonts w:cstheme="minorHAnsi"/>
          <w:i/>
          <w:iCs/>
          <w:color w:val="000000" w:themeColor="text1"/>
        </w:rPr>
        <w:t>Journal of Economic Literature</w:t>
      </w:r>
      <w:r w:rsidRPr="00D003E2">
        <w:rPr>
          <w:rFonts w:cstheme="minorHAnsi"/>
          <w:color w:val="000000" w:themeColor="text1"/>
        </w:rPr>
        <w:t>,</w:t>
      </w:r>
      <w:r w:rsidRPr="00D003E2">
        <w:rPr>
          <w:rFonts w:eastAsia="Times New Roman" w:cstheme="minorHAnsi"/>
          <w:color w:val="000000" w:themeColor="text1"/>
          <w:shd w:val="clear" w:color="auto" w:fill="FFFFFF"/>
          <w:lang w:val="en-CA" w:eastAsia="en-US"/>
        </w:rPr>
        <w:t xml:space="preserve"> 55(4): 1311–1345.</w:t>
      </w:r>
    </w:p>
    <w:p w:rsidR="00D604A9" w:rsidRDefault="00D604A9" w:rsidP="00AB02A7">
      <w:pPr>
        <w:pStyle w:val="NormalWeb"/>
        <w:spacing w:before="0" w:beforeAutospacing="0" w:after="0" w:afterAutospacing="0" w:line="360" w:lineRule="auto"/>
        <w:rPr>
          <w:rFonts w:asciiTheme="minorHAnsi" w:hAnsiTheme="minorHAnsi"/>
          <w:color w:val="000000" w:themeColor="text1"/>
          <w:sz w:val="22"/>
          <w:szCs w:val="22"/>
        </w:rPr>
      </w:pPr>
    </w:p>
    <w:p w:rsidR="00E76A3E" w:rsidRPr="00A75C6B" w:rsidRDefault="00E76A3E" w:rsidP="00AB02A7">
      <w:pPr>
        <w:pStyle w:val="NormalWeb"/>
        <w:spacing w:before="0" w:beforeAutospacing="0" w:after="0" w:afterAutospacing="0" w:line="360" w:lineRule="auto"/>
        <w:rPr>
          <w:rFonts w:asciiTheme="minorHAnsi" w:hAnsiTheme="minorHAnsi"/>
          <w:iCs/>
          <w:color w:val="000000" w:themeColor="text1"/>
          <w:sz w:val="22"/>
          <w:szCs w:val="22"/>
        </w:rPr>
      </w:pPr>
      <w:r w:rsidRPr="00A75C6B">
        <w:rPr>
          <w:rFonts w:asciiTheme="minorHAnsi" w:hAnsiTheme="minorHAnsi"/>
          <w:color w:val="000000" w:themeColor="text1"/>
          <w:sz w:val="22"/>
          <w:szCs w:val="22"/>
        </w:rPr>
        <w:t>Ran Abramitzky</w:t>
      </w:r>
      <w:r w:rsidR="00AB02A7">
        <w:rPr>
          <w:rFonts w:asciiTheme="minorHAnsi" w:hAnsiTheme="minorHAnsi"/>
          <w:color w:val="000000" w:themeColor="text1"/>
          <w:sz w:val="22"/>
          <w:szCs w:val="22"/>
        </w:rPr>
        <w:t>,</w:t>
      </w:r>
      <w:r w:rsidRPr="00A75C6B">
        <w:rPr>
          <w:rFonts w:asciiTheme="minorHAnsi" w:hAnsiTheme="minorHAnsi"/>
          <w:color w:val="000000" w:themeColor="text1"/>
          <w:sz w:val="22"/>
          <w:szCs w:val="22"/>
        </w:rPr>
        <w:t xml:space="preserve"> Leah Platt Boustan, and Katherine Erik</w:t>
      </w:r>
      <w:r w:rsidR="00A006AE">
        <w:rPr>
          <w:rFonts w:asciiTheme="minorHAnsi" w:hAnsiTheme="minorHAnsi"/>
          <w:color w:val="000000" w:themeColor="text1"/>
          <w:sz w:val="22"/>
          <w:szCs w:val="22"/>
        </w:rPr>
        <w:t>s</w:t>
      </w:r>
      <w:r w:rsidRPr="00A75C6B">
        <w:rPr>
          <w:rFonts w:asciiTheme="minorHAnsi" w:hAnsiTheme="minorHAnsi"/>
          <w:color w:val="000000" w:themeColor="text1"/>
          <w:sz w:val="22"/>
          <w:szCs w:val="22"/>
        </w:rPr>
        <w:t xml:space="preserve">son (2012). “Europe’s Tired, Poor, Huddled Masses: Self-Selection and Economic Outcomes in the Age of Mass Migration.” </w:t>
      </w:r>
      <w:r w:rsidRPr="00A75C6B">
        <w:rPr>
          <w:rFonts w:asciiTheme="minorHAnsi" w:hAnsiTheme="minorHAnsi"/>
          <w:i/>
          <w:iCs/>
          <w:color w:val="000000" w:themeColor="text1"/>
          <w:sz w:val="22"/>
          <w:szCs w:val="22"/>
        </w:rPr>
        <w:t>American Economic Review</w:t>
      </w:r>
      <w:r w:rsidRPr="00A75C6B">
        <w:rPr>
          <w:rFonts w:asciiTheme="minorHAnsi" w:hAnsiTheme="minorHAnsi"/>
          <w:iCs/>
          <w:color w:val="000000" w:themeColor="text1"/>
          <w:sz w:val="22"/>
          <w:szCs w:val="22"/>
        </w:rPr>
        <w:t xml:space="preserve">, 102, pp. 1832–1856 </w:t>
      </w:r>
    </w:p>
    <w:p w:rsidR="00E76A3E" w:rsidRPr="00A75C6B" w:rsidRDefault="00E76A3E" w:rsidP="00AB02A7">
      <w:pPr>
        <w:spacing w:after="0" w:line="360" w:lineRule="auto"/>
        <w:rPr>
          <w:color w:val="000000" w:themeColor="text1"/>
        </w:rPr>
      </w:pPr>
    </w:p>
    <w:p w:rsidR="00EE0F02" w:rsidRPr="00A75C6B" w:rsidRDefault="0078410F" w:rsidP="00AB02A7">
      <w:pPr>
        <w:spacing w:after="0" w:line="360" w:lineRule="auto"/>
        <w:rPr>
          <w:color w:val="000000" w:themeColor="text1"/>
        </w:rPr>
      </w:pPr>
      <w:r w:rsidRPr="00A75C6B">
        <w:rPr>
          <w:color w:val="000000" w:themeColor="text1"/>
        </w:rPr>
        <w:t xml:space="preserve">Ran </w:t>
      </w:r>
      <w:r w:rsidR="0015681C" w:rsidRPr="00A75C6B">
        <w:rPr>
          <w:color w:val="000000" w:themeColor="text1"/>
        </w:rPr>
        <w:t>Abramitzky</w:t>
      </w:r>
      <w:r w:rsidR="00AB02A7" w:rsidRPr="00DC319B">
        <w:rPr>
          <w:color w:val="000000" w:themeColor="text1"/>
        </w:rPr>
        <w:t>,</w:t>
      </w:r>
      <w:r w:rsidR="0015681C" w:rsidRPr="00A75C6B">
        <w:rPr>
          <w:color w:val="000000" w:themeColor="text1"/>
        </w:rPr>
        <w:t xml:space="preserve"> </w:t>
      </w:r>
      <w:r w:rsidRPr="00A75C6B">
        <w:rPr>
          <w:color w:val="000000" w:themeColor="text1"/>
        </w:rPr>
        <w:t xml:space="preserve">Leah Platt </w:t>
      </w:r>
      <w:r w:rsidR="0015681C" w:rsidRPr="00A75C6B">
        <w:rPr>
          <w:color w:val="000000" w:themeColor="text1"/>
        </w:rPr>
        <w:t>Boustan</w:t>
      </w:r>
      <w:r w:rsidRPr="00A75C6B">
        <w:rPr>
          <w:color w:val="000000" w:themeColor="text1"/>
        </w:rPr>
        <w:t xml:space="preserve">, and </w:t>
      </w:r>
      <w:r w:rsidR="00AA6365" w:rsidRPr="00A75C6B">
        <w:rPr>
          <w:color w:val="000000" w:themeColor="text1"/>
        </w:rPr>
        <w:t xml:space="preserve">Katherine </w:t>
      </w:r>
      <w:r w:rsidR="0015681C" w:rsidRPr="00A75C6B">
        <w:rPr>
          <w:color w:val="000000" w:themeColor="text1"/>
        </w:rPr>
        <w:t>Erik</w:t>
      </w:r>
      <w:r w:rsidR="00A006AE">
        <w:rPr>
          <w:color w:val="000000" w:themeColor="text1"/>
        </w:rPr>
        <w:t>s</w:t>
      </w:r>
      <w:r w:rsidR="0015681C" w:rsidRPr="00A75C6B">
        <w:rPr>
          <w:color w:val="000000" w:themeColor="text1"/>
        </w:rPr>
        <w:t xml:space="preserve">son </w:t>
      </w:r>
      <w:r w:rsidRPr="00A75C6B">
        <w:rPr>
          <w:color w:val="000000" w:themeColor="text1"/>
        </w:rPr>
        <w:t>(</w:t>
      </w:r>
      <w:r w:rsidR="0015681C" w:rsidRPr="00A75C6B">
        <w:rPr>
          <w:color w:val="000000" w:themeColor="text1"/>
        </w:rPr>
        <w:t>2014</w:t>
      </w:r>
      <w:r w:rsidRPr="00A75C6B">
        <w:rPr>
          <w:color w:val="000000" w:themeColor="text1"/>
        </w:rPr>
        <w:t xml:space="preserve">).  “A Nation of Immigrants: Assimilation and Economic Outcomes in the Age of Mass Migration.” </w:t>
      </w:r>
      <w:r w:rsidRPr="00A75C6B">
        <w:rPr>
          <w:i/>
          <w:color w:val="000000" w:themeColor="text1"/>
        </w:rPr>
        <w:t>Journal of Political Economy</w:t>
      </w:r>
      <w:r w:rsidR="00E23E6B" w:rsidRPr="00A75C6B">
        <w:rPr>
          <w:i/>
          <w:color w:val="000000" w:themeColor="text1"/>
        </w:rPr>
        <w:t xml:space="preserve">, </w:t>
      </w:r>
      <w:r w:rsidR="00E23E6B" w:rsidRPr="00A75C6B">
        <w:rPr>
          <w:iCs/>
          <w:color w:val="000000" w:themeColor="text1"/>
        </w:rPr>
        <w:t>122</w:t>
      </w:r>
      <w:r w:rsidR="00E23E6B" w:rsidRPr="00A75C6B">
        <w:rPr>
          <w:color w:val="000000" w:themeColor="text1"/>
        </w:rPr>
        <w:t>, pp. 467-506</w:t>
      </w:r>
      <w:r w:rsidRPr="00A75C6B">
        <w:rPr>
          <w:color w:val="000000" w:themeColor="text1"/>
        </w:rPr>
        <w:t>.</w:t>
      </w:r>
    </w:p>
    <w:p w:rsidR="00682858" w:rsidRPr="00A75C6B" w:rsidRDefault="00682858">
      <w:pPr>
        <w:spacing w:after="0" w:line="360" w:lineRule="auto"/>
        <w:rPr>
          <w:color w:val="000000" w:themeColor="text1"/>
        </w:rPr>
      </w:pPr>
    </w:p>
    <w:p w:rsidR="001670CC" w:rsidRPr="00A75C6B" w:rsidRDefault="001670CC">
      <w:pPr>
        <w:widowControl w:val="0"/>
        <w:autoSpaceDE w:val="0"/>
        <w:autoSpaceDN w:val="0"/>
        <w:adjustRightInd w:val="0"/>
        <w:spacing w:after="0" w:line="360" w:lineRule="auto"/>
        <w:rPr>
          <w:rFonts w:cs="Times New Roman"/>
          <w:color w:val="000000" w:themeColor="text1"/>
        </w:rPr>
      </w:pPr>
      <w:r w:rsidRPr="00A75C6B">
        <w:rPr>
          <w:rFonts w:cs="Times New Roman"/>
          <w:color w:val="000000" w:themeColor="text1"/>
        </w:rPr>
        <w:t>Hoyt Bleakley (2007). “Disease and Development: Evidence from Hookworm Eradication in the American South</w:t>
      </w:r>
      <w:r w:rsidR="00AB02A7">
        <w:rPr>
          <w:rFonts w:cs="Times New Roman"/>
          <w:color w:val="000000" w:themeColor="text1"/>
        </w:rPr>
        <w:t>.</w:t>
      </w:r>
      <w:r w:rsidRPr="00A75C6B">
        <w:rPr>
          <w:rFonts w:cs="Times New Roman"/>
          <w:color w:val="000000" w:themeColor="text1"/>
        </w:rPr>
        <w:t xml:space="preserve">” </w:t>
      </w:r>
      <w:r w:rsidRPr="00A75C6B">
        <w:rPr>
          <w:rFonts w:cs="Times New Roman"/>
          <w:i/>
          <w:color w:val="000000" w:themeColor="text1"/>
        </w:rPr>
        <w:t>Quarterly Journal of Economics</w:t>
      </w:r>
      <w:r w:rsidRPr="00A75C6B">
        <w:rPr>
          <w:rFonts w:cs="Times New Roman"/>
          <w:color w:val="000000" w:themeColor="text1"/>
        </w:rPr>
        <w:t>, 122, pp. 73-117</w:t>
      </w:r>
    </w:p>
    <w:p w:rsidR="001670CC" w:rsidRPr="00A75C6B" w:rsidRDefault="001670CC">
      <w:pPr>
        <w:spacing w:after="0" w:line="360" w:lineRule="auto"/>
        <w:rPr>
          <w:color w:val="000000" w:themeColor="text1"/>
        </w:rPr>
      </w:pPr>
    </w:p>
    <w:p w:rsidR="00EE0F02" w:rsidRPr="00A75C6B" w:rsidRDefault="0078410F">
      <w:pPr>
        <w:spacing w:after="0" w:line="360" w:lineRule="auto"/>
        <w:rPr>
          <w:color w:val="000000" w:themeColor="text1"/>
        </w:rPr>
      </w:pPr>
      <w:r w:rsidRPr="00A75C6B">
        <w:rPr>
          <w:color w:val="000000" w:themeColor="text1"/>
        </w:rPr>
        <w:t xml:space="preserve">George </w:t>
      </w:r>
      <w:r w:rsidR="00E33D02" w:rsidRPr="00A75C6B">
        <w:rPr>
          <w:color w:val="000000" w:themeColor="text1"/>
        </w:rPr>
        <w:t xml:space="preserve">J. </w:t>
      </w:r>
      <w:r w:rsidR="0015681C" w:rsidRPr="00A75C6B">
        <w:rPr>
          <w:color w:val="000000" w:themeColor="text1"/>
        </w:rPr>
        <w:t xml:space="preserve">Borjas </w:t>
      </w:r>
      <w:r w:rsidRPr="00A75C6B">
        <w:rPr>
          <w:color w:val="000000" w:themeColor="text1"/>
        </w:rPr>
        <w:t>(</w:t>
      </w:r>
      <w:r w:rsidR="0015681C" w:rsidRPr="00A75C6B">
        <w:rPr>
          <w:color w:val="000000" w:themeColor="text1"/>
        </w:rPr>
        <w:t>1985</w:t>
      </w:r>
      <w:r w:rsidRPr="00A75C6B">
        <w:rPr>
          <w:color w:val="000000" w:themeColor="text1"/>
        </w:rPr>
        <w:t xml:space="preserve">).  “Assimilation, Changes in Cohort Quality, and the Earnings of Immigrants.”  </w:t>
      </w:r>
      <w:r w:rsidRPr="00A75C6B">
        <w:rPr>
          <w:i/>
          <w:color w:val="000000" w:themeColor="text1"/>
        </w:rPr>
        <w:t>Journal of Labor Economics</w:t>
      </w:r>
      <w:r w:rsidRPr="00A75C6B">
        <w:rPr>
          <w:color w:val="000000" w:themeColor="text1"/>
        </w:rPr>
        <w:t>, 3, pp. 463-489.</w:t>
      </w:r>
    </w:p>
    <w:p w:rsidR="00EE0F02" w:rsidRPr="00A75C6B" w:rsidRDefault="00EE0F02">
      <w:pPr>
        <w:spacing w:after="0" w:line="360" w:lineRule="auto"/>
        <w:rPr>
          <w:color w:val="000000" w:themeColor="text1"/>
        </w:rPr>
      </w:pPr>
    </w:p>
    <w:p w:rsidR="00EE0F02" w:rsidRPr="00A75C6B" w:rsidRDefault="00713D1B">
      <w:pPr>
        <w:spacing w:after="0" w:line="360" w:lineRule="auto"/>
        <w:rPr>
          <w:color w:val="000000" w:themeColor="text1"/>
        </w:rPr>
      </w:pPr>
      <w:r w:rsidRPr="00A75C6B">
        <w:rPr>
          <w:color w:val="000000" w:themeColor="text1"/>
        </w:rPr>
        <w:t>George</w:t>
      </w:r>
      <w:r w:rsidR="00194A7F">
        <w:rPr>
          <w:color w:val="000000" w:themeColor="text1"/>
        </w:rPr>
        <w:t xml:space="preserve"> </w:t>
      </w:r>
      <w:r w:rsidR="00E33D02" w:rsidRPr="00A75C6B">
        <w:rPr>
          <w:color w:val="000000" w:themeColor="text1"/>
        </w:rPr>
        <w:t xml:space="preserve">J. </w:t>
      </w:r>
      <w:r w:rsidRPr="00A75C6B">
        <w:rPr>
          <w:color w:val="000000" w:themeColor="text1"/>
        </w:rPr>
        <w:t xml:space="preserve"> Borjas (1992).  “Ethnic Capital and Intergenerational Mobility.”  </w:t>
      </w:r>
      <w:r w:rsidRPr="00A75C6B">
        <w:rPr>
          <w:i/>
          <w:color w:val="000000" w:themeColor="text1"/>
        </w:rPr>
        <w:t>Quarterly Journal of Economics</w:t>
      </w:r>
      <w:r w:rsidRPr="00A75C6B">
        <w:rPr>
          <w:color w:val="000000" w:themeColor="text1"/>
        </w:rPr>
        <w:t>, 107, pp. 123-150.</w:t>
      </w:r>
    </w:p>
    <w:p w:rsidR="00EE0F02" w:rsidRPr="00A75C6B" w:rsidRDefault="00EE0F02">
      <w:pPr>
        <w:spacing w:after="0" w:line="360" w:lineRule="auto"/>
        <w:rPr>
          <w:color w:val="000000" w:themeColor="text1"/>
        </w:rPr>
      </w:pPr>
    </w:p>
    <w:p w:rsidR="00EE0F02" w:rsidRPr="00A75C6B" w:rsidRDefault="00713D1B">
      <w:pPr>
        <w:spacing w:after="0" w:line="360" w:lineRule="auto"/>
        <w:rPr>
          <w:color w:val="000000" w:themeColor="text1"/>
        </w:rPr>
      </w:pPr>
      <w:r w:rsidRPr="00A75C6B">
        <w:rPr>
          <w:color w:val="000000" w:themeColor="text1"/>
        </w:rPr>
        <w:t xml:space="preserve">George </w:t>
      </w:r>
      <w:r w:rsidR="00E33D02" w:rsidRPr="00A75C6B">
        <w:rPr>
          <w:color w:val="000000" w:themeColor="text1"/>
        </w:rPr>
        <w:t xml:space="preserve">J. </w:t>
      </w:r>
      <w:r w:rsidRPr="00A75C6B">
        <w:rPr>
          <w:color w:val="000000" w:themeColor="text1"/>
        </w:rPr>
        <w:t xml:space="preserve">Borjas (1994).  “Long Run Convergence of Ethnic Skill Differentials: the Children and Grandchildren of the Great Migration.”  </w:t>
      </w:r>
      <w:r w:rsidRPr="00A75C6B">
        <w:rPr>
          <w:i/>
          <w:color w:val="000000" w:themeColor="text1"/>
        </w:rPr>
        <w:t>Industrial and Labour Relations Review</w:t>
      </w:r>
      <w:r w:rsidRPr="00A75C6B">
        <w:rPr>
          <w:color w:val="000000" w:themeColor="text1"/>
        </w:rPr>
        <w:t>, 47, pp. 553-573.</w:t>
      </w:r>
    </w:p>
    <w:p w:rsidR="00EE0F02" w:rsidRPr="00A75C6B" w:rsidRDefault="00EE0F02">
      <w:pPr>
        <w:spacing w:after="0" w:line="360" w:lineRule="auto"/>
        <w:rPr>
          <w:color w:val="000000" w:themeColor="text1"/>
        </w:rPr>
      </w:pPr>
    </w:p>
    <w:p w:rsidR="00EE0F02" w:rsidRPr="00A75C6B" w:rsidRDefault="0078410F">
      <w:pPr>
        <w:spacing w:after="0" w:line="360" w:lineRule="auto"/>
        <w:rPr>
          <w:color w:val="000000" w:themeColor="text1"/>
        </w:rPr>
      </w:pPr>
      <w:r w:rsidRPr="00A75C6B">
        <w:rPr>
          <w:color w:val="000000" w:themeColor="text1"/>
        </w:rPr>
        <w:t xml:space="preserve">George </w:t>
      </w:r>
      <w:r w:rsidR="00E33D02" w:rsidRPr="00A75C6B">
        <w:rPr>
          <w:color w:val="000000" w:themeColor="text1"/>
        </w:rPr>
        <w:t xml:space="preserve">J. </w:t>
      </w:r>
      <w:r w:rsidR="0015681C" w:rsidRPr="00A75C6B">
        <w:rPr>
          <w:color w:val="000000" w:themeColor="text1"/>
        </w:rPr>
        <w:t xml:space="preserve">Borjas and </w:t>
      </w:r>
      <w:r w:rsidRPr="00A75C6B">
        <w:rPr>
          <w:color w:val="000000" w:themeColor="text1"/>
        </w:rPr>
        <w:t xml:space="preserve">Bernt </w:t>
      </w:r>
      <w:r w:rsidR="0015681C" w:rsidRPr="00A75C6B">
        <w:rPr>
          <w:color w:val="000000" w:themeColor="text1"/>
        </w:rPr>
        <w:t>Bratsberg</w:t>
      </w:r>
      <w:r w:rsidRPr="00A75C6B">
        <w:rPr>
          <w:color w:val="000000" w:themeColor="text1"/>
        </w:rPr>
        <w:t xml:space="preserve"> (1996).  “Who Leaves?  The Outmigration of the Foreign-Born.”  </w:t>
      </w:r>
      <w:r w:rsidRPr="00A75C6B">
        <w:rPr>
          <w:i/>
          <w:color w:val="000000" w:themeColor="text1"/>
        </w:rPr>
        <w:t>Review of Economics and Statistics</w:t>
      </w:r>
      <w:r w:rsidRPr="00A75C6B">
        <w:rPr>
          <w:color w:val="000000" w:themeColor="text1"/>
        </w:rPr>
        <w:t>, 78, pp. 165-176.</w:t>
      </w:r>
      <w:r w:rsidR="0015681C" w:rsidRPr="00A75C6B">
        <w:rPr>
          <w:color w:val="000000" w:themeColor="text1"/>
        </w:rPr>
        <w:t xml:space="preserve"> </w:t>
      </w:r>
    </w:p>
    <w:p w:rsidR="00EE0F02" w:rsidRPr="00A75C6B" w:rsidRDefault="00EE0F02">
      <w:pPr>
        <w:spacing w:after="0" w:line="360" w:lineRule="auto"/>
        <w:rPr>
          <w:color w:val="000000" w:themeColor="text1"/>
        </w:rPr>
      </w:pPr>
    </w:p>
    <w:p w:rsidR="00F65620" w:rsidRPr="00A75C6B" w:rsidRDefault="00F65620">
      <w:pPr>
        <w:spacing w:after="0" w:line="360" w:lineRule="auto"/>
        <w:rPr>
          <w:color w:val="000000" w:themeColor="text1"/>
        </w:rPr>
      </w:pPr>
      <w:r w:rsidRPr="00A75C6B">
        <w:rPr>
          <w:color w:val="000000" w:themeColor="text1"/>
        </w:rPr>
        <w:t xml:space="preserve">David Buffum and Robert Whaples (1995).  “Fear and Lathing in the Michigan Furniture industry: Employee-based Discrimination a Century Ago.”  </w:t>
      </w:r>
      <w:r w:rsidRPr="00A75C6B">
        <w:rPr>
          <w:i/>
          <w:color w:val="000000" w:themeColor="text1"/>
        </w:rPr>
        <w:t>Economic Inquiry</w:t>
      </w:r>
      <w:r w:rsidRPr="00A75C6B">
        <w:rPr>
          <w:color w:val="000000" w:themeColor="text1"/>
        </w:rPr>
        <w:t>, 33, pp. 234-252.</w:t>
      </w:r>
    </w:p>
    <w:p w:rsidR="00F65620" w:rsidRPr="00A75C6B" w:rsidRDefault="00F65620">
      <w:pPr>
        <w:spacing w:after="0" w:line="360" w:lineRule="auto"/>
        <w:rPr>
          <w:color w:val="000000" w:themeColor="text1"/>
        </w:rPr>
      </w:pPr>
    </w:p>
    <w:p w:rsidR="007C10CF" w:rsidRDefault="00E23E6B">
      <w:pPr>
        <w:pStyle w:val="ListParagraph"/>
        <w:spacing w:after="0" w:line="360" w:lineRule="auto"/>
        <w:ind w:left="0"/>
        <w:rPr>
          <w:color w:val="000000" w:themeColor="text1"/>
        </w:rPr>
      </w:pPr>
      <w:r w:rsidRPr="00A75C6B">
        <w:rPr>
          <w:color w:val="000000" w:themeColor="text1"/>
        </w:rPr>
        <w:lastRenderedPageBreak/>
        <w:t xml:space="preserve">A. Colin </w:t>
      </w:r>
      <w:r w:rsidR="007C10CF" w:rsidRPr="00A75C6B">
        <w:rPr>
          <w:color w:val="000000" w:themeColor="text1"/>
        </w:rPr>
        <w:t xml:space="preserve">Cameron and </w:t>
      </w:r>
      <w:r w:rsidRPr="00A75C6B">
        <w:rPr>
          <w:color w:val="000000" w:themeColor="text1"/>
        </w:rPr>
        <w:t xml:space="preserve">Douglas L. </w:t>
      </w:r>
      <w:r w:rsidR="007C10CF" w:rsidRPr="00A75C6B">
        <w:rPr>
          <w:color w:val="000000" w:themeColor="text1"/>
        </w:rPr>
        <w:t xml:space="preserve">Miller (2015). </w:t>
      </w:r>
      <w:r w:rsidRPr="00A75C6B">
        <w:rPr>
          <w:color w:val="000000" w:themeColor="text1"/>
        </w:rPr>
        <w:t xml:space="preserve">“A Practitioner’s Guide to Cluster-Robust Inference.” </w:t>
      </w:r>
      <w:r w:rsidRPr="00A75C6B">
        <w:rPr>
          <w:i/>
          <w:iCs/>
          <w:color w:val="000000" w:themeColor="text1"/>
        </w:rPr>
        <w:t>Journal of Human Resources</w:t>
      </w:r>
      <w:r w:rsidRPr="00A75C6B">
        <w:rPr>
          <w:color w:val="000000" w:themeColor="text1"/>
        </w:rPr>
        <w:t>, 50, pp. 317-372</w:t>
      </w:r>
      <w:r w:rsidR="00D604A9">
        <w:rPr>
          <w:color w:val="000000" w:themeColor="text1"/>
        </w:rPr>
        <w:t>.</w:t>
      </w:r>
    </w:p>
    <w:p w:rsidR="00D604A9" w:rsidRDefault="00D604A9">
      <w:pPr>
        <w:pStyle w:val="ListParagraph"/>
        <w:spacing w:after="0" w:line="360" w:lineRule="auto"/>
        <w:ind w:left="0"/>
        <w:rPr>
          <w:color w:val="000000" w:themeColor="text1"/>
        </w:rPr>
      </w:pPr>
    </w:p>
    <w:p w:rsidR="00D604A9" w:rsidRPr="00A75C6B" w:rsidRDefault="00D604A9" w:rsidP="00A75C6B">
      <w:pPr>
        <w:widowControl w:val="0"/>
        <w:autoSpaceDE w:val="0"/>
        <w:autoSpaceDN w:val="0"/>
        <w:adjustRightInd w:val="0"/>
        <w:spacing w:after="0" w:line="360" w:lineRule="auto"/>
        <w:rPr>
          <w:rFonts w:cs="Times New Roman"/>
          <w:color w:val="000000" w:themeColor="text1"/>
          <w:lang w:val="en-US"/>
        </w:rPr>
      </w:pPr>
      <w:r w:rsidRPr="00D604A9">
        <w:rPr>
          <w:color w:val="000000" w:themeColor="text1"/>
        </w:rPr>
        <w:t>Joyce J. Chen (2015).</w:t>
      </w:r>
      <w:r w:rsidRPr="008F25B3">
        <w:rPr>
          <w:color w:val="000000" w:themeColor="text1"/>
        </w:rPr>
        <w:t xml:space="preserve"> </w:t>
      </w:r>
      <w:r w:rsidRPr="00D604A9">
        <w:rPr>
          <w:color w:val="000000" w:themeColor="text1"/>
        </w:rPr>
        <w:t>“</w:t>
      </w:r>
      <w:r w:rsidRPr="00A75C6B">
        <w:rPr>
          <w:rFonts w:cs="Times New Roman"/>
          <w:color w:val="000000" w:themeColor="text1"/>
          <w:lang w:val="en-US"/>
        </w:rPr>
        <w:t>The Impact of Skill-Based Immigration Restrictions: The Chinese Exclusion Act of 1882.”</w:t>
      </w:r>
      <w:r w:rsidRPr="00D604A9">
        <w:rPr>
          <w:color w:val="000000" w:themeColor="text1"/>
        </w:rPr>
        <w:t xml:space="preserve"> Journal of Human Cap</w:t>
      </w:r>
      <w:r w:rsidRPr="008F25B3">
        <w:rPr>
          <w:color w:val="000000" w:themeColor="text1"/>
        </w:rPr>
        <w:t>i</w:t>
      </w:r>
      <w:r w:rsidRPr="00D604A9">
        <w:rPr>
          <w:color w:val="000000" w:themeColor="text1"/>
        </w:rPr>
        <w:t>tal, 9, pp. 298-328.</w:t>
      </w:r>
    </w:p>
    <w:p w:rsidR="007C10CF" w:rsidRPr="00A75C6B" w:rsidRDefault="007C10CF" w:rsidP="00D604A9">
      <w:pPr>
        <w:spacing w:after="0" w:line="360" w:lineRule="auto"/>
        <w:rPr>
          <w:color w:val="000000" w:themeColor="text1"/>
        </w:rPr>
      </w:pPr>
    </w:p>
    <w:p w:rsidR="00EE0F02" w:rsidRPr="00A75C6B" w:rsidRDefault="0078410F">
      <w:pPr>
        <w:spacing w:after="0" w:line="360" w:lineRule="auto"/>
        <w:rPr>
          <w:color w:val="000000" w:themeColor="text1"/>
        </w:rPr>
      </w:pPr>
      <w:r w:rsidRPr="00A75C6B">
        <w:rPr>
          <w:color w:val="000000" w:themeColor="text1"/>
        </w:rPr>
        <w:t xml:space="preserve">Barry R. </w:t>
      </w:r>
      <w:r w:rsidR="0015681C" w:rsidRPr="00A75C6B">
        <w:rPr>
          <w:color w:val="000000" w:themeColor="text1"/>
        </w:rPr>
        <w:t xml:space="preserve">Chiswick </w:t>
      </w:r>
      <w:r w:rsidRPr="00A75C6B">
        <w:rPr>
          <w:color w:val="000000" w:themeColor="text1"/>
        </w:rPr>
        <w:t>(</w:t>
      </w:r>
      <w:r w:rsidR="0015681C" w:rsidRPr="00A75C6B">
        <w:rPr>
          <w:color w:val="000000" w:themeColor="text1"/>
        </w:rPr>
        <w:t>1</w:t>
      </w:r>
      <w:r w:rsidRPr="00A75C6B">
        <w:rPr>
          <w:color w:val="000000" w:themeColor="text1"/>
        </w:rPr>
        <w:t>9</w:t>
      </w:r>
      <w:r w:rsidR="0015681C" w:rsidRPr="00A75C6B">
        <w:rPr>
          <w:color w:val="000000" w:themeColor="text1"/>
        </w:rPr>
        <w:t>78</w:t>
      </w:r>
      <w:r w:rsidRPr="00A75C6B">
        <w:rPr>
          <w:color w:val="000000" w:themeColor="text1"/>
        </w:rPr>
        <w:t xml:space="preserve">).  “The Effect of Americanization on the Earnings of Foreign-born Men.”  </w:t>
      </w:r>
      <w:r w:rsidRPr="00A75C6B">
        <w:rPr>
          <w:i/>
          <w:color w:val="000000" w:themeColor="text1"/>
        </w:rPr>
        <w:t>Journal of Political Economy</w:t>
      </w:r>
      <w:r w:rsidRPr="00A75C6B">
        <w:rPr>
          <w:color w:val="000000" w:themeColor="text1"/>
        </w:rPr>
        <w:t>, 86, pp. 897-921.</w:t>
      </w:r>
      <w:r w:rsidR="00862641" w:rsidRPr="00A75C6B">
        <w:rPr>
          <w:color w:val="000000" w:themeColor="text1"/>
        </w:rPr>
        <w:t xml:space="preserve"> </w:t>
      </w:r>
    </w:p>
    <w:p w:rsidR="00EE0F02" w:rsidRPr="00A75C6B" w:rsidRDefault="00EE0F02">
      <w:pPr>
        <w:spacing w:after="0" w:line="360" w:lineRule="auto"/>
        <w:rPr>
          <w:color w:val="000000" w:themeColor="text1"/>
        </w:rPr>
      </w:pPr>
    </w:p>
    <w:p w:rsidR="00EE0F02" w:rsidRPr="00A75C6B" w:rsidRDefault="00713D1B">
      <w:pPr>
        <w:spacing w:after="0" w:line="360" w:lineRule="auto"/>
        <w:rPr>
          <w:color w:val="000000" w:themeColor="text1"/>
        </w:rPr>
      </w:pPr>
      <w:r w:rsidRPr="00A75C6B">
        <w:rPr>
          <w:color w:val="000000" w:themeColor="text1"/>
        </w:rPr>
        <w:t xml:space="preserve">Barry R. Chiswick (1986).  “Is the New Immigration Less Skilled than the Old?”  </w:t>
      </w:r>
      <w:r w:rsidRPr="00A75C6B">
        <w:rPr>
          <w:i/>
          <w:color w:val="000000" w:themeColor="text1"/>
        </w:rPr>
        <w:t>Journal of Labour Economics</w:t>
      </w:r>
      <w:r w:rsidRPr="00A75C6B">
        <w:rPr>
          <w:color w:val="000000" w:themeColor="text1"/>
        </w:rPr>
        <w:t>, 4, pp. 168-192.</w:t>
      </w:r>
    </w:p>
    <w:p w:rsidR="001670CC" w:rsidRPr="00A75C6B" w:rsidRDefault="001670CC">
      <w:pPr>
        <w:spacing w:after="0" w:line="360" w:lineRule="auto"/>
        <w:rPr>
          <w:color w:val="000000" w:themeColor="text1"/>
        </w:rPr>
      </w:pPr>
    </w:p>
    <w:p w:rsidR="001670CC" w:rsidRPr="00A75C6B" w:rsidRDefault="001670CC" w:rsidP="00D477E0">
      <w:pPr>
        <w:widowControl w:val="0"/>
        <w:autoSpaceDE w:val="0"/>
        <w:autoSpaceDN w:val="0"/>
        <w:adjustRightInd w:val="0"/>
        <w:spacing w:after="0" w:line="360" w:lineRule="auto"/>
        <w:outlineLvl w:val="0"/>
        <w:rPr>
          <w:rFonts w:cs="Times New Roman"/>
          <w:color w:val="000000" w:themeColor="text1"/>
        </w:rPr>
      </w:pPr>
      <w:r w:rsidRPr="00A75C6B">
        <w:rPr>
          <w:rFonts w:cs="Times New Roman"/>
          <w:color w:val="000000" w:themeColor="text1"/>
        </w:rPr>
        <w:t>Barry R. Chiswick (1991). “Jewish Immigrant Skill and Occupational Attainment at the</w:t>
      </w:r>
    </w:p>
    <w:p w:rsidR="001670CC" w:rsidRPr="00A75C6B" w:rsidRDefault="001670CC">
      <w:pPr>
        <w:widowControl w:val="0"/>
        <w:autoSpaceDE w:val="0"/>
        <w:autoSpaceDN w:val="0"/>
        <w:adjustRightInd w:val="0"/>
        <w:spacing w:after="0" w:line="360" w:lineRule="auto"/>
        <w:rPr>
          <w:rFonts w:cs="Times New Roman"/>
          <w:color w:val="000000" w:themeColor="text1"/>
        </w:rPr>
      </w:pPr>
      <w:r w:rsidRPr="00A75C6B">
        <w:rPr>
          <w:rFonts w:cs="Times New Roman"/>
          <w:color w:val="000000" w:themeColor="text1"/>
        </w:rPr>
        <w:t xml:space="preserve">Turn of the Century.” </w:t>
      </w:r>
      <w:r w:rsidRPr="00A75C6B">
        <w:rPr>
          <w:rFonts w:cs="Times New Roman"/>
          <w:i/>
          <w:color w:val="000000" w:themeColor="text1"/>
        </w:rPr>
        <w:t>Explorations in Economic History</w:t>
      </w:r>
      <w:r w:rsidRPr="00A75C6B">
        <w:rPr>
          <w:rFonts w:cs="Times New Roman"/>
          <w:color w:val="000000" w:themeColor="text1"/>
        </w:rPr>
        <w:t xml:space="preserve">, 28, pp. 64-86 </w:t>
      </w:r>
    </w:p>
    <w:p w:rsidR="00EE0F02" w:rsidRPr="00A75C6B" w:rsidRDefault="00EE0F02">
      <w:pPr>
        <w:spacing w:after="0" w:line="360" w:lineRule="auto"/>
        <w:rPr>
          <w:color w:val="000000" w:themeColor="text1"/>
        </w:rPr>
      </w:pPr>
    </w:p>
    <w:p w:rsidR="00AF69D8" w:rsidRDefault="00E33D02">
      <w:pPr>
        <w:spacing w:after="0" w:line="360" w:lineRule="auto"/>
        <w:rPr>
          <w:rStyle w:val="vol"/>
          <w:rFonts w:cstheme="minorHAnsi"/>
          <w:color w:val="000000" w:themeColor="text1"/>
          <w:bdr w:val="none" w:sz="0" w:space="0" w:color="auto" w:frame="1"/>
          <w:shd w:val="clear" w:color="auto" w:fill="FFFFFF"/>
        </w:rPr>
      </w:pPr>
      <w:r w:rsidRPr="00A75C6B">
        <w:rPr>
          <w:rStyle w:val="author"/>
          <w:rFonts w:cstheme="minorHAnsi"/>
          <w:color w:val="000000" w:themeColor="text1"/>
          <w:bdr w:val="none" w:sz="0" w:space="0" w:color="auto" w:frame="1"/>
          <w:shd w:val="clear" w:color="auto" w:fill="FFFFFF"/>
        </w:rPr>
        <w:t xml:space="preserve">William J. </w:t>
      </w:r>
      <w:r w:rsidR="00AF69D8" w:rsidRPr="00A75C6B">
        <w:rPr>
          <w:rStyle w:val="author"/>
          <w:rFonts w:cstheme="minorHAnsi"/>
          <w:color w:val="000000" w:themeColor="text1"/>
          <w:bdr w:val="none" w:sz="0" w:space="0" w:color="auto" w:frame="1"/>
          <w:shd w:val="clear" w:color="auto" w:fill="FFFFFF"/>
        </w:rPr>
        <w:t>Collins and Marianne H. Wanamaker</w:t>
      </w:r>
      <w:r w:rsidRPr="00A75C6B">
        <w:rPr>
          <w:rStyle w:val="author"/>
          <w:rFonts w:cstheme="minorHAnsi"/>
          <w:color w:val="000000" w:themeColor="text1"/>
          <w:bdr w:val="none" w:sz="0" w:space="0" w:color="auto" w:frame="1"/>
          <w:shd w:val="clear" w:color="auto" w:fill="FFFFFF"/>
        </w:rPr>
        <w:t xml:space="preserve"> (</w:t>
      </w:r>
      <w:r w:rsidR="00AF69D8" w:rsidRPr="00A75C6B">
        <w:rPr>
          <w:rStyle w:val="year"/>
          <w:rFonts w:cstheme="minorHAnsi"/>
          <w:color w:val="000000" w:themeColor="text1"/>
          <w:bdr w:val="none" w:sz="0" w:space="0" w:color="auto" w:frame="1"/>
          <w:shd w:val="clear" w:color="auto" w:fill="FFFFFF"/>
        </w:rPr>
        <w:t>2014</w:t>
      </w:r>
      <w:r w:rsidRPr="00A75C6B">
        <w:rPr>
          <w:rStyle w:val="year"/>
          <w:rFonts w:cstheme="minorHAnsi"/>
          <w:color w:val="000000" w:themeColor="text1"/>
          <w:bdr w:val="none" w:sz="0" w:space="0" w:color="auto" w:frame="1"/>
          <w:shd w:val="clear" w:color="auto" w:fill="FFFFFF"/>
        </w:rPr>
        <w:t>)</w:t>
      </w:r>
      <w:r w:rsidR="00AF69D8" w:rsidRPr="00A75C6B">
        <w:rPr>
          <w:rStyle w:val="year"/>
          <w:rFonts w:cstheme="minorHAnsi"/>
          <w:color w:val="000000" w:themeColor="text1"/>
          <w:bdr w:val="none" w:sz="0" w:space="0" w:color="auto" w:frame="1"/>
          <w:shd w:val="clear" w:color="auto" w:fill="FFFFFF"/>
        </w:rPr>
        <w:t>.</w:t>
      </w:r>
      <w:r w:rsidR="00AF69D8" w:rsidRPr="00A75C6B">
        <w:rPr>
          <w:rStyle w:val="apple-converted-space"/>
          <w:rFonts w:cstheme="minorHAnsi"/>
          <w:color w:val="000000" w:themeColor="text1"/>
          <w:shd w:val="clear" w:color="auto" w:fill="FFFFFF"/>
        </w:rPr>
        <w:t> </w:t>
      </w:r>
      <w:r w:rsidR="00AF69D8" w:rsidRPr="00A75C6B">
        <w:rPr>
          <w:rStyle w:val="Title1"/>
          <w:rFonts w:cstheme="minorHAnsi"/>
          <w:color w:val="000000" w:themeColor="text1"/>
          <w:bdr w:val="none" w:sz="0" w:space="0" w:color="auto" w:frame="1"/>
          <w:shd w:val="clear" w:color="auto" w:fill="FFFFFF"/>
        </w:rPr>
        <w:t>"Selection and Economic Gains in the Great Migration of African Americans: New Evidence from Linked Census Data."</w:t>
      </w:r>
      <w:r w:rsidR="00AF69D8" w:rsidRPr="00A75C6B">
        <w:rPr>
          <w:rStyle w:val="apple-converted-space"/>
          <w:rFonts w:cstheme="minorHAnsi"/>
          <w:color w:val="000000" w:themeColor="text1"/>
          <w:shd w:val="clear" w:color="auto" w:fill="FFFFFF"/>
        </w:rPr>
        <w:t> </w:t>
      </w:r>
      <w:r w:rsidR="00AF69D8" w:rsidRPr="00A75C6B">
        <w:rPr>
          <w:rStyle w:val="journal"/>
          <w:rFonts w:cstheme="minorHAnsi"/>
          <w:i/>
          <w:iCs/>
          <w:color w:val="000000" w:themeColor="text1"/>
          <w:bdr w:val="none" w:sz="0" w:space="0" w:color="auto" w:frame="1"/>
          <w:shd w:val="clear" w:color="auto" w:fill="FFFFFF"/>
        </w:rPr>
        <w:t>American Economic Journal: Applied Economics</w:t>
      </w:r>
      <w:r w:rsidR="00AF69D8" w:rsidRPr="00A75C6B">
        <w:rPr>
          <w:rFonts w:cstheme="minorHAnsi"/>
          <w:color w:val="000000" w:themeColor="text1"/>
          <w:shd w:val="clear" w:color="auto" w:fill="FFFFFF"/>
        </w:rPr>
        <w:t>,</w:t>
      </w:r>
      <w:r w:rsidR="00AF69D8" w:rsidRPr="00A75C6B">
        <w:rPr>
          <w:rStyle w:val="apple-converted-space"/>
          <w:rFonts w:cstheme="minorHAnsi"/>
          <w:color w:val="000000" w:themeColor="text1"/>
          <w:shd w:val="clear" w:color="auto" w:fill="FFFFFF"/>
        </w:rPr>
        <w:t> </w:t>
      </w:r>
      <w:r w:rsidR="00AF69D8" w:rsidRPr="00A75C6B">
        <w:rPr>
          <w:rStyle w:val="vol"/>
          <w:rFonts w:cstheme="minorHAnsi"/>
          <w:color w:val="000000" w:themeColor="text1"/>
          <w:bdr w:val="none" w:sz="0" w:space="0" w:color="auto" w:frame="1"/>
          <w:shd w:val="clear" w:color="auto" w:fill="FFFFFF"/>
        </w:rPr>
        <w:t>6</w:t>
      </w:r>
      <w:r w:rsidRPr="00A75C6B">
        <w:rPr>
          <w:rStyle w:val="vol"/>
          <w:rFonts w:cstheme="minorHAnsi"/>
          <w:color w:val="000000" w:themeColor="text1"/>
          <w:bdr w:val="none" w:sz="0" w:space="0" w:color="auto" w:frame="1"/>
          <w:shd w:val="clear" w:color="auto" w:fill="FFFFFF"/>
        </w:rPr>
        <w:t>, pp.</w:t>
      </w:r>
      <w:r w:rsidR="00AF69D8" w:rsidRPr="00A75C6B">
        <w:rPr>
          <w:rStyle w:val="vol"/>
          <w:rFonts w:cstheme="minorHAnsi"/>
          <w:color w:val="000000" w:themeColor="text1"/>
          <w:bdr w:val="none" w:sz="0" w:space="0" w:color="auto" w:frame="1"/>
          <w:shd w:val="clear" w:color="auto" w:fill="FFFFFF"/>
        </w:rPr>
        <w:t xml:space="preserve"> 220-52</w:t>
      </w:r>
      <w:r w:rsidRPr="00A75C6B">
        <w:rPr>
          <w:rStyle w:val="vol"/>
          <w:rFonts w:cstheme="minorHAnsi"/>
          <w:color w:val="000000" w:themeColor="text1"/>
          <w:bdr w:val="none" w:sz="0" w:space="0" w:color="auto" w:frame="1"/>
          <w:shd w:val="clear" w:color="auto" w:fill="FFFFFF"/>
        </w:rPr>
        <w:t>.</w:t>
      </w:r>
    </w:p>
    <w:p w:rsidR="00902D72" w:rsidRDefault="00902D72">
      <w:pPr>
        <w:spacing w:after="0" w:line="360" w:lineRule="auto"/>
        <w:rPr>
          <w:rStyle w:val="vol"/>
          <w:rFonts w:cstheme="minorHAnsi"/>
          <w:color w:val="000000" w:themeColor="text1"/>
          <w:bdr w:val="none" w:sz="0" w:space="0" w:color="auto" w:frame="1"/>
          <w:shd w:val="clear" w:color="auto" w:fill="FFFFFF"/>
        </w:rPr>
      </w:pPr>
    </w:p>
    <w:p w:rsidR="00902D72" w:rsidRPr="00A75C6B" w:rsidRDefault="00902D72" w:rsidP="00A75C6B">
      <w:pPr>
        <w:pStyle w:val="NormalWeb"/>
        <w:spacing w:before="0" w:beforeAutospacing="0" w:after="0" w:afterAutospacing="0" w:line="360" w:lineRule="auto"/>
        <w:rPr>
          <w:rFonts w:asciiTheme="minorHAnsi" w:hAnsiTheme="minorHAnsi"/>
          <w:color w:val="000000" w:themeColor="text1"/>
          <w:sz w:val="22"/>
          <w:szCs w:val="22"/>
        </w:rPr>
      </w:pPr>
      <w:r w:rsidRPr="00A75C6B">
        <w:rPr>
          <w:rFonts w:asciiTheme="minorHAnsi" w:hAnsiTheme="minorHAnsi"/>
          <w:color w:val="000000" w:themeColor="text1"/>
          <w:sz w:val="22"/>
          <w:szCs w:val="22"/>
        </w:rPr>
        <w:t xml:space="preserve">William J. Collins and Marianne H. Wanamaker (2015). </w:t>
      </w:r>
      <w:r w:rsidRPr="00A75C6B">
        <w:rPr>
          <w:rFonts w:asciiTheme="minorHAnsi" w:hAnsiTheme="minorHAnsi" w:cs="Arial"/>
          <w:color w:val="000000" w:themeColor="text1"/>
          <w:sz w:val="22"/>
          <w:szCs w:val="22"/>
        </w:rPr>
        <w:t>“The Great Migration in Black and White: New Evidence on the Selection and Sorting of Southern Migrants.”</w:t>
      </w:r>
      <w:r w:rsidRPr="00A75C6B">
        <w:rPr>
          <w:rFonts w:asciiTheme="minorHAnsi" w:hAnsiTheme="minorHAnsi" w:cs="Arial"/>
          <w:i/>
          <w:color w:val="000000" w:themeColor="text1"/>
          <w:sz w:val="22"/>
          <w:szCs w:val="22"/>
        </w:rPr>
        <w:t xml:space="preserve"> Journal of Economic History</w:t>
      </w:r>
      <w:r w:rsidRPr="00A75C6B">
        <w:rPr>
          <w:rFonts w:asciiTheme="minorHAnsi" w:hAnsiTheme="minorHAnsi" w:cs="Arial"/>
          <w:color w:val="000000" w:themeColor="text1"/>
          <w:sz w:val="22"/>
          <w:szCs w:val="22"/>
        </w:rPr>
        <w:t>, 75, pp. 947-992.</w:t>
      </w:r>
      <w:r w:rsidRPr="00A75C6B">
        <w:rPr>
          <w:rFonts w:asciiTheme="minorHAnsi" w:hAnsiTheme="minorHAnsi"/>
          <w:color w:val="000000" w:themeColor="text1"/>
          <w:sz w:val="22"/>
          <w:szCs w:val="22"/>
        </w:rPr>
        <w:t xml:space="preserve"> </w:t>
      </w:r>
    </w:p>
    <w:p w:rsidR="001670CC" w:rsidRPr="00A75C6B" w:rsidRDefault="001670CC">
      <w:pPr>
        <w:widowControl w:val="0"/>
        <w:autoSpaceDE w:val="0"/>
        <w:autoSpaceDN w:val="0"/>
        <w:adjustRightInd w:val="0"/>
        <w:spacing w:after="0" w:line="360" w:lineRule="auto"/>
        <w:rPr>
          <w:rFonts w:cs="Times New Roman"/>
          <w:color w:val="000000" w:themeColor="text1"/>
        </w:rPr>
      </w:pPr>
    </w:p>
    <w:p w:rsidR="001670CC" w:rsidRPr="00A75C6B" w:rsidRDefault="001670CC">
      <w:pPr>
        <w:spacing w:after="0" w:line="360" w:lineRule="auto"/>
        <w:rPr>
          <w:rFonts w:cs="Times New Roman"/>
          <w:color w:val="000000" w:themeColor="text1"/>
        </w:rPr>
      </w:pPr>
      <w:r w:rsidRPr="00A75C6B">
        <w:rPr>
          <w:rFonts w:cs="Times New Roman"/>
          <w:color w:val="000000" w:themeColor="text1"/>
        </w:rPr>
        <w:t>William Darity Jr., Jason Dietrich, David K. Guilkey (1997). “Racial and Ethnic Inequality in the United States: A Secular Perspective.” Am</w:t>
      </w:r>
      <w:r w:rsidRPr="00A75C6B">
        <w:rPr>
          <w:rFonts w:cs="Times New Roman"/>
          <w:i/>
          <w:color w:val="000000" w:themeColor="text1"/>
        </w:rPr>
        <w:t>erican Economic Review</w:t>
      </w:r>
      <w:r w:rsidRPr="00A75C6B">
        <w:rPr>
          <w:rFonts w:cs="Times New Roman"/>
          <w:color w:val="000000" w:themeColor="text1"/>
        </w:rPr>
        <w:t>, 87, pp. 301-305.</w:t>
      </w:r>
    </w:p>
    <w:p w:rsidR="001670CC" w:rsidRPr="00A75C6B" w:rsidRDefault="001670CC">
      <w:pPr>
        <w:spacing w:after="0" w:line="360" w:lineRule="auto"/>
        <w:rPr>
          <w:color w:val="000000" w:themeColor="text1"/>
        </w:rPr>
      </w:pPr>
    </w:p>
    <w:p w:rsidR="00AF69D8" w:rsidRPr="00A75C6B" w:rsidRDefault="00E33D02">
      <w:pPr>
        <w:autoSpaceDE w:val="0"/>
        <w:autoSpaceDN w:val="0"/>
        <w:adjustRightInd w:val="0"/>
        <w:spacing w:after="0" w:line="360" w:lineRule="auto"/>
        <w:rPr>
          <w:rFonts w:cstheme="minorHAnsi"/>
          <w:color w:val="000000" w:themeColor="text1"/>
        </w:rPr>
      </w:pPr>
      <w:r w:rsidRPr="00A75C6B">
        <w:rPr>
          <w:rFonts w:cstheme="minorHAnsi"/>
          <w:color w:val="000000" w:themeColor="text1"/>
        </w:rPr>
        <w:t xml:space="preserve">Otis D. </w:t>
      </w:r>
      <w:r w:rsidR="00AF69D8" w:rsidRPr="00A75C6B">
        <w:rPr>
          <w:rFonts w:cstheme="minorHAnsi"/>
          <w:color w:val="000000" w:themeColor="text1"/>
        </w:rPr>
        <w:t>Duncan</w:t>
      </w:r>
      <w:r w:rsidRPr="00A75C6B">
        <w:rPr>
          <w:rFonts w:cstheme="minorHAnsi"/>
          <w:color w:val="000000" w:themeColor="text1"/>
        </w:rPr>
        <w:t xml:space="preserve"> (</w:t>
      </w:r>
      <w:r w:rsidR="00AF69D8" w:rsidRPr="00A75C6B">
        <w:rPr>
          <w:rFonts w:cstheme="minorHAnsi"/>
          <w:color w:val="000000" w:themeColor="text1"/>
        </w:rPr>
        <w:t>1961</w:t>
      </w:r>
      <w:r w:rsidRPr="00A75C6B">
        <w:rPr>
          <w:rFonts w:cstheme="minorHAnsi"/>
          <w:color w:val="000000" w:themeColor="text1"/>
        </w:rPr>
        <w:t>)</w:t>
      </w:r>
      <w:r w:rsidR="00AF69D8" w:rsidRPr="00A75C6B">
        <w:rPr>
          <w:rFonts w:cstheme="minorHAnsi"/>
          <w:color w:val="000000" w:themeColor="text1"/>
        </w:rPr>
        <w:t xml:space="preserve">. “A Socioeconomic Index for All Occupations.” In </w:t>
      </w:r>
      <w:r w:rsidR="00AF69D8" w:rsidRPr="00A75C6B">
        <w:rPr>
          <w:rFonts w:cstheme="minorHAnsi"/>
          <w:i/>
          <w:iCs/>
          <w:color w:val="000000" w:themeColor="text1"/>
        </w:rPr>
        <w:t>Occupations</w:t>
      </w:r>
      <w:r w:rsidR="00682858" w:rsidRPr="00A75C6B">
        <w:rPr>
          <w:rFonts w:cstheme="minorHAnsi"/>
          <w:i/>
          <w:iCs/>
          <w:color w:val="000000" w:themeColor="text1"/>
        </w:rPr>
        <w:t xml:space="preserve"> </w:t>
      </w:r>
      <w:r w:rsidR="00AF69D8" w:rsidRPr="00A75C6B">
        <w:rPr>
          <w:rFonts w:cstheme="minorHAnsi"/>
          <w:i/>
          <w:iCs/>
          <w:color w:val="000000" w:themeColor="text1"/>
        </w:rPr>
        <w:t>and Social Status</w:t>
      </w:r>
      <w:r w:rsidR="00AF69D8" w:rsidRPr="00A75C6B">
        <w:rPr>
          <w:rFonts w:cstheme="minorHAnsi"/>
          <w:color w:val="000000" w:themeColor="text1"/>
        </w:rPr>
        <w:t xml:space="preserve">, edited by Albert J. Reiss, Jr., </w:t>
      </w:r>
      <w:r w:rsidRPr="00A75C6B">
        <w:rPr>
          <w:rFonts w:cstheme="minorHAnsi"/>
          <w:color w:val="000000" w:themeColor="text1"/>
        </w:rPr>
        <w:t xml:space="preserve">pp. </w:t>
      </w:r>
      <w:r w:rsidR="00AF69D8" w:rsidRPr="00A75C6B">
        <w:rPr>
          <w:rFonts w:cstheme="minorHAnsi"/>
          <w:color w:val="000000" w:themeColor="text1"/>
        </w:rPr>
        <w:t>109–38. New York: Free</w:t>
      </w:r>
      <w:r w:rsidR="00682858" w:rsidRPr="00A75C6B">
        <w:rPr>
          <w:rFonts w:cstheme="minorHAnsi"/>
          <w:color w:val="000000" w:themeColor="text1"/>
        </w:rPr>
        <w:t xml:space="preserve"> </w:t>
      </w:r>
      <w:r w:rsidR="00AF69D8" w:rsidRPr="00A75C6B">
        <w:rPr>
          <w:rFonts w:cstheme="minorHAnsi"/>
          <w:color w:val="000000" w:themeColor="text1"/>
        </w:rPr>
        <w:t>Press.</w:t>
      </w:r>
    </w:p>
    <w:p w:rsidR="00EE0F02" w:rsidRPr="00A75C6B" w:rsidRDefault="00EE0F02">
      <w:pPr>
        <w:spacing w:after="0" w:line="360" w:lineRule="auto"/>
        <w:rPr>
          <w:rFonts w:cstheme="minorHAnsi"/>
          <w:color w:val="000000" w:themeColor="text1"/>
        </w:rPr>
      </w:pPr>
    </w:p>
    <w:p w:rsidR="00005E84" w:rsidRPr="00A75C6B" w:rsidRDefault="00E33D02">
      <w:pPr>
        <w:spacing w:after="0" w:line="360" w:lineRule="auto"/>
        <w:rPr>
          <w:rFonts w:cs="Arial"/>
          <w:color w:val="000000" w:themeColor="text1"/>
          <w:shd w:val="clear" w:color="auto" w:fill="FFFFFF"/>
        </w:rPr>
      </w:pPr>
      <w:r w:rsidRPr="00A75C6B">
        <w:rPr>
          <w:rFonts w:cs="Arial"/>
          <w:color w:val="000000" w:themeColor="text1"/>
          <w:shd w:val="clear" w:color="auto" w:fill="FFFFFF"/>
        </w:rPr>
        <w:t xml:space="preserve">R. </w:t>
      </w:r>
      <w:r w:rsidR="00005E84" w:rsidRPr="00A75C6B">
        <w:rPr>
          <w:rFonts w:cs="Arial"/>
          <w:color w:val="000000" w:themeColor="text1"/>
          <w:shd w:val="clear" w:color="auto" w:fill="FFFFFF"/>
        </w:rPr>
        <w:t>Erikson, R.</w:t>
      </w:r>
      <w:r w:rsidRPr="00A75C6B">
        <w:rPr>
          <w:rFonts w:cs="Arial"/>
          <w:color w:val="000000" w:themeColor="text1"/>
          <w:shd w:val="clear" w:color="auto" w:fill="FFFFFF"/>
        </w:rPr>
        <w:t xml:space="preserve"> and J. H. </w:t>
      </w:r>
      <w:r w:rsidR="00005E84" w:rsidRPr="00A75C6B">
        <w:rPr>
          <w:rFonts w:cs="Arial"/>
          <w:color w:val="000000" w:themeColor="text1"/>
          <w:shd w:val="clear" w:color="auto" w:fill="FFFFFF"/>
        </w:rPr>
        <w:t>Goldthorpe, J. H. (1992).</w:t>
      </w:r>
      <w:r w:rsidR="00005E84" w:rsidRPr="00A75C6B">
        <w:rPr>
          <w:rStyle w:val="apple-converted-space"/>
          <w:rFonts w:cs="Arial"/>
          <w:color w:val="000000" w:themeColor="text1"/>
          <w:shd w:val="clear" w:color="auto" w:fill="FFFFFF"/>
        </w:rPr>
        <w:t> </w:t>
      </w:r>
      <w:r w:rsidR="00005E84" w:rsidRPr="00A75C6B">
        <w:rPr>
          <w:rFonts w:cs="Arial"/>
          <w:i/>
          <w:iCs/>
          <w:color w:val="000000" w:themeColor="text1"/>
          <w:shd w:val="clear" w:color="auto" w:fill="FFFFFF"/>
        </w:rPr>
        <w:t>The constant flux: A study of class mobility in industrial societies</w:t>
      </w:r>
      <w:r w:rsidR="00005E84" w:rsidRPr="00A75C6B">
        <w:rPr>
          <w:rFonts w:cs="Arial"/>
          <w:color w:val="000000" w:themeColor="text1"/>
          <w:shd w:val="clear" w:color="auto" w:fill="FFFFFF"/>
        </w:rPr>
        <w:t>. Oxford University Press.</w:t>
      </w:r>
    </w:p>
    <w:p w:rsidR="00A12096" w:rsidRPr="00A75C6B" w:rsidRDefault="00A12096">
      <w:pPr>
        <w:spacing w:after="0" w:line="360" w:lineRule="auto"/>
        <w:rPr>
          <w:rFonts w:cs="Arial"/>
          <w:color w:val="000000" w:themeColor="text1"/>
          <w:shd w:val="clear" w:color="auto" w:fill="FFFFFF"/>
        </w:rPr>
      </w:pPr>
    </w:p>
    <w:p w:rsidR="00A12096" w:rsidRPr="00A75C6B" w:rsidRDefault="00A12096" w:rsidP="00A75C6B">
      <w:pPr>
        <w:widowControl w:val="0"/>
        <w:autoSpaceDE w:val="0"/>
        <w:autoSpaceDN w:val="0"/>
        <w:adjustRightInd w:val="0"/>
        <w:spacing w:after="0" w:line="360" w:lineRule="auto"/>
        <w:rPr>
          <w:rFonts w:cs="Times New Roman"/>
          <w:color w:val="000000" w:themeColor="text1"/>
          <w:lang w:val="en-US"/>
        </w:rPr>
      </w:pPr>
      <w:r w:rsidRPr="00A75C6B">
        <w:rPr>
          <w:rFonts w:cs="Times New Roman"/>
          <w:color w:val="000000" w:themeColor="text1"/>
          <w:lang w:val="en-US"/>
        </w:rPr>
        <w:t>Sonja Fagernäs (2014). “Papers,</w:t>
      </w:r>
      <w:r w:rsidRPr="00A75C6B">
        <w:rPr>
          <w:rFonts w:cs="Times New Roman"/>
          <w:color w:val="000000" w:themeColor="text1"/>
          <w:spacing w:val="-2"/>
          <w:lang w:val="en-US"/>
        </w:rPr>
        <w:t xml:space="preserve"> </w:t>
      </w:r>
      <w:r w:rsidRPr="00A75C6B">
        <w:rPr>
          <w:rFonts w:cs="Times New Roman"/>
          <w:color w:val="000000" w:themeColor="text1"/>
          <w:lang w:val="en-US"/>
        </w:rPr>
        <w:t>please!</w:t>
      </w:r>
      <w:r w:rsidRPr="00A75C6B">
        <w:rPr>
          <w:rFonts w:cs="Times New Roman"/>
          <w:color w:val="000000" w:themeColor="text1"/>
          <w:spacing w:val="-2"/>
          <w:lang w:val="en-US"/>
        </w:rPr>
        <w:t xml:space="preserve"> </w:t>
      </w:r>
      <w:r w:rsidRPr="00A75C6B">
        <w:rPr>
          <w:rFonts w:cs="Times New Roman"/>
          <w:color w:val="000000" w:themeColor="text1"/>
          <w:lang w:val="en-US"/>
        </w:rPr>
        <w:t>The</w:t>
      </w:r>
      <w:r w:rsidRPr="00A75C6B">
        <w:rPr>
          <w:rFonts w:cs="Times New Roman"/>
          <w:color w:val="000000" w:themeColor="text1"/>
          <w:spacing w:val="7"/>
          <w:lang w:val="en-US"/>
        </w:rPr>
        <w:t xml:space="preserve"> </w:t>
      </w:r>
      <w:r w:rsidRPr="00A75C6B">
        <w:rPr>
          <w:rFonts w:cs="Times New Roman"/>
          <w:color w:val="000000" w:themeColor="text1"/>
          <w:lang w:val="en-US"/>
        </w:rPr>
        <w:t>effect</w:t>
      </w:r>
      <w:r w:rsidRPr="00A75C6B">
        <w:rPr>
          <w:rFonts w:cs="Times New Roman"/>
          <w:color w:val="000000" w:themeColor="text1"/>
          <w:spacing w:val="-6"/>
          <w:lang w:val="en-US"/>
        </w:rPr>
        <w:t xml:space="preserve"> </w:t>
      </w:r>
      <w:r w:rsidRPr="00A75C6B">
        <w:rPr>
          <w:rFonts w:cs="Times New Roman"/>
          <w:color w:val="000000" w:themeColor="text1"/>
          <w:lang w:val="en-US"/>
        </w:rPr>
        <w:t>of</w:t>
      </w:r>
      <w:r w:rsidRPr="00A75C6B">
        <w:rPr>
          <w:rFonts w:cs="Times New Roman"/>
          <w:color w:val="000000" w:themeColor="text1"/>
          <w:spacing w:val="12"/>
          <w:lang w:val="en-US"/>
        </w:rPr>
        <w:t xml:space="preserve"> </w:t>
      </w:r>
      <w:r w:rsidRPr="00A75C6B">
        <w:rPr>
          <w:rFonts w:cs="Times New Roman"/>
          <w:color w:val="000000" w:themeColor="text1"/>
          <w:lang w:val="en-US"/>
        </w:rPr>
        <w:t>birth</w:t>
      </w:r>
      <w:r w:rsidRPr="00A75C6B">
        <w:rPr>
          <w:rFonts w:cs="Times New Roman"/>
          <w:color w:val="000000" w:themeColor="text1"/>
          <w:spacing w:val="4"/>
          <w:lang w:val="en-US"/>
        </w:rPr>
        <w:t xml:space="preserve"> </w:t>
      </w:r>
      <w:r w:rsidRPr="00A75C6B">
        <w:rPr>
          <w:rFonts w:cs="Times New Roman"/>
          <w:color w:val="000000" w:themeColor="text1"/>
          <w:lang w:val="en-US"/>
        </w:rPr>
        <w:t>regist</w:t>
      </w:r>
      <w:r w:rsidRPr="00A75C6B">
        <w:rPr>
          <w:rFonts w:cs="Times New Roman"/>
          <w:color w:val="000000" w:themeColor="text1"/>
          <w:spacing w:val="3"/>
          <w:lang w:val="en-US"/>
        </w:rPr>
        <w:t>r</w:t>
      </w:r>
      <w:r w:rsidRPr="00A75C6B">
        <w:rPr>
          <w:rFonts w:cs="Times New Roman"/>
          <w:color w:val="000000" w:themeColor="text1"/>
          <w:lang w:val="en-US"/>
        </w:rPr>
        <w:t>ation</w:t>
      </w:r>
      <w:r w:rsidRPr="00A75C6B">
        <w:rPr>
          <w:rFonts w:cs="Times New Roman"/>
          <w:color w:val="000000" w:themeColor="text1"/>
          <w:spacing w:val="-24"/>
          <w:lang w:val="en-US"/>
        </w:rPr>
        <w:t xml:space="preserve"> </w:t>
      </w:r>
      <w:r w:rsidRPr="00A75C6B">
        <w:rPr>
          <w:rFonts w:cs="Times New Roman"/>
          <w:color w:val="000000" w:themeColor="text1"/>
          <w:lang w:val="en-US"/>
        </w:rPr>
        <w:t>on</w:t>
      </w:r>
      <w:r w:rsidRPr="00A75C6B">
        <w:rPr>
          <w:rFonts w:cs="Times New Roman"/>
          <w:color w:val="000000" w:themeColor="text1"/>
          <w:spacing w:val="14"/>
          <w:lang w:val="en-US"/>
        </w:rPr>
        <w:t xml:space="preserve"> </w:t>
      </w:r>
      <w:r w:rsidRPr="00A75C6B">
        <w:rPr>
          <w:rFonts w:cs="Times New Roman"/>
          <w:color w:val="000000" w:themeColor="text1"/>
          <w:lang w:val="en-US"/>
        </w:rPr>
        <w:t>child labor</w:t>
      </w:r>
      <w:r w:rsidRPr="00A75C6B">
        <w:rPr>
          <w:rFonts w:cs="Times New Roman"/>
          <w:color w:val="000000" w:themeColor="text1"/>
          <w:spacing w:val="3"/>
          <w:lang w:val="en-US"/>
        </w:rPr>
        <w:t xml:space="preserve"> </w:t>
      </w:r>
      <w:r w:rsidRPr="00A75C6B">
        <w:rPr>
          <w:rFonts w:cs="Times New Roman"/>
          <w:color w:val="000000" w:themeColor="text1"/>
          <w:lang w:val="en-US"/>
        </w:rPr>
        <w:t>and</w:t>
      </w:r>
      <w:r w:rsidRPr="00A75C6B">
        <w:rPr>
          <w:rFonts w:cs="Times New Roman"/>
          <w:color w:val="000000" w:themeColor="text1"/>
          <w:spacing w:val="12"/>
          <w:lang w:val="en-US"/>
        </w:rPr>
        <w:t xml:space="preserve"> </w:t>
      </w:r>
      <w:r w:rsidRPr="00A75C6B">
        <w:rPr>
          <w:rFonts w:cs="Times New Roman"/>
          <w:color w:val="000000" w:themeColor="text1"/>
          <w:lang w:val="en-US"/>
        </w:rPr>
        <w:t>education</w:t>
      </w:r>
      <w:r w:rsidRPr="00A75C6B">
        <w:rPr>
          <w:rFonts w:cs="Times New Roman"/>
          <w:color w:val="000000" w:themeColor="text1"/>
          <w:spacing w:val="-7"/>
          <w:lang w:val="en-US"/>
        </w:rPr>
        <w:t xml:space="preserve"> </w:t>
      </w:r>
      <w:r w:rsidRPr="00A75C6B">
        <w:rPr>
          <w:rFonts w:cs="Times New Roman"/>
          <w:color w:val="000000" w:themeColor="text1"/>
          <w:lang w:val="en-US"/>
        </w:rPr>
        <w:t>in</w:t>
      </w:r>
      <w:r w:rsidRPr="00A75C6B">
        <w:rPr>
          <w:rFonts w:cs="Times New Roman"/>
          <w:color w:val="000000" w:themeColor="text1"/>
          <w:spacing w:val="12"/>
          <w:lang w:val="en-US"/>
        </w:rPr>
        <w:t xml:space="preserve"> </w:t>
      </w:r>
      <w:r w:rsidRPr="00A75C6B">
        <w:rPr>
          <w:rFonts w:cs="Times New Roman"/>
          <w:color w:val="000000" w:themeColor="text1"/>
          <w:lang w:val="en-US"/>
        </w:rPr>
        <w:t>early</w:t>
      </w:r>
      <w:r w:rsidRPr="00A75C6B">
        <w:rPr>
          <w:rFonts w:cs="Times New Roman"/>
          <w:color w:val="000000" w:themeColor="text1"/>
          <w:spacing w:val="3"/>
          <w:lang w:val="en-US"/>
        </w:rPr>
        <w:t xml:space="preserve"> </w:t>
      </w:r>
      <w:r w:rsidRPr="00A75C6B">
        <w:rPr>
          <w:rFonts w:cs="Times New Roman"/>
          <w:color w:val="000000" w:themeColor="text1"/>
          <w:lang w:val="en-US"/>
        </w:rPr>
        <w:t>20th</w:t>
      </w:r>
      <w:r w:rsidRPr="00A75C6B">
        <w:rPr>
          <w:rFonts w:cs="Times New Roman"/>
          <w:color w:val="000000" w:themeColor="text1"/>
          <w:spacing w:val="11"/>
          <w:lang w:val="en-US"/>
        </w:rPr>
        <w:t xml:space="preserve"> </w:t>
      </w:r>
      <w:r w:rsidRPr="00A75C6B">
        <w:rPr>
          <w:rFonts w:cs="Times New Roman"/>
          <w:color w:val="000000" w:themeColor="text1"/>
          <w:lang w:val="en-US"/>
        </w:rPr>
        <w:t>century</w:t>
      </w:r>
      <w:r w:rsidRPr="00A75C6B">
        <w:rPr>
          <w:rFonts w:cs="Times New Roman"/>
          <w:color w:val="000000" w:themeColor="text1"/>
          <w:spacing w:val="-2"/>
          <w:lang w:val="en-US"/>
        </w:rPr>
        <w:t xml:space="preserve"> </w:t>
      </w:r>
      <w:r w:rsidRPr="00A75C6B">
        <w:rPr>
          <w:rFonts w:cs="Times New Roman"/>
          <w:color w:val="000000" w:themeColor="text1"/>
          <w:lang w:val="en-US"/>
        </w:rPr>
        <w:t xml:space="preserve">USA.” </w:t>
      </w:r>
      <w:r w:rsidRPr="00A75C6B">
        <w:rPr>
          <w:rFonts w:cs="Times New Roman"/>
          <w:i/>
          <w:color w:val="000000" w:themeColor="text1"/>
          <w:lang w:val="en-US"/>
        </w:rPr>
        <w:t>Explorations in Economic History</w:t>
      </w:r>
      <w:r w:rsidRPr="00A75C6B">
        <w:rPr>
          <w:rFonts w:cs="Times New Roman"/>
          <w:color w:val="000000" w:themeColor="text1"/>
          <w:lang w:val="en-US"/>
        </w:rPr>
        <w:t>, 52, pp. 63-92.</w:t>
      </w:r>
    </w:p>
    <w:p w:rsidR="00122371" w:rsidRPr="00A75C6B" w:rsidRDefault="00122371" w:rsidP="00AB02A7">
      <w:pPr>
        <w:spacing w:after="0" w:line="360" w:lineRule="auto"/>
        <w:rPr>
          <w:rFonts w:cs="Arial"/>
          <w:color w:val="000000" w:themeColor="text1"/>
          <w:shd w:val="clear" w:color="auto" w:fill="FFFFFF"/>
        </w:rPr>
      </w:pPr>
    </w:p>
    <w:p w:rsidR="00A64122" w:rsidRDefault="00122371" w:rsidP="00AD7D04">
      <w:pPr>
        <w:spacing w:after="0" w:line="360" w:lineRule="auto"/>
        <w:rPr>
          <w:rFonts w:cs="Arial"/>
          <w:color w:val="000000" w:themeColor="text1"/>
          <w:shd w:val="clear" w:color="auto" w:fill="FFFFFF"/>
        </w:rPr>
      </w:pPr>
      <w:r w:rsidRPr="00A75C6B">
        <w:rPr>
          <w:rFonts w:cs="Arial"/>
          <w:color w:val="000000" w:themeColor="text1"/>
          <w:shd w:val="clear" w:color="auto" w:fill="FFFFFF"/>
        </w:rPr>
        <w:t xml:space="preserve">James </w:t>
      </w:r>
      <w:r w:rsidR="004F5CF0" w:rsidRPr="00A75C6B">
        <w:rPr>
          <w:rFonts w:cs="Arial"/>
          <w:color w:val="000000" w:themeColor="text1"/>
          <w:shd w:val="clear" w:color="auto" w:fill="FFFFFF"/>
        </w:rPr>
        <w:t xml:space="preserve">J. </w:t>
      </w:r>
      <w:r w:rsidRPr="00A75C6B">
        <w:rPr>
          <w:rFonts w:cs="Arial"/>
          <w:color w:val="000000" w:themeColor="text1"/>
          <w:shd w:val="clear" w:color="auto" w:fill="FFFFFF"/>
        </w:rPr>
        <w:t>Feigenbaum,</w:t>
      </w:r>
      <w:r w:rsidR="004F5CF0" w:rsidRPr="00A75C6B">
        <w:rPr>
          <w:rFonts w:cs="Arial"/>
          <w:color w:val="000000" w:themeColor="text1"/>
          <w:shd w:val="clear" w:color="auto" w:fill="FFFFFF"/>
        </w:rPr>
        <w:t xml:space="preserve"> (2015)</w:t>
      </w:r>
      <w:r w:rsidRPr="00A75C6B">
        <w:rPr>
          <w:rFonts w:cs="Arial"/>
          <w:color w:val="000000" w:themeColor="text1"/>
          <w:shd w:val="clear" w:color="auto" w:fill="FFFFFF"/>
        </w:rPr>
        <w:t xml:space="preserve"> </w:t>
      </w:r>
      <w:r w:rsidR="004F5CF0" w:rsidRPr="00A75C6B">
        <w:rPr>
          <w:rFonts w:cs="Arial"/>
          <w:color w:val="000000" w:themeColor="text1"/>
          <w:shd w:val="clear" w:color="auto" w:fill="FFFFFF"/>
        </w:rPr>
        <w:t>“Intergeneration</w:t>
      </w:r>
      <w:r w:rsidR="00F50F4C">
        <w:rPr>
          <w:rFonts w:cs="Arial"/>
          <w:color w:val="000000" w:themeColor="text1"/>
          <w:shd w:val="clear" w:color="auto" w:fill="FFFFFF"/>
        </w:rPr>
        <w:t>al</w:t>
      </w:r>
      <w:r w:rsidR="004F5CF0" w:rsidRPr="00A75C6B">
        <w:rPr>
          <w:rFonts w:cs="Arial"/>
          <w:color w:val="000000" w:themeColor="text1"/>
          <w:shd w:val="clear" w:color="auto" w:fill="FFFFFF"/>
        </w:rPr>
        <w:t xml:space="preserve"> Mobility During the Great Depression.”  Unpublished working paper.</w:t>
      </w:r>
    </w:p>
    <w:p w:rsidR="00A64122" w:rsidRDefault="00A64122" w:rsidP="00AD7D04">
      <w:pPr>
        <w:spacing w:after="0" w:line="360" w:lineRule="auto"/>
        <w:rPr>
          <w:rFonts w:cs="Arial"/>
          <w:color w:val="000000" w:themeColor="text1"/>
          <w:shd w:val="clear" w:color="auto" w:fill="FFFFFF"/>
        </w:rPr>
      </w:pPr>
    </w:p>
    <w:p w:rsidR="00A64122" w:rsidRPr="00AD7D04" w:rsidRDefault="00A64122" w:rsidP="00AD7D04">
      <w:pPr>
        <w:spacing w:after="0" w:line="360" w:lineRule="auto"/>
        <w:rPr>
          <w:rFonts w:cs="Arial"/>
          <w:color w:val="000000" w:themeColor="text1"/>
          <w:shd w:val="clear" w:color="auto" w:fill="FFFFFF"/>
        </w:rPr>
      </w:pPr>
      <w:r w:rsidRPr="00D003E2">
        <w:rPr>
          <w:rFonts w:eastAsiaTheme="minorHAnsi" w:cstheme="minorHAnsi"/>
          <w:color w:val="000000" w:themeColor="text1"/>
          <w:lang w:val="en-US" w:eastAsia="en-US"/>
        </w:rPr>
        <w:t>Joseph P. Ferrie and Timothy J. Hatton</w:t>
      </w:r>
      <w:r w:rsidRPr="00D003E2">
        <w:rPr>
          <w:rFonts w:eastAsiaTheme="minorHAnsi" w:cstheme="minorHAnsi"/>
          <w:color w:val="000000" w:themeColor="text1"/>
          <w:lang w:val="en-US"/>
        </w:rPr>
        <w:t xml:space="preserve"> (2015).</w:t>
      </w:r>
      <w:r w:rsidRPr="00D003E2">
        <w:rPr>
          <w:rFonts w:eastAsiaTheme="minorHAnsi" w:cstheme="minorHAnsi"/>
          <w:color w:val="000000" w:themeColor="text1"/>
          <w:lang w:val="en-US" w:eastAsia="en-US"/>
        </w:rPr>
        <w:t xml:space="preserve"> “Two Centuries of International Migration”. In</w:t>
      </w:r>
      <w:r w:rsidRPr="00D003E2">
        <w:rPr>
          <w:rFonts w:eastAsiaTheme="minorHAnsi" w:cstheme="minorHAnsi"/>
          <w:color w:val="000000" w:themeColor="text1"/>
          <w:lang w:val="en-US"/>
        </w:rPr>
        <w:t xml:space="preserve"> </w:t>
      </w:r>
      <w:r w:rsidRPr="005F19DC">
        <w:rPr>
          <w:rFonts w:eastAsia="Arial Unicode MS" w:cstheme="minorHAnsi"/>
          <w:color w:val="000000" w:themeColor="text1"/>
          <w:lang w:val="en-CA" w:eastAsia="en-US"/>
        </w:rPr>
        <w:t>Barry R. Chiswick and Paul W. Miller</w:t>
      </w:r>
      <w:r w:rsidRPr="00D003E2">
        <w:rPr>
          <w:rFonts w:eastAsia="Arial Unicode MS" w:cstheme="minorHAnsi"/>
          <w:color w:val="000000" w:themeColor="text1"/>
          <w:lang w:val="en-CA" w:eastAsia="en-US"/>
        </w:rPr>
        <w:t xml:space="preserve">, ed. </w:t>
      </w:r>
      <w:r w:rsidRPr="00D003E2">
        <w:rPr>
          <w:rFonts w:cstheme="minorHAnsi"/>
          <w:i/>
          <w:color w:val="000000" w:themeColor="text1"/>
        </w:rPr>
        <w:t xml:space="preserve">Handbook of the Economics of International Migration, </w:t>
      </w:r>
      <w:r w:rsidRPr="00D003E2">
        <w:rPr>
          <w:rFonts w:cstheme="minorHAnsi"/>
          <w:color w:val="000000" w:themeColor="text1"/>
        </w:rPr>
        <w:t xml:space="preserve">volume 1: </w:t>
      </w:r>
      <w:r w:rsidRPr="00D003E2">
        <w:rPr>
          <w:rFonts w:eastAsia="Arial Unicode MS" w:cstheme="minorHAnsi"/>
          <w:iCs/>
          <w:color w:val="000000" w:themeColor="text1"/>
          <w:lang w:val="en-CA" w:eastAsia="en-US"/>
        </w:rPr>
        <w:t>53-88.</w:t>
      </w:r>
    </w:p>
    <w:p w:rsidR="001670CC" w:rsidRPr="00A75C6B" w:rsidRDefault="001670CC" w:rsidP="00AB02A7">
      <w:pPr>
        <w:spacing w:after="0" w:line="360" w:lineRule="auto"/>
        <w:rPr>
          <w:color w:val="000000" w:themeColor="text1"/>
        </w:rPr>
      </w:pPr>
    </w:p>
    <w:p w:rsidR="00EE0F02" w:rsidRPr="00A75C6B" w:rsidRDefault="00EE0F02">
      <w:pPr>
        <w:spacing w:after="0" w:line="360" w:lineRule="auto"/>
        <w:rPr>
          <w:color w:val="000000" w:themeColor="text1"/>
        </w:rPr>
      </w:pPr>
      <w:r w:rsidRPr="00A75C6B">
        <w:rPr>
          <w:color w:val="000000" w:themeColor="text1"/>
        </w:rPr>
        <w:t xml:space="preserve">Claudia Goldin and Larry F. Katz (2008).  </w:t>
      </w:r>
      <w:r w:rsidRPr="00A75C6B">
        <w:rPr>
          <w:i/>
          <w:color w:val="000000" w:themeColor="text1"/>
        </w:rPr>
        <w:t>The Race Between Education and Technology</w:t>
      </w:r>
      <w:r w:rsidRPr="00A75C6B">
        <w:rPr>
          <w:color w:val="000000" w:themeColor="text1"/>
        </w:rPr>
        <w:t>.  Cambridge, MA: Harvard University Press.</w:t>
      </w:r>
    </w:p>
    <w:p w:rsidR="00EE0F02" w:rsidRPr="00A75C6B" w:rsidRDefault="00EE0F02">
      <w:pPr>
        <w:spacing w:after="0" w:line="360" w:lineRule="auto"/>
        <w:rPr>
          <w:color w:val="000000" w:themeColor="text1"/>
        </w:rPr>
      </w:pPr>
    </w:p>
    <w:p w:rsidR="007F79FD" w:rsidRPr="00A75C6B" w:rsidRDefault="007F79FD">
      <w:pPr>
        <w:spacing w:after="0" w:line="360" w:lineRule="auto"/>
        <w:rPr>
          <w:color w:val="000000" w:themeColor="text1"/>
        </w:rPr>
      </w:pPr>
      <w:r w:rsidRPr="00A75C6B">
        <w:rPr>
          <w:color w:val="000000" w:themeColor="text1"/>
        </w:rPr>
        <w:t>Claudia Goldin and Robert A. Margo (1992).  “The Gr</w:t>
      </w:r>
      <w:r w:rsidR="007A7654" w:rsidRPr="00A75C6B">
        <w:rPr>
          <w:color w:val="000000" w:themeColor="text1"/>
        </w:rPr>
        <w:t>e</w:t>
      </w:r>
      <w:r w:rsidRPr="00A75C6B">
        <w:rPr>
          <w:color w:val="000000" w:themeColor="text1"/>
        </w:rPr>
        <w:t xml:space="preserve">at Compression: </w:t>
      </w:r>
      <w:r w:rsidR="007A7654" w:rsidRPr="00A75C6B">
        <w:rPr>
          <w:color w:val="000000" w:themeColor="text1"/>
        </w:rPr>
        <w:t xml:space="preserve">The </w:t>
      </w:r>
      <w:r w:rsidRPr="00A75C6B">
        <w:rPr>
          <w:color w:val="000000" w:themeColor="text1"/>
        </w:rPr>
        <w:t xml:space="preserve">Wage </w:t>
      </w:r>
      <w:r w:rsidR="007A7654" w:rsidRPr="00A75C6B">
        <w:rPr>
          <w:color w:val="000000" w:themeColor="text1"/>
        </w:rPr>
        <w:t>Structure</w:t>
      </w:r>
      <w:r w:rsidRPr="00A75C6B">
        <w:rPr>
          <w:color w:val="000000" w:themeColor="text1"/>
        </w:rPr>
        <w:t xml:space="preserve"> In</w:t>
      </w:r>
      <w:r w:rsidR="007A7654" w:rsidRPr="00A75C6B">
        <w:rPr>
          <w:color w:val="000000" w:themeColor="text1"/>
        </w:rPr>
        <w:t xml:space="preserve"> </w:t>
      </w:r>
      <w:r w:rsidRPr="00A75C6B">
        <w:rPr>
          <w:color w:val="000000" w:themeColor="text1"/>
        </w:rPr>
        <w:t xml:space="preserve">the United States at Mid-Century.”  </w:t>
      </w:r>
      <w:r w:rsidRPr="00A75C6B">
        <w:rPr>
          <w:i/>
          <w:color w:val="000000" w:themeColor="text1"/>
        </w:rPr>
        <w:t>Quarterly Journal of Economics</w:t>
      </w:r>
      <w:r w:rsidRPr="00A75C6B">
        <w:rPr>
          <w:color w:val="000000" w:themeColor="text1"/>
        </w:rPr>
        <w:t xml:space="preserve"> 107, pp. 1-34.</w:t>
      </w:r>
    </w:p>
    <w:p w:rsidR="007A7654" w:rsidRPr="00A75C6B" w:rsidRDefault="007A7654">
      <w:pPr>
        <w:spacing w:after="0" w:line="360" w:lineRule="auto"/>
        <w:rPr>
          <w:color w:val="000000" w:themeColor="text1"/>
        </w:rPr>
      </w:pPr>
    </w:p>
    <w:p w:rsidR="00EE0F02" w:rsidRPr="00A75C6B" w:rsidRDefault="0024347E">
      <w:pPr>
        <w:spacing w:after="0" w:line="360" w:lineRule="auto"/>
        <w:rPr>
          <w:color w:val="000000" w:themeColor="text1"/>
        </w:rPr>
      </w:pPr>
      <w:r w:rsidRPr="00A75C6B">
        <w:rPr>
          <w:color w:val="000000" w:themeColor="text1"/>
        </w:rPr>
        <w:t>Alan G. Green and Mary E. MacKinnon (2001).  “</w:t>
      </w:r>
      <w:r w:rsidR="0050206F" w:rsidRPr="00A75C6B">
        <w:rPr>
          <w:color w:val="000000" w:themeColor="text1"/>
        </w:rPr>
        <w:t>The Slow Assimilation of British Immigrants in Canada: Evidence from Montreal and Toronto, 1901.</w:t>
      </w:r>
      <w:r w:rsidRPr="00A75C6B">
        <w:rPr>
          <w:color w:val="000000" w:themeColor="text1"/>
        </w:rPr>
        <w:t xml:space="preserve">”  </w:t>
      </w:r>
      <w:r w:rsidRPr="00A75C6B">
        <w:rPr>
          <w:i/>
          <w:color w:val="000000" w:themeColor="text1"/>
        </w:rPr>
        <w:t>Explorations in Economic History</w:t>
      </w:r>
      <w:r w:rsidRPr="00A75C6B">
        <w:rPr>
          <w:color w:val="000000" w:themeColor="text1"/>
        </w:rPr>
        <w:t xml:space="preserve"> 38, pp. </w:t>
      </w:r>
      <w:r w:rsidR="0050206F" w:rsidRPr="00A75C6B">
        <w:rPr>
          <w:color w:val="000000" w:themeColor="text1"/>
        </w:rPr>
        <w:t>315</w:t>
      </w:r>
      <w:r w:rsidRPr="00A75C6B">
        <w:rPr>
          <w:color w:val="000000" w:themeColor="text1"/>
        </w:rPr>
        <w:t>-</w:t>
      </w:r>
      <w:r w:rsidR="0050206F" w:rsidRPr="00A75C6B">
        <w:rPr>
          <w:color w:val="000000" w:themeColor="text1"/>
        </w:rPr>
        <w:t>338</w:t>
      </w:r>
      <w:r w:rsidRPr="00A75C6B">
        <w:rPr>
          <w:color w:val="000000" w:themeColor="text1"/>
        </w:rPr>
        <w:t>.</w:t>
      </w:r>
    </w:p>
    <w:p w:rsidR="00E76A3E" w:rsidRPr="00A75C6B" w:rsidRDefault="00E76A3E">
      <w:pPr>
        <w:spacing w:after="0" w:line="360" w:lineRule="auto"/>
        <w:rPr>
          <w:color w:val="000000" w:themeColor="text1"/>
        </w:rPr>
      </w:pPr>
    </w:p>
    <w:p w:rsidR="00EE0F02" w:rsidRPr="00A75C6B" w:rsidRDefault="00122371">
      <w:pPr>
        <w:spacing w:after="0" w:line="360" w:lineRule="auto"/>
        <w:rPr>
          <w:color w:val="000000" w:themeColor="text1"/>
        </w:rPr>
      </w:pPr>
      <w:r w:rsidRPr="00A75C6B">
        <w:rPr>
          <w:color w:val="000000" w:themeColor="text1"/>
        </w:rPr>
        <w:t xml:space="preserve">Alan G. Green and David A. Green (2016).  “Immigration and the Canadian Earnings Distribution in the First Half of the Twentieth Century.”  </w:t>
      </w:r>
      <w:r w:rsidRPr="00A75C6B">
        <w:rPr>
          <w:i/>
          <w:color w:val="000000" w:themeColor="text1"/>
        </w:rPr>
        <w:t>Journal of Economic History</w:t>
      </w:r>
      <w:r w:rsidRPr="00A75C6B">
        <w:rPr>
          <w:color w:val="000000" w:themeColor="text1"/>
        </w:rPr>
        <w:t>, 76, pp. 387-426.</w:t>
      </w:r>
    </w:p>
    <w:p w:rsidR="00122371" w:rsidRPr="00A75C6B" w:rsidRDefault="00122371">
      <w:pPr>
        <w:spacing w:after="0" w:line="360" w:lineRule="auto"/>
        <w:rPr>
          <w:color w:val="000000" w:themeColor="text1"/>
        </w:rPr>
      </w:pPr>
    </w:p>
    <w:p w:rsidR="00EE0F02" w:rsidRPr="00A75C6B" w:rsidRDefault="0078410F">
      <w:pPr>
        <w:spacing w:after="0" w:line="360" w:lineRule="auto"/>
        <w:rPr>
          <w:color w:val="000000" w:themeColor="text1"/>
        </w:rPr>
      </w:pPr>
      <w:r w:rsidRPr="00A75C6B">
        <w:rPr>
          <w:color w:val="000000" w:themeColor="text1"/>
        </w:rPr>
        <w:t xml:space="preserve">Christopher </w:t>
      </w:r>
      <w:r w:rsidR="0015681C" w:rsidRPr="00A75C6B">
        <w:rPr>
          <w:color w:val="000000" w:themeColor="text1"/>
        </w:rPr>
        <w:t xml:space="preserve">Hanes </w:t>
      </w:r>
      <w:r w:rsidRPr="00A75C6B">
        <w:rPr>
          <w:color w:val="000000" w:themeColor="text1"/>
        </w:rPr>
        <w:t>(</w:t>
      </w:r>
      <w:r w:rsidR="0015681C" w:rsidRPr="00A75C6B">
        <w:rPr>
          <w:color w:val="000000" w:themeColor="text1"/>
        </w:rPr>
        <w:t>1996</w:t>
      </w:r>
      <w:r w:rsidRPr="00A75C6B">
        <w:rPr>
          <w:color w:val="000000" w:themeColor="text1"/>
        </w:rPr>
        <w:t>).  “Immigrants’ Relative Rate of Wage Growth in the Late 19</w:t>
      </w:r>
      <w:r w:rsidRPr="00A75C6B">
        <w:rPr>
          <w:color w:val="000000" w:themeColor="text1"/>
          <w:vertAlign w:val="superscript"/>
        </w:rPr>
        <w:t>th</w:t>
      </w:r>
      <w:r w:rsidRPr="00A75C6B">
        <w:rPr>
          <w:color w:val="000000" w:themeColor="text1"/>
        </w:rPr>
        <w:t xml:space="preserve"> Century.”  </w:t>
      </w:r>
      <w:r w:rsidRPr="00A75C6B">
        <w:rPr>
          <w:i/>
          <w:color w:val="000000" w:themeColor="text1"/>
        </w:rPr>
        <w:t>Explorations in Economic History</w:t>
      </w:r>
      <w:r w:rsidRPr="00A75C6B">
        <w:rPr>
          <w:color w:val="000000" w:themeColor="text1"/>
        </w:rPr>
        <w:t>, 33, pp. 35-64.</w:t>
      </w:r>
    </w:p>
    <w:p w:rsidR="00EE0F02" w:rsidRPr="00A75C6B" w:rsidRDefault="00EE0F02">
      <w:pPr>
        <w:spacing w:after="0" w:line="360" w:lineRule="auto"/>
        <w:rPr>
          <w:color w:val="000000" w:themeColor="text1"/>
        </w:rPr>
      </w:pPr>
    </w:p>
    <w:p w:rsidR="00AF69D8" w:rsidRPr="00A75C6B" w:rsidRDefault="00E33D02">
      <w:pPr>
        <w:spacing w:after="0" w:line="360" w:lineRule="auto"/>
        <w:rPr>
          <w:rFonts w:cs="Arial"/>
          <w:color w:val="000000" w:themeColor="text1"/>
          <w:shd w:val="clear" w:color="auto" w:fill="FFFFFF"/>
        </w:rPr>
      </w:pPr>
      <w:r w:rsidRPr="00A75C6B">
        <w:rPr>
          <w:rFonts w:cs="Arial"/>
          <w:color w:val="000000" w:themeColor="text1"/>
          <w:shd w:val="clear" w:color="auto" w:fill="FFFFFF"/>
        </w:rPr>
        <w:t xml:space="preserve">R. M. </w:t>
      </w:r>
      <w:r w:rsidR="00AF69D8" w:rsidRPr="00A75C6B">
        <w:rPr>
          <w:rFonts w:cs="Arial"/>
          <w:color w:val="000000" w:themeColor="text1"/>
          <w:shd w:val="clear" w:color="auto" w:fill="FFFFFF"/>
        </w:rPr>
        <w:t>Hauser</w:t>
      </w:r>
      <w:r w:rsidRPr="00A75C6B">
        <w:rPr>
          <w:rFonts w:cs="Arial"/>
          <w:color w:val="000000" w:themeColor="text1"/>
          <w:shd w:val="clear" w:color="auto" w:fill="FFFFFF"/>
        </w:rPr>
        <w:t xml:space="preserve"> and J.R. </w:t>
      </w:r>
      <w:r w:rsidR="00AF69D8" w:rsidRPr="00A75C6B">
        <w:rPr>
          <w:rFonts w:cs="Arial"/>
          <w:color w:val="000000" w:themeColor="text1"/>
          <w:shd w:val="clear" w:color="auto" w:fill="FFFFFF"/>
        </w:rPr>
        <w:t>Warren (1997). 4. Socioeconomic Indexes for Occupations: A Review, Update, and Critique.</w:t>
      </w:r>
      <w:r w:rsidR="00AF69D8" w:rsidRPr="00A75C6B">
        <w:rPr>
          <w:rStyle w:val="apple-converted-space"/>
          <w:rFonts w:cs="Arial"/>
          <w:color w:val="000000" w:themeColor="text1"/>
          <w:shd w:val="clear" w:color="auto" w:fill="FFFFFF"/>
        </w:rPr>
        <w:t> </w:t>
      </w:r>
      <w:r w:rsidR="00AF69D8" w:rsidRPr="00A75C6B">
        <w:rPr>
          <w:rFonts w:cs="Arial"/>
          <w:i/>
          <w:iCs/>
          <w:color w:val="000000" w:themeColor="text1"/>
          <w:shd w:val="clear" w:color="auto" w:fill="FFFFFF"/>
        </w:rPr>
        <w:t xml:space="preserve">Sociological </w:t>
      </w:r>
      <w:r w:rsidR="00F50F4C">
        <w:rPr>
          <w:rFonts w:cs="Arial"/>
          <w:i/>
          <w:iCs/>
          <w:color w:val="000000" w:themeColor="text1"/>
          <w:shd w:val="clear" w:color="auto" w:fill="FFFFFF"/>
        </w:rPr>
        <w:t>M</w:t>
      </w:r>
      <w:r w:rsidR="00AF69D8" w:rsidRPr="00A75C6B">
        <w:rPr>
          <w:rFonts w:cs="Arial"/>
          <w:i/>
          <w:iCs/>
          <w:color w:val="000000" w:themeColor="text1"/>
          <w:shd w:val="clear" w:color="auto" w:fill="FFFFFF"/>
        </w:rPr>
        <w:t>ethodology</w:t>
      </w:r>
      <w:r w:rsidR="00AF69D8" w:rsidRPr="00A75C6B">
        <w:rPr>
          <w:rFonts w:cs="Arial"/>
          <w:color w:val="000000" w:themeColor="text1"/>
          <w:shd w:val="clear" w:color="auto" w:fill="FFFFFF"/>
        </w:rPr>
        <w:t>,</w:t>
      </w:r>
      <w:r w:rsidR="00AF69D8" w:rsidRPr="00A75C6B">
        <w:rPr>
          <w:rStyle w:val="apple-converted-space"/>
          <w:rFonts w:cs="Arial"/>
          <w:color w:val="000000" w:themeColor="text1"/>
          <w:shd w:val="clear" w:color="auto" w:fill="FFFFFF"/>
        </w:rPr>
        <w:t> </w:t>
      </w:r>
      <w:r w:rsidR="00AF69D8" w:rsidRPr="00A75C6B">
        <w:rPr>
          <w:rFonts w:cs="Arial"/>
          <w:i/>
          <w:iCs/>
          <w:color w:val="000000" w:themeColor="text1"/>
          <w:shd w:val="clear" w:color="auto" w:fill="FFFFFF"/>
        </w:rPr>
        <w:t>27</w:t>
      </w:r>
      <w:r w:rsidR="00AF69D8" w:rsidRPr="00A75C6B">
        <w:rPr>
          <w:rFonts w:cs="Arial"/>
          <w:color w:val="000000" w:themeColor="text1"/>
          <w:shd w:val="clear" w:color="auto" w:fill="FFFFFF"/>
        </w:rPr>
        <w:t xml:space="preserve">, </w:t>
      </w:r>
      <w:r w:rsidRPr="00A75C6B">
        <w:rPr>
          <w:rFonts w:cs="Arial"/>
          <w:color w:val="000000" w:themeColor="text1"/>
          <w:shd w:val="clear" w:color="auto" w:fill="FFFFFF"/>
        </w:rPr>
        <w:t xml:space="preserve">pp. </w:t>
      </w:r>
      <w:r w:rsidR="00AF69D8" w:rsidRPr="00A75C6B">
        <w:rPr>
          <w:rFonts w:cs="Arial"/>
          <w:color w:val="000000" w:themeColor="text1"/>
          <w:shd w:val="clear" w:color="auto" w:fill="FFFFFF"/>
        </w:rPr>
        <w:t>177-298.</w:t>
      </w:r>
    </w:p>
    <w:p w:rsidR="001670CC" w:rsidRPr="00A75C6B" w:rsidRDefault="001670CC">
      <w:pPr>
        <w:spacing w:after="0" w:line="360" w:lineRule="auto"/>
        <w:rPr>
          <w:rFonts w:cs="Arial"/>
          <w:color w:val="000000" w:themeColor="text1"/>
          <w:shd w:val="clear" w:color="auto" w:fill="FFFFFF"/>
        </w:rPr>
      </w:pPr>
    </w:p>
    <w:p w:rsidR="001670CC" w:rsidRPr="00A75C6B" w:rsidRDefault="001670CC">
      <w:pPr>
        <w:pStyle w:val="Default"/>
        <w:spacing w:line="360" w:lineRule="auto"/>
        <w:rPr>
          <w:rFonts w:asciiTheme="minorHAnsi" w:hAnsiTheme="minorHAnsi" w:cs="Times New Roman"/>
          <w:color w:val="000000" w:themeColor="text1"/>
          <w:sz w:val="22"/>
          <w:szCs w:val="22"/>
        </w:rPr>
      </w:pPr>
      <w:r w:rsidRPr="00A75C6B">
        <w:rPr>
          <w:rFonts w:asciiTheme="minorHAnsi" w:hAnsiTheme="minorHAnsi" w:cs="Times New Roman"/>
          <w:color w:val="000000" w:themeColor="text1"/>
          <w:sz w:val="22"/>
          <w:szCs w:val="22"/>
        </w:rPr>
        <w:t>Hayward Derrick Horton, Beverlyn Lundy Allen, Cedric Herring and Melvin E.</w:t>
      </w:r>
      <w:r w:rsidR="00DC319B">
        <w:rPr>
          <w:rFonts w:asciiTheme="minorHAnsi" w:hAnsiTheme="minorHAnsi" w:cs="Times New Roman"/>
          <w:color w:val="000000" w:themeColor="text1"/>
          <w:sz w:val="22"/>
          <w:szCs w:val="22"/>
        </w:rPr>
        <w:t xml:space="preserve"> </w:t>
      </w:r>
      <w:r w:rsidRPr="00A75C6B">
        <w:rPr>
          <w:rFonts w:asciiTheme="minorHAnsi" w:hAnsiTheme="minorHAnsi" w:cs="Times New Roman"/>
          <w:color w:val="000000" w:themeColor="text1"/>
          <w:sz w:val="22"/>
          <w:szCs w:val="22"/>
        </w:rPr>
        <w:t xml:space="preserve">Thomas (2000). “Lost in the Storm: The Sociology of the Black Working Class, 1850 to 1990.” </w:t>
      </w:r>
      <w:r w:rsidRPr="00A75C6B">
        <w:rPr>
          <w:rFonts w:asciiTheme="minorHAnsi" w:hAnsiTheme="minorHAnsi" w:cs="Times New Roman"/>
          <w:i/>
          <w:color w:val="000000" w:themeColor="text1"/>
          <w:sz w:val="22"/>
          <w:szCs w:val="22"/>
        </w:rPr>
        <w:t>American Sociological Review</w:t>
      </w:r>
      <w:r w:rsidRPr="00A75C6B">
        <w:rPr>
          <w:rFonts w:asciiTheme="minorHAnsi" w:hAnsiTheme="minorHAnsi" w:cs="Times New Roman"/>
          <w:color w:val="000000" w:themeColor="text1"/>
          <w:sz w:val="22"/>
          <w:szCs w:val="22"/>
        </w:rPr>
        <w:t>, 65, pp. 128-137.</w:t>
      </w:r>
    </w:p>
    <w:p w:rsidR="00AF69D8" w:rsidRPr="00A75C6B" w:rsidRDefault="00AF69D8">
      <w:pPr>
        <w:spacing w:after="0" w:line="360" w:lineRule="auto"/>
        <w:rPr>
          <w:color w:val="000000" w:themeColor="text1"/>
        </w:rPr>
      </w:pPr>
    </w:p>
    <w:p w:rsidR="00EE0F02" w:rsidRDefault="0044688E">
      <w:pPr>
        <w:spacing w:after="0" w:line="360" w:lineRule="auto"/>
        <w:rPr>
          <w:color w:val="000000" w:themeColor="text1"/>
        </w:rPr>
      </w:pPr>
      <w:r w:rsidRPr="00A75C6B">
        <w:rPr>
          <w:color w:val="000000" w:themeColor="text1"/>
        </w:rPr>
        <w:t xml:space="preserve">Kris </w:t>
      </w:r>
      <w:r w:rsidR="00E33D02" w:rsidRPr="00A75C6B">
        <w:rPr>
          <w:color w:val="000000" w:themeColor="text1"/>
        </w:rPr>
        <w:t xml:space="preserve">E. </w:t>
      </w:r>
      <w:r w:rsidRPr="00A75C6B">
        <w:rPr>
          <w:color w:val="000000" w:themeColor="text1"/>
        </w:rPr>
        <w:t>Inwood, Chris Minns, and Fraser Summerfield (2014).  “Reverse Assimilation?  Immigrants in the Canadian Labour Market During the Great Depression.</w:t>
      </w:r>
      <w:r w:rsidR="00E33D02" w:rsidRPr="00A75C6B">
        <w:rPr>
          <w:color w:val="000000" w:themeColor="text1"/>
        </w:rPr>
        <w:t xml:space="preserve">”  </w:t>
      </w:r>
      <w:r w:rsidR="00E33D02" w:rsidRPr="00A75C6B">
        <w:rPr>
          <w:i/>
          <w:color w:val="000000" w:themeColor="text1"/>
        </w:rPr>
        <w:t>European Review of Economic History</w:t>
      </w:r>
      <w:r w:rsidR="00E33D02" w:rsidRPr="00A75C6B">
        <w:rPr>
          <w:color w:val="000000" w:themeColor="text1"/>
        </w:rPr>
        <w:t>, 20, pp. 299-321.</w:t>
      </w:r>
    </w:p>
    <w:p w:rsidR="00D13B6E" w:rsidRDefault="00D13B6E">
      <w:pPr>
        <w:spacing w:after="0" w:line="360" w:lineRule="auto"/>
        <w:rPr>
          <w:color w:val="000000" w:themeColor="text1"/>
        </w:rPr>
      </w:pPr>
    </w:p>
    <w:p w:rsidR="00D13B6E" w:rsidRPr="00D13B6E" w:rsidRDefault="00D13B6E" w:rsidP="00D13B6E">
      <w:pPr>
        <w:spacing w:line="360" w:lineRule="auto"/>
        <w:rPr>
          <w:rFonts w:eastAsia="Times New Roman" w:cstheme="minorHAnsi"/>
        </w:rPr>
      </w:pPr>
      <w:r w:rsidRPr="00D13B6E">
        <w:rPr>
          <w:rFonts w:cstheme="minorHAnsi"/>
          <w:color w:val="000000" w:themeColor="text1"/>
        </w:rPr>
        <w:t xml:space="preserve">Kris E. Inwood, Chris Minns, and Fraser Summerfield (2018). “Occupation scores in Canada 1911-1931” Open-ICPSR Repository </w:t>
      </w:r>
      <w:hyperlink r:id="rId9" w:history="1">
        <w:r w:rsidRPr="00D13B6E">
          <w:rPr>
            <w:rStyle w:val="Hyperlink"/>
            <w:rFonts w:eastAsia="Times New Roman" w:cstheme="minorHAnsi"/>
            <w:shd w:val="clear" w:color="auto" w:fill="F5F5F5"/>
          </w:rPr>
          <w:t>http://doi.org/10.3886/E107288V1</w:t>
        </w:r>
      </w:hyperlink>
      <w:r w:rsidR="00971672">
        <w:rPr>
          <w:rFonts w:eastAsia="Times New Roman" w:cstheme="minorHAnsi"/>
          <w:color w:val="333333"/>
          <w:shd w:val="clear" w:color="auto" w:fill="F5F5F5"/>
        </w:rPr>
        <w:t>.</w:t>
      </w:r>
    </w:p>
    <w:p w:rsidR="00D13B6E" w:rsidRPr="00D13B6E" w:rsidRDefault="00D13B6E" w:rsidP="00D13B6E">
      <w:pPr>
        <w:spacing w:after="0" w:line="360" w:lineRule="auto"/>
        <w:rPr>
          <w:rFonts w:cstheme="minorHAnsi"/>
          <w:color w:val="000000" w:themeColor="text1"/>
          <w:sz w:val="20"/>
          <w:szCs w:val="20"/>
        </w:rPr>
      </w:pPr>
      <w:r w:rsidRPr="00D13B6E">
        <w:rPr>
          <w:rFonts w:cstheme="minorHAnsi"/>
          <w:color w:val="000000" w:themeColor="text1"/>
          <w:sz w:val="20"/>
          <w:szCs w:val="20"/>
        </w:rPr>
        <w:t xml:space="preserve"> </w:t>
      </w:r>
    </w:p>
    <w:p w:rsidR="00105535" w:rsidRDefault="00EE0F02">
      <w:pPr>
        <w:spacing w:after="0" w:line="360" w:lineRule="auto"/>
        <w:rPr>
          <w:color w:val="000000" w:themeColor="text1"/>
        </w:rPr>
      </w:pPr>
      <w:r w:rsidRPr="00A75C6B">
        <w:rPr>
          <w:color w:val="000000" w:themeColor="text1"/>
        </w:rPr>
        <w:t>Larry F. Katz and Robert E. Margo (201</w:t>
      </w:r>
      <w:r w:rsidR="00D604A9">
        <w:rPr>
          <w:color w:val="000000" w:themeColor="text1"/>
        </w:rPr>
        <w:t>4</w:t>
      </w:r>
      <w:r w:rsidRPr="00A75C6B">
        <w:rPr>
          <w:color w:val="000000" w:themeColor="text1"/>
        </w:rPr>
        <w:t xml:space="preserve">).  “Technical Change and the Relative Demand for Skilled Labor: the United States in Historical Perspective.”  </w:t>
      </w:r>
      <w:r w:rsidR="00D604A9" w:rsidRPr="00A75C6B">
        <w:rPr>
          <w:rFonts w:cs="Arial"/>
          <w:color w:val="000000" w:themeColor="text1"/>
          <w:lang w:val="en-US"/>
        </w:rPr>
        <w:t xml:space="preserve">In L. Boustan, C. Frydman, and R.A. Margo, eds., </w:t>
      </w:r>
      <w:r w:rsidR="00D604A9" w:rsidRPr="00A75C6B">
        <w:rPr>
          <w:rFonts w:cs="Arial"/>
          <w:i/>
          <w:color w:val="000000" w:themeColor="text1"/>
          <w:lang w:val="en-US"/>
        </w:rPr>
        <w:t>Human Capital in History</w:t>
      </w:r>
      <w:r w:rsidR="00D604A9" w:rsidRPr="00A75C6B">
        <w:rPr>
          <w:rFonts w:cs="Arial"/>
          <w:color w:val="000000" w:themeColor="text1"/>
          <w:lang w:val="en-US"/>
        </w:rPr>
        <w:t>. University of Chicago Press and NBER. pp. 15-57.</w:t>
      </w:r>
      <w:r w:rsidR="00D604A9" w:rsidRPr="00D604A9" w:rsidDel="00D604A9">
        <w:rPr>
          <w:color w:val="000000" w:themeColor="text1"/>
        </w:rPr>
        <w:t xml:space="preserve"> </w:t>
      </w:r>
    </w:p>
    <w:p w:rsidR="00105535" w:rsidRPr="00997A2F" w:rsidRDefault="00105535" w:rsidP="00105535">
      <w:pPr>
        <w:widowControl w:val="0"/>
        <w:autoSpaceDE w:val="0"/>
        <w:autoSpaceDN w:val="0"/>
        <w:adjustRightInd w:val="0"/>
        <w:spacing w:line="360" w:lineRule="auto"/>
        <w:rPr>
          <w:rFonts w:cs="Gqirockvoohlnqszjocenjxixin"/>
          <w:color w:val="000000" w:themeColor="text1"/>
        </w:rPr>
      </w:pPr>
    </w:p>
    <w:p w:rsidR="00EE0F02" w:rsidRPr="00A75C6B" w:rsidRDefault="00105535" w:rsidP="00A75C6B">
      <w:pPr>
        <w:widowControl w:val="0"/>
        <w:autoSpaceDE w:val="0"/>
        <w:autoSpaceDN w:val="0"/>
        <w:adjustRightInd w:val="0"/>
        <w:spacing w:line="360" w:lineRule="auto"/>
        <w:rPr>
          <w:rFonts w:cs="Gqirockvoohlnqszjocenjxixin"/>
          <w:color w:val="000000" w:themeColor="text1"/>
        </w:rPr>
      </w:pPr>
      <w:r w:rsidRPr="00997A2F">
        <w:rPr>
          <w:rFonts w:cs="Gqirockvoohlnqszjocenjxixin"/>
          <w:color w:val="000000" w:themeColor="text1"/>
        </w:rPr>
        <w:t>Adriana Lleras-Muney</w:t>
      </w:r>
      <w:r w:rsidRPr="00997A2F">
        <w:rPr>
          <w:rFonts w:cs="font000000001e889311"/>
          <w:bCs/>
          <w:color w:val="000000" w:themeColor="text1"/>
        </w:rPr>
        <w:t xml:space="preserve"> and </w:t>
      </w:r>
      <w:r w:rsidRPr="00997A2F">
        <w:rPr>
          <w:rFonts w:cs="Gqirockvoohlnqszjocenjxixin"/>
          <w:color w:val="000000" w:themeColor="text1"/>
        </w:rPr>
        <w:t>Allison Shertzer (2015). “</w:t>
      </w:r>
      <w:r w:rsidRPr="00997A2F">
        <w:rPr>
          <w:rFonts w:cs="font000000001e889311"/>
          <w:bCs/>
          <w:color w:val="000000" w:themeColor="text1"/>
        </w:rPr>
        <w:t xml:space="preserve">Did the Americanization Movement Succeed? An Evaluation of the Effect of English-Only and Compulsory Schooling Laws on Immigrants,” </w:t>
      </w:r>
      <w:r w:rsidRPr="00997A2F">
        <w:rPr>
          <w:rFonts w:cs="font000000001e889311"/>
          <w:bCs/>
          <w:i/>
          <w:color w:val="000000" w:themeColor="text1"/>
        </w:rPr>
        <w:t>American Economics Journal: Economic Policy</w:t>
      </w:r>
      <w:r w:rsidRPr="00997A2F">
        <w:rPr>
          <w:rFonts w:cs="font000000001e889311"/>
          <w:bCs/>
          <w:color w:val="000000" w:themeColor="text1"/>
        </w:rPr>
        <w:t xml:space="preserve">, </w:t>
      </w:r>
      <w:r w:rsidRPr="00997A2F">
        <w:rPr>
          <w:rFonts w:cs="font000000001e889311"/>
          <w:bCs/>
          <w:color w:val="000000" w:themeColor="text1"/>
          <w:kern w:val="1"/>
        </w:rPr>
        <w:t xml:space="preserve">7, </w:t>
      </w:r>
      <w:r w:rsidRPr="00997A2F">
        <w:rPr>
          <w:rFonts w:cs="Gqirockvoohlnqszjocenjxixin"/>
          <w:color w:val="000000" w:themeColor="text1"/>
        </w:rPr>
        <w:t>pp. 258-90.</w:t>
      </w:r>
    </w:p>
    <w:p w:rsidR="00EE0F02" w:rsidRPr="00A75C6B" w:rsidRDefault="00EE0F02">
      <w:pPr>
        <w:spacing w:after="0" w:line="360" w:lineRule="auto"/>
        <w:rPr>
          <w:color w:val="000000" w:themeColor="text1"/>
        </w:rPr>
      </w:pPr>
    </w:p>
    <w:p w:rsidR="007C10CF" w:rsidRPr="00A75C6B" w:rsidRDefault="007C10CF">
      <w:pPr>
        <w:spacing w:after="0" w:line="360" w:lineRule="auto"/>
        <w:rPr>
          <w:color w:val="000000" w:themeColor="text1"/>
        </w:rPr>
      </w:pPr>
      <w:r w:rsidRPr="00A75C6B">
        <w:rPr>
          <w:color w:val="000000" w:themeColor="text1"/>
        </w:rPr>
        <w:t xml:space="preserve">Peter H. Lindert and Jeffrey G. Williamson (2016).  </w:t>
      </w:r>
      <w:r w:rsidRPr="00A75C6B">
        <w:rPr>
          <w:i/>
          <w:color w:val="000000" w:themeColor="text1"/>
        </w:rPr>
        <w:t>Unequal Gains: American Growth and Inequality since 1700</w:t>
      </w:r>
      <w:r w:rsidRPr="00A75C6B">
        <w:rPr>
          <w:color w:val="000000" w:themeColor="text1"/>
        </w:rPr>
        <w:t>.  Princeton University Press.</w:t>
      </w:r>
    </w:p>
    <w:p w:rsidR="007C10CF" w:rsidRPr="00A75C6B" w:rsidRDefault="007C10CF">
      <w:pPr>
        <w:spacing w:after="0" w:line="360" w:lineRule="auto"/>
        <w:rPr>
          <w:color w:val="000000" w:themeColor="text1"/>
        </w:rPr>
      </w:pPr>
    </w:p>
    <w:p w:rsidR="00EE0F02" w:rsidRPr="00A75C6B" w:rsidRDefault="0078410F">
      <w:pPr>
        <w:spacing w:after="0" w:line="360" w:lineRule="auto"/>
        <w:rPr>
          <w:color w:val="000000" w:themeColor="text1"/>
        </w:rPr>
      </w:pPr>
      <w:r w:rsidRPr="00A75C6B">
        <w:rPr>
          <w:color w:val="000000" w:themeColor="text1"/>
        </w:rPr>
        <w:t xml:space="preserve">Chris </w:t>
      </w:r>
      <w:r w:rsidR="0015681C" w:rsidRPr="00A75C6B">
        <w:rPr>
          <w:color w:val="000000" w:themeColor="text1"/>
        </w:rPr>
        <w:t xml:space="preserve">Minns </w:t>
      </w:r>
      <w:r w:rsidRPr="00A75C6B">
        <w:rPr>
          <w:color w:val="000000" w:themeColor="text1"/>
        </w:rPr>
        <w:t>(</w:t>
      </w:r>
      <w:r w:rsidR="0015681C" w:rsidRPr="00A75C6B">
        <w:rPr>
          <w:color w:val="000000" w:themeColor="text1"/>
        </w:rPr>
        <w:t>2000</w:t>
      </w:r>
      <w:r w:rsidRPr="00A75C6B">
        <w:rPr>
          <w:color w:val="000000" w:themeColor="text1"/>
        </w:rPr>
        <w:t>).  “Income, Cohort Effects, and Occupational Mobility: a New Look at Immigration to the United States at the Turn of the 20</w:t>
      </w:r>
      <w:r w:rsidRPr="00A75C6B">
        <w:rPr>
          <w:color w:val="000000" w:themeColor="text1"/>
          <w:vertAlign w:val="superscript"/>
        </w:rPr>
        <w:t>th</w:t>
      </w:r>
      <w:r w:rsidRPr="00A75C6B">
        <w:rPr>
          <w:color w:val="000000" w:themeColor="text1"/>
        </w:rPr>
        <w:t xml:space="preserve"> Century.”  </w:t>
      </w:r>
      <w:r w:rsidRPr="00A75C6B">
        <w:rPr>
          <w:i/>
          <w:color w:val="000000" w:themeColor="text1"/>
        </w:rPr>
        <w:t>Explorations in Economic History</w:t>
      </w:r>
      <w:r w:rsidRPr="00A75C6B">
        <w:rPr>
          <w:color w:val="000000" w:themeColor="text1"/>
        </w:rPr>
        <w:t>, 37, pp. 326-350.</w:t>
      </w:r>
    </w:p>
    <w:p w:rsidR="00EE0F02" w:rsidRPr="00A75C6B" w:rsidRDefault="00EE0F02">
      <w:pPr>
        <w:spacing w:after="0" w:line="360" w:lineRule="auto"/>
        <w:rPr>
          <w:color w:val="000000" w:themeColor="text1"/>
        </w:rPr>
      </w:pPr>
    </w:p>
    <w:p w:rsidR="00AF69D8" w:rsidRPr="00A75C6B" w:rsidRDefault="00E33D02">
      <w:pPr>
        <w:spacing w:after="0" w:line="360" w:lineRule="auto"/>
        <w:rPr>
          <w:rFonts w:cs="Arial"/>
          <w:color w:val="000000" w:themeColor="text1"/>
          <w:shd w:val="clear" w:color="auto" w:fill="FFFFFF"/>
        </w:rPr>
      </w:pPr>
      <w:r w:rsidRPr="00A75C6B">
        <w:rPr>
          <w:rFonts w:cs="Arial"/>
          <w:color w:val="000000" w:themeColor="text1"/>
          <w:shd w:val="clear" w:color="auto" w:fill="FFFFFF"/>
        </w:rPr>
        <w:t xml:space="preserve">J. </w:t>
      </w:r>
      <w:r w:rsidR="00AF69D8" w:rsidRPr="00A75C6B">
        <w:rPr>
          <w:rFonts w:cs="Arial"/>
          <w:color w:val="000000" w:themeColor="text1"/>
          <w:shd w:val="clear" w:color="auto" w:fill="FFFFFF"/>
        </w:rPr>
        <w:t>Modals</w:t>
      </w:r>
      <w:r w:rsidR="00F97CA9">
        <w:rPr>
          <w:rFonts w:cs="Arial"/>
          <w:color w:val="000000" w:themeColor="text1"/>
          <w:shd w:val="clear" w:color="auto" w:fill="FFFFFF"/>
        </w:rPr>
        <w:t>l</w:t>
      </w:r>
      <w:r w:rsidR="00AF69D8" w:rsidRPr="00A75C6B">
        <w:rPr>
          <w:rFonts w:cs="Arial"/>
          <w:color w:val="000000" w:themeColor="text1"/>
          <w:shd w:val="clear" w:color="auto" w:fill="FFFFFF"/>
        </w:rPr>
        <w:t xml:space="preserve">i (2015). </w:t>
      </w:r>
      <w:r w:rsidRPr="00A75C6B">
        <w:rPr>
          <w:rFonts w:cs="Arial"/>
          <w:color w:val="000000" w:themeColor="text1"/>
          <w:shd w:val="clear" w:color="auto" w:fill="FFFFFF"/>
        </w:rPr>
        <w:t>“</w:t>
      </w:r>
      <w:r w:rsidR="00AF69D8" w:rsidRPr="00A75C6B">
        <w:rPr>
          <w:rFonts w:cs="Arial"/>
          <w:color w:val="000000" w:themeColor="text1"/>
          <w:shd w:val="clear" w:color="auto" w:fill="FFFFFF"/>
        </w:rPr>
        <w:t>Inequality in the very long run: inferring inequality from data on social groups.</w:t>
      </w:r>
      <w:r w:rsidRPr="00A75C6B">
        <w:rPr>
          <w:rFonts w:cs="Arial"/>
          <w:color w:val="000000" w:themeColor="text1"/>
          <w:shd w:val="clear" w:color="auto" w:fill="FFFFFF"/>
        </w:rPr>
        <w:t>”</w:t>
      </w:r>
      <w:r w:rsidR="00D604A9">
        <w:rPr>
          <w:rFonts w:cs="Arial"/>
          <w:color w:val="000000" w:themeColor="text1"/>
          <w:shd w:val="clear" w:color="auto" w:fill="FFFFFF"/>
        </w:rPr>
        <w:t xml:space="preserve"> </w:t>
      </w:r>
      <w:r w:rsidR="00AF69D8" w:rsidRPr="00A75C6B">
        <w:rPr>
          <w:rFonts w:cs="Arial"/>
          <w:i/>
          <w:iCs/>
          <w:color w:val="000000" w:themeColor="text1"/>
          <w:shd w:val="clear" w:color="auto" w:fill="FFFFFF"/>
        </w:rPr>
        <w:t xml:space="preserve"> Journal of Economic Inequality</w:t>
      </w:r>
      <w:r w:rsidR="00AF69D8" w:rsidRPr="00A75C6B">
        <w:rPr>
          <w:rFonts w:cs="Arial"/>
          <w:color w:val="000000" w:themeColor="text1"/>
          <w:shd w:val="clear" w:color="auto" w:fill="FFFFFF"/>
        </w:rPr>
        <w:t>,</w:t>
      </w:r>
      <w:r w:rsidR="00AF69D8" w:rsidRPr="00A75C6B">
        <w:rPr>
          <w:rStyle w:val="apple-converted-space"/>
          <w:rFonts w:cs="Arial"/>
          <w:color w:val="000000" w:themeColor="text1"/>
          <w:shd w:val="clear" w:color="auto" w:fill="FFFFFF"/>
        </w:rPr>
        <w:t> </w:t>
      </w:r>
      <w:r w:rsidR="00AF69D8" w:rsidRPr="00A75C6B">
        <w:rPr>
          <w:rFonts w:cs="Arial"/>
          <w:iCs/>
          <w:color w:val="000000" w:themeColor="text1"/>
          <w:shd w:val="clear" w:color="auto" w:fill="FFFFFF"/>
        </w:rPr>
        <w:t>13</w:t>
      </w:r>
      <w:r w:rsidR="00AF69D8" w:rsidRPr="00A75C6B">
        <w:rPr>
          <w:rFonts w:cs="Arial"/>
          <w:color w:val="000000" w:themeColor="text1"/>
          <w:shd w:val="clear" w:color="auto" w:fill="FFFFFF"/>
        </w:rPr>
        <w:t xml:space="preserve">, </w:t>
      </w:r>
      <w:r w:rsidRPr="00A75C6B">
        <w:rPr>
          <w:rFonts w:cs="Arial"/>
          <w:color w:val="000000" w:themeColor="text1"/>
          <w:shd w:val="clear" w:color="auto" w:fill="FFFFFF"/>
        </w:rPr>
        <w:t xml:space="preserve">pp. </w:t>
      </w:r>
      <w:r w:rsidR="00AF69D8" w:rsidRPr="00A75C6B">
        <w:rPr>
          <w:rFonts w:cs="Arial"/>
          <w:color w:val="000000" w:themeColor="text1"/>
          <w:shd w:val="clear" w:color="auto" w:fill="FFFFFF"/>
        </w:rPr>
        <w:t>225-247.</w:t>
      </w:r>
    </w:p>
    <w:p w:rsidR="00E76A3E" w:rsidRPr="00A75C6B" w:rsidRDefault="00E76A3E">
      <w:pPr>
        <w:spacing w:after="0" w:line="360" w:lineRule="auto"/>
        <w:rPr>
          <w:rFonts w:cs="Arial"/>
          <w:color w:val="000000" w:themeColor="text1"/>
          <w:shd w:val="clear" w:color="auto" w:fill="FFFFFF"/>
        </w:rPr>
      </w:pPr>
    </w:p>
    <w:p w:rsidR="001670CC" w:rsidRPr="00A75C6B" w:rsidRDefault="00E76A3E" w:rsidP="00A75C6B">
      <w:pPr>
        <w:widowControl w:val="0"/>
        <w:autoSpaceDE w:val="0"/>
        <w:autoSpaceDN w:val="0"/>
        <w:adjustRightInd w:val="0"/>
        <w:spacing w:after="0" w:line="360" w:lineRule="auto"/>
        <w:rPr>
          <w:rFonts w:cs="Arial"/>
          <w:color w:val="000000" w:themeColor="text1"/>
          <w:shd w:val="clear" w:color="auto" w:fill="FFFFFF"/>
        </w:rPr>
      </w:pPr>
      <w:r w:rsidRPr="00AB02A7">
        <w:rPr>
          <w:rFonts w:cs="Times New Roman"/>
          <w:color w:val="000000" w:themeColor="text1"/>
        </w:rPr>
        <w:t xml:space="preserve">Claudia Olivetti and M. Daniele </w:t>
      </w:r>
      <w:r w:rsidRPr="00F50F4C">
        <w:rPr>
          <w:rFonts w:cs="Times New Roman"/>
          <w:color w:val="000000" w:themeColor="text1"/>
        </w:rPr>
        <w:t>Paserman (2015). “</w:t>
      </w:r>
      <w:r w:rsidRPr="00F50F4C">
        <w:rPr>
          <w:rFonts w:cs="font000000001e872684"/>
          <w:bCs/>
          <w:color w:val="000000" w:themeColor="text1"/>
        </w:rPr>
        <w:t>In the Name of the So</w:t>
      </w:r>
      <w:r w:rsidRPr="00D604A9">
        <w:rPr>
          <w:rFonts w:cs="font000000001e872684"/>
          <w:bCs/>
          <w:color w:val="000000" w:themeColor="text1"/>
        </w:rPr>
        <w:t xml:space="preserve">n (and the Daughter): Intergenerational Mobility in the United States, 1850-1940.” </w:t>
      </w:r>
      <w:r w:rsidRPr="00A75C6B">
        <w:rPr>
          <w:rFonts w:cs="font000000001e872684"/>
          <w:bCs/>
          <w:i/>
          <w:color w:val="000000" w:themeColor="text1"/>
        </w:rPr>
        <w:t>American Economic Review</w:t>
      </w:r>
      <w:r w:rsidRPr="00D604A9">
        <w:rPr>
          <w:rFonts w:cs="font000000001e872684"/>
          <w:bCs/>
          <w:color w:val="000000" w:themeColor="text1"/>
        </w:rPr>
        <w:t xml:space="preserve"> 105, </w:t>
      </w:r>
      <w:r w:rsidRPr="00D604A9">
        <w:rPr>
          <w:rFonts w:cs="Gqirockvoohlnqszjocenjxixin"/>
          <w:color w:val="000000" w:themeColor="text1"/>
        </w:rPr>
        <w:t>pp. 2695-2724</w:t>
      </w:r>
    </w:p>
    <w:p w:rsidR="001425A4" w:rsidRPr="00A75C6B" w:rsidRDefault="001425A4">
      <w:pPr>
        <w:spacing w:after="0" w:line="360" w:lineRule="auto"/>
        <w:rPr>
          <w:color w:val="000000" w:themeColor="text1"/>
        </w:rPr>
      </w:pPr>
    </w:p>
    <w:p w:rsidR="00AF69D8" w:rsidRDefault="00E33D02">
      <w:pPr>
        <w:spacing w:after="0" w:line="360" w:lineRule="auto"/>
        <w:rPr>
          <w:rFonts w:cs="Arial"/>
          <w:color w:val="000000" w:themeColor="text1"/>
          <w:lang w:val="en-US"/>
        </w:rPr>
      </w:pPr>
      <w:r w:rsidRPr="00A75C6B">
        <w:rPr>
          <w:color w:val="000000" w:themeColor="text1"/>
        </w:rPr>
        <w:t xml:space="preserve">Martin </w:t>
      </w:r>
      <w:r w:rsidR="00AF69D8" w:rsidRPr="00A75C6B">
        <w:rPr>
          <w:color w:val="000000" w:themeColor="text1"/>
        </w:rPr>
        <w:t>Saavedra (2017), “</w:t>
      </w:r>
      <w:r w:rsidRPr="00A75C6B">
        <w:rPr>
          <w:rFonts w:cstheme="minorHAnsi"/>
          <w:color w:val="000000" w:themeColor="text1"/>
        </w:rPr>
        <w:t>Early-Life Disease Exposure and Occupational Status: the Impact of Yellow Fever during the 19th Century</w:t>
      </w:r>
      <w:r w:rsidR="00600ED0">
        <w:rPr>
          <w:rFonts w:cstheme="minorHAnsi"/>
          <w:color w:val="000000" w:themeColor="text1"/>
          <w:shd w:val="clear" w:color="auto" w:fill="FFFFFF"/>
        </w:rPr>
        <w:t>.</w:t>
      </w:r>
      <w:r w:rsidR="00AF69D8" w:rsidRPr="00A75C6B">
        <w:rPr>
          <w:color w:val="000000" w:themeColor="text1"/>
        </w:rPr>
        <w:t xml:space="preserve">” </w:t>
      </w:r>
      <w:r w:rsidR="00AF69D8" w:rsidRPr="00A75C6B">
        <w:rPr>
          <w:i/>
          <w:color w:val="000000" w:themeColor="text1"/>
        </w:rPr>
        <w:t>Explorations in Economic History</w:t>
      </w:r>
      <w:r w:rsidR="00AF69D8" w:rsidRPr="00A75C6B">
        <w:rPr>
          <w:color w:val="000000" w:themeColor="text1"/>
        </w:rPr>
        <w:t>, forthcoming</w:t>
      </w:r>
      <w:r w:rsidR="00D604A9" w:rsidRPr="00D604A9">
        <w:rPr>
          <w:color w:val="000000" w:themeColor="text1"/>
        </w:rPr>
        <w:t xml:space="preserve"> </w:t>
      </w:r>
      <w:hyperlink r:id="rId10" w:history="1">
        <w:r w:rsidR="00600ED0" w:rsidRPr="00B32E4B">
          <w:rPr>
            <w:rStyle w:val="Hyperlink"/>
            <w:rFonts w:cs="Arial"/>
            <w:lang w:val="en-US"/>
          </w:rPr>
          <w:t>http://dx.doi.org/10.1016/j.eeh.2017.01.003</w:t>
        </w:r>
      </w:hyperlink>
      <w:r w:rsidR="00D604A9" w:rsidRPr="00A75C6B">
        <w:rPr>
          <w:rFonts w:cs="Arial"/>
          <w:color w:val="000000" w:themeColor="text1"/>
          <w:lang w:val="en-US"/>
        </w:rPr>
        <w:t>.</w:t>
      </w:r>
    </w:p>
    <w:p w:rsidR="00600ED0" w:rsidRDefault="00600ED0" w:rsidP="00600ED0">
      <w:pPr>
        <w:spacing w:after="0" w:line="360" w:lineRule="auto"/>
        <w:rPr>
          <w:rFonts w:cs="Arial"/>
          <w:color w:val="000000" w:themeColor="text1"/>
          <w:lang w:val="en-US"/>
        </w:rPr>
      </w:pPr>
    </w:p>
    <w:p w:rsidR="005E1C1E" w:rsidRDefault="005E1C1E" w:rsidP="00600ED0">
      <w:pPr>
        <w:spacing w:after="0" w:line="360" w:lineRule="auto"/>
        <w:rPr>
          <w:rStyle w:val="Hyperlink"/>
          <w:rFonts w:ascii="NexusSansWebPro" w:hAnsi="NexusSansWebPro" w:hint="eastAsia"/>
          <w:color w:val="505050"/>
        </w:rPr>
      </w:pPr>
      <w:r>
        <w:rPr>
          <w:rFonts w:cs="Arial"/>
          <w:color w:val="000000" w:themeColor="text1"/>
          <w:lang w:val="en-US"/>
        </w:rPr>
        <w:t>Martin Saaverda and Tate Twinam (2918). “A Machine Learning Approach to Improving Occupational Income Scores.”  SSRN Working Paper</w:t>
      </w:r>
      <w:r w:rsidR="004818F4">
        <w:rPr>
          <w:rFonts w:cs="Arial"/>
          <w:color w:val="000000" w:themeColor="text1"/>
          <w:lang w:val="en-US"/>
        </w:rPr>
        <w:t>,</w:t>
      </w:r>
      <w:r>
        <w:rPr>
          <w:rFonts w:cs="Arial"/>
          <w:color w:val="000000" w:themeColor="text1"/>
          <w:lang w:val="en-US"/>
        </w:rPr>
        <w:t xml:space="preserve"> </w:t>
      </w:r>
      <w:hyperlink r:id="rId11" w:tgtFrame="_blank" w:history="1">
        <w:r>
          <w:rPr>
            <w:rStyle w:val="Hyperlink"/>
            <w:rFonts w:ascii="NexusSansWebPro" w:hAnsi="NexusSansWebPro"/>
            <w:color w:val="505050"/>
          </w:rPr>
          <w:t>http://dx.doi.org/10.2139/ssrn.2944870</w:t>
        </w:r>
      </w:hyperlink>
    </w:p>
    <w:p w:rsidR="004818F4" w:rsidRPr="00600ED0" w:rsidRDefault="004818F4" w:rsidP="00600ED0">
      <w:pPr>
        <w:spacing w:after="0" w:line="360" w:lineRule="auto"/>
        <w:rPr>
          <w:rFonts w:cs="Arial"/>
          <w:color w:val="000000" w:themeColor="text1"/>
          <w:lang w:val="en-US"/>
        </w:rPr>
      </w:pPr>
    </w:p>
    <w:p w:rsidR="00600ED0" w:rsidRPr="00C96D15" w:rsidRDefault="00600ED0" w:rsidP="00C96D15">
      <w:pPr>
        <w:pStyle w:val="NormalWeb"/>
        <w:spacing w:before="0" w:beforeAutospacing="0" w:after="0" w:afterAutospacing="0" w:line="360" w:lineRule="auto"/>
      </w:pPr>
      <w:r w:rsidRPr="00C96D15">
        <w:rPr>
          <w:rFonts w:asciiTheme="minorHAnsi" w:hAnsiTheme="minorHAnsi" w:cs="Arial"/>
          <w:color w:val="000000" w:themeColor="text1"/>
          <w:sz w:val="22"/>
          <w:szCs w:val="22"/>
        </w:rPr>
        <w:lastRenderedPageBreak/>
        <w:t xml:space="preserve">Laura Salisbury (2014). </w:t>
      </w:r>
      <w:r w:rsidRPr="00C96D15">
        <w:rPr>
          <w:rFonts w:asciiTheme="minorHAnsi" w:eastAsiaTheme="minorEastAsia" w:hAnsiTheme="minorHAnsi" w:hint="eastAsia"/>
          <w:sz w:val="22"/>
          <w:szCs w:val="22"/>
        </w:rPr>
        <w:t>Selective migration, wages, and occupational mobility in nineteenth century America</w:t>
      </w:r>
      <w:r>
        <w:rPr>
          <w:rFonts w:asciiTheme="minorHAnsi" w:eastAsiaTheme="minorEastAsia" w:hAnsiTheme="minorHAnsi"/>
          <w:sz w:val="22"/>
          <w:szCs w:val="22"/>
        </w:rPr>
        <w:t>.”</w:t>
      </w:r>
      <w:r w:rsidRPr="00C96D15">
        <w:rPr>
          <w:rFonts w:asciiTheme="minorHAnsi" w:eastAsiaTheme="minorEastAsia" w:hAnsiTheme="minorHAnsi" w:hint="eastAsia"/>
          <w:sz w:val="22"/>
          <w:szCs w:val="22"/>
        </w:rPr>
        <w:t xml:space="preserve"> </w:t>
      </w:r>
      <w:r w:rsidRPr="00C96D15">
        <w:rPr>
          <w:rFonts w:asciiTheme="minorHAnsi" w:hAnsiTheme="minorHAnsi"/>
          <w:i/>
          <w:color w:val="000000" w:themeColor="text1"/>
          <w:sz w:val="22"/>
          <w:szCs w:val="22"/>
        </w:rPr>
        <w:t>Explorations in Economic History</w:t>
      </w:r>
      <w:r>
        <w:rPr>
          <w:rFonts w:asciiTheme="minorHAnsi" w:hAnsiTheme="minorHAnsi"/>
          <w:color w:val="000000" w:themeColor="text1"/>
          <w:sz w:val="22"/>
          <w:szCs w:val="22"/>
        </w:rPr>
        <w:t xml:space="preserve"> 53, PP. 40-63.</w:t>
      </w:r>
    </w:p>
    <w:p w:rsidR="00C632FD" w:rsidRPr="00600ED0" w:rsidRDefault="00C632FD" w:rsidP="00600ED0">
      <w:pPr>
        <w:spacing w:after="0" w:line="360" w:lineRule="auto"/>
        <w:rPr>
          <w:color w:val="000000" w:themeColor="text1"/>
        </w:rPr>
      </w:pPr>
    </w:p>
    <w:p w:rsidR="00C632FD" w:rsidRPr="00A75C6B" w:rsidRDefault="00C632FD">
      <w:pPr>
        <w:widowControl w:val="0"/>
        <w:autoSpaceDE w:val="0"/>
        <w:autoSpaceDN w:val="0"/>
        <w:adjustRightInd w:val="0"/>
        <w:spacing w:after="0" w:line="360" w:lineRule="auto"/>
        <w:rPr>
          <w:rFonts w:cs="Times New Roman"/>
          <w:color w:val="000000" w:themeColor="text1"/>
        </w:rPr>
      </w:pPr>
      <w:r w:rsidRPr="00A75C6B">
        <w:rPr>
          <w:rFonts w:cs="Times New Roman"/>
          <w:color w:val="000000" w:themeColor="text1"/>
        </w:rPr>
        <w:t xml:space="preserve">Matt Sobek (1995). “The comparability of occupations and the generation of income scores.” </w:t>
      </w:r>
      <w:r w:rsidRPr="00A75C6B">
        <w:rPr>
          <w:rFonts w:cs="Times New Roman"/>
          <w:i/>
          <w:color w:val="000000" w:themeColor="text1"/>
        </w:rPr>
        <w:t xml:space="preserve">Historical Methods, </w:t>
      </w:r>
      <w:r w:rsidRPr="00A75C6B">
        <w:rPr>
          <w:rFonts w:cs="Times New Roman"/>
          <w:color w:val="000000" w:themeColor="text1"/>
        </w:rPr>
        <w:t>28, pp. 47-71.</w:t>
      </w:r>
    </w:p>
    <w:p w:rsidR="00E76A3E" w:rsidRPr="00A75C6B" w:rsidRDefault="00E76A3E">
      <w:pPr>
        <w:widowControl w:val="0"/>
        <w:autoSpaceDE w:val="0"/>
        <w:autoSpaceDN w:val="0"/>
        <w:adjustRightInd w:val="0"/>
        <w:spacing w:after="0" w:line="360" w:lineRule="auto"/>
        <w:rPr>
          <w:rFonts w:cs="Times New Roman"/>
          <w:color w:val="000000" w:themeColor="text1"/>
        </w:rPr>
      </w:pPr>
    </w:p>
    <w:p w:rsidR="00C632FD" w:rsidRPr="00A75C6B" w:rsidRDefault="00C632FD">
      <w:pPr>
        <w:widowControl w:val="0"/>
        <w:autoSpaceDE w:val="0"/>
        <w:autoSpaceDN w:val="0"/>
        <w:adjustRightInd w:val="0"/>
        <w:spacing w:after="0" w:line="360" w:lineRule="auto"/>
        <w:rPr>
          <w:rFonts w:cs="Times New Roman"/>
          <w:color w:val="000000" w:themeColor="text1"/>
        </w:rPr>
      </w:pPr>
      <w:r w:rsidRPr="00A75C6B">
        <w:rPr>
          <w:rFonts w:cs="Times New Roman"/>
          <w:color w:val="000000" w:themeColor="text1"/>
        </w:rPr>
        <w:t xml:space="preserve">Matt Sobek (1996). “Work, status and income: Men in the American occupational structure since the late nineteenth century.” </w:t>
      </w:r>
      <w:r w:rsidRPr="00A75C6B">
        <w:rPr>
          <w:rFonts w:cs="Times New Roman"/>
          <w:i/>
          <w:color w:val="000000" w:themeColor="text1"/>
        </w:rPr>
        <w:t>Social Science History,</w:t>
      </w:r>
      <w:r w:rsidRPr="00A75C6B">
        <w:rPr>
          <w:rFonts w:cs="Times New Roman"/>
          <w:color w:val="000000" w:themeColor="text1"/>
        </w:rPr>
        <w:t xml:space="preserve"> 20, pp. 169-207.</w:t>
      </w:r>
    </w:p>
    <w:p w:rsidR="00AF69D8" w:rsidRPr="00A75C6B" w:rsidRDefault="00AF69D8">
      <w:pPr>
        <w:spacing w:after="0" w:line="360" w:lineRule="auto"/>
        <w:rPr>
          <w:color w:val="000000" w:themeColor="text1"/>
        </w:rPr>
      </w:pPr>
    </w:p>
    <w:p w:rsidR="00536CA9" w:rsidRPr="00A75C6B" w:rsidRDefault="00EE5663">
      <w:pPr>
        <w:spacing w:after="0" w:line="360" w:lineRule="auto"/>
        <w:rPr>
          <w:color w:val="000000" w:themeColor="text1"/>
        </w:rPr>
      </w:pPr>
      <w:r w:rsidRPr="00A75C6B">
        <w:rPr>
          <w:color w:val="000000" w:themeColor="text1"/>
        </w:rPr>
        <w:t xml:space="preserve">Gary Solon (1992).  “Intergenerational Income Mobility in the United States.”  </w:t>
      </w:r>
      <w:r w:rsidRPr="00A75C6B">
        <w:rPr>
          <w:i/>
          <w:color w:val="000000" w:themeColor="text1"/>
        </w:rPr>
        <w:t>American Economic Review,</w:t>
      </w:r>
      <w:r w:rsidRPr="00A75C6B">
        <w:rPr>
          <w:color w:val="000000" w:themeColor="text1"/>
        </w:rPr>
        <w:t xml:space="preserve"> 82, p</w:t>
      </w:r>
      <w:r w:rsidR="003275FB" w:rsidRPr="00A75C6B">
        <w:rPr>
          <w:color w:val="000000" w:themeColor="text1"/>
        </w:rPr>
        <w:t>p. 393-408.</w:t>
      </w:r>
    </w:p>
    <w:p w:rsidR="00A12096" w:rsidRPr="00A75C6B" w:rsidRDefault="00A12096">
      <w:pPr>
        <w:spacing w:after="0" w:line="360" w:lineRule="auto"/>
        <w:rPr>
          <w:color w:val="000000" w:themeColor="text1"/>
        </w:rPr>
      </w:pPr>
    </w:p>
    <w:p w:rsidR="00913D53" w:rsidRDefault="00A12096">
      <w:pPr>
        <w:widowControl w:val="0"/>
        <w:autoSpaceDE w:val="0"/>
        <w:autoSpaceDN w:val="0"/>
        <w:adjustRightInd w:val="0"/>
        <w:spacing w:after="0" w:line="360" w:lineRule="auto"/>
        <w:rPr>
          <w:rFonts w:cs="Arial"/>
          <w:color w:val="000000" w:themeColor="text1"/>
          <w:lang w:val="en-US"/>
        </w:rPr>
      </w:pPr>
      <w:r w:rsidRPr="00A75C6B">
        <w:rPr>
          <w:color w:val="000000" w:themeColor="text1"/>
        </w:rPr>
        <w:t>Melvin Stevens, Jr. and Dou-</w:t>
      </w:r>
      <w:r w:rsidR="00C2335F" w:rsidRPr="00A75C6B">
        <w:rPr>
          <w:color w:val="000000" w:themeColor="text1"/>
        </w:rPr>
        <w:t>Yan Yang (2014).</w:t>
      </w:r>
      <w:r w:rsidR="00F97CA9" w:rsidRPr="005C00AC">
        <w:rPr>
          <w:color w:val="000000" w:themeColor="text1"/>
        </w:rPr>
        <w:t xml:space="preserve"> “Compulsory Educ</w:t>
      </w:r>
      <w:r w:rsidR="00F97CA9" w:rsidRPr="00902D72">
        <w:rPr>
          <w:color w:val="000000" w:themeColor="text1"/>
        </w:rPr>
        <w:t xml:space="preserve">ation and </w:t>
      </w:r>
      <w:r w:rsidRPr="00A75C6B">
        <w:rPr>
          <w:color w:val="000000" w:themeColor="text1"/>
        </w:rPr>
        <w:t>the Benefits of Schooling</w:t>
      </w:r>
      <w:r w:rsidR="00C2335F" w:rsidRPr="00A75C6B">
        <w:rPr>
          <w:color w:val="000000" w:themeColor="text1"/>
        </w:rPr>
        <w:t>.</w:t>
      </w:r>
      <w:r w:rsidRPr="00A75C6B">
        <w:rPr>
          <w:color w:val="000000" w:themeColor="text1"/>
        </w:rPr>
        <w:t>”</w:t>
      </w:r>
      <w:r w:rsidR="00C2335F" w:rsidRPr="00A75C6B">
        <w:rPr>
          <w:color w:val="000000" w:themeColor="text1"/>
        </w:rPr>
        <w:t xml:space="preserve"> </w:t>
      </w:r>
      <w:r w:rsidR="00C2335F" w:rsidRPr="00A75C6B">
        <w:rPr>
          <w:rFonts w:cs="Arial"/>
          <w:i/>
          <w:iCs/>
          <w:color w:val="000000" w:themeColor="text1"/>
          <w:lang w:val="en-US"/>
        </w:rPr>
        <w:t>American Economic Review,</w:t>
      </w:r>
      <w:r w:rsidR="00C2335F" w:rsidRPr="00A75C6B">
        <w:rPr>
          <w:rFonts w:cs="Arial"/>
          <w:color w:val="000000" w:themeColor="text1"/>
          <w:lang w:val="en-US"/>
        </w:rPr>
        <w:t xml:space="preserve"> 104, pp. 1777-1792.</w:t>
      </w:r>
    </w:p>
    <w:p w:rsidR="007E36E8" w:rsidRDefault="007E36E8">
      <w:pPr>
        <w:widowControl w:val="0"/>
        <w:autoSpaceDE w:val="0"/>
        <w:autoSpaceDN w:val="0"/>
        <w:adjustRightInd w:val="0"/>
        <w:spacing w:after="0" w:line="360" w:lineRule="auto"/>
        <w:rPr>
          <w:rFonts w:cs="Arial"/>
          <w:color w:val="000000" w:themeColor="text1"/>
          <w:lang w:val="en-US"/>
        </w:rPr>
      </w:pPr>
    </w:p>
    <w:p w:rsidR="007E36E8" w:rsidRDefault="007E36E8">
      <w:pPr>
        <w:widowControl w:val="0"/>
        <w:autoSpaceDE w:val="0"/>
        <w:autoSpaceDN w:val="0"/>
        <w:adjustRightInd w:val="0"/>
        <w:spacing w:after="0" w:line="360" w:lineRule="auto"/>
        <w:rPr>
          <w:color w:val="000000" w:themeColor="text1"/>
        </w:rPr>
        <w:sectPr w:rsidR="007E36E8" w:rsidSect="00D3496E">
          <w:footnotePr>
            <w:numRestart w:val="eachSect"/>
          </w:footnotePr>
          <w:pgSz w:w="11906" w:h="16838"/>
          <w:pgMar w:top="1440" w:right="1440" w:bottom="1440" w:left="1440" w:header="708" w:footer="708" w:gutter="0"/>
          <w:cols w:space="708"/>
          <w:docGrid w:linePitch="360"/>
        </w:sectPr>
      </w:pPr>
      <w:r>
        <w:rPr>
          <w:rFonts w:cs="Arial"/>
          <w:color w:val="000000" w:themeColor="text1"/>
          <w:lang w:val="en-US"/>
        </w:rPr>
        <w:t xml:space="preserve">Jeffrey M. Wooldridge (2009). </w:t>
      </w:r>
      <w:r w:rsidRPr="00AD7D04">
        <w:rPr>
          <w:rFonts w:cs="Arial"/>
          <w:i/>
          <w:color w:val="000000" w:themeColor="text1"/>
          <w:lang w:val="en-US"/>
        </w:rPr>
        <w:t>Introductory Econometrics</w:t>
      </w:r>
      <w:r w:rsidRPr="007E36E8">
        <w:rPr>
          <w:rFonts w:cs="Arial"/>
          <w:i/>
          <w:color w:val="000000" w:themeColor="text1"/>
          <w:lang w:val="en-US"/>
        </w:rPr>
        <w:t>, Fourth Edition</w:t>
      </w:r>
      <w:r>
        <w:rPr>
          <w:rFonts w:cs="Arial"/>
          <w:i/>
          <w:color w:val="000000" w:themeColor="text1"/>
          <w:lang w:val="en-US"/>
        </w:rPr>
        <w:t xml:space="preserve">. </w:t>
      </w:r>
      <w:r>
        <w:rPr>
          <w:rFonts w:cs="Arial"/>
          <w:color w:val="000000" w:themeColor="text1"/>
          <w:lang w:val="en-US"/>
        </w:rPr>
        <w:t xml:space="preserve">Mason OH: </w:t>
      </w:r>
      <w:r w:rsidRPr="00B15F4E">
        <w:rPr>
          <w:rFonts w:cs="Arial"/>
          <w:color w:val="000000" w:themeColor="text1"/>
          <w:lang w:val="en-US"/>
        </w:rPr>
        <w:t>South-Western</w:t>
      </w:r>
      <w:r>
        <w:rPr>
          <w:rFonts w:cs="Arial"/>
          <w:color w:val="000000" w:themeColor="text1"/>
          <w:lang w:val="en-US"/>
        </w:rPr>
        <w:t>,</w:t>
      </w:r>
      <w:r>
        <w:rPr>
          <w:rFonts w:cs="Arial"/>
          <w:i/>
          <w:color w:val="000000" w:themeColor="text1"/>
          <w:lang w:val="en-US"/>
        </w:rPr>
        <w:t xml:space="preserve"> </w:t>
      </w:r>
      <w:r>
        <w:rPr>
          <w:rFonts w:cs="Arial"/>
          <w:color w:val="000000" w:themeColor="text1"/>
          <w:lang w:val="en-US"/>
        </w:rPr>
        <w:t>Cengage Learning.</w:t>
      </w:r>
    </w:p>
    <w:p w:rsidR="00CF582D" w:rsidRPr="00CF582D" w:rsidRDefault="00CF582D" w:rsidP="00D477E0">
      <w:pPr>
        <w:spacing w:after="0" w:line="240" w:lineRule="auto"/>
        <w:jc w:val="center"/>
        <w:outlineLvl w:val="0"/>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lastRenderedPageBreak/>
        <w:t xml:space="preserve">Table 1: Earnings Measures </w:t>
      </w:r>
      <w:r w:rsidR="0033724D">
        <w:rPr>
          <w:rFonts w:ascii="Calibri" w:eastAsia="Times New Roman" w:hAnsi="Calibri" w:cs="Times New Roman"/>
          <w:color w:val="000000"/>
          <w:sz w:val="24"/>
          <w:szCs w:val="24"/>
          <w:lang w:eastAsia="en-US"/>
        </w:rPr>
        <w:t xml:space="preserve">for </w:t>
      </w:r>
      <w:r w:rsidRPr="00CF582D">
        <w:rPr>
          <w:rFonts w:ascii="Calibri" w:eastAsia="Times New Roman" w:hAnsi="Calibri" w:cs="Times New Roman"/>
          <w:color w:val="000000"/>
          <w:sz w:val="24"/>
          <w:szCs w:val="24"/>
          <w:lang w:eastAsia="en-US"/>
        </w:rPr>
        <w:t xml:space="preserve">Occupation Groups </w:t>
      </w:r>
      <w:r w:rsidR="0033724D">
        <w:rPr>
          <w:rFonts w:ascii="Calibri" w:eastAsia="Times New Roman" w:hAnsi="Calibri" w:cs="Times New Roman"/>
          <w:color w:val="000000"/>
          <w:sz w:val="24"/>
          <w:szCs w:val="24"/>
          <w:lang w:eastAsia="en-US"/>
        </w:rPr>
        <w:t xml:space="preserve">and Major Occupations, </w:t>
      </w:r>
      <w:r w:rsidRPr="00CF582D">
        <w:rPr>
          <w:rFonts w:ascii="Calibri" w:eastAsia="Times New Roman" w:hAnsi="Calibri" w:cs="Times New Roman"/>
          <w:color w:val="000000"/>
          <w:sz w:val="24"/>
          <w:szCs w:val="24"/>
          <w:lang w:eastAsia="en-US"/>
        </w:rPr>
        <w:t>Relative to Labourers</w:t>
      </w:r>
    </w:p>
    <w:p w:rsidR="00CF582D" w:rsidRDefault="00CF582D" w:rsidP="00CF582D">
      <w:pPr>
        <w:tabs>
          <w:tab w:val="left" w:pos="4962"/>
        </w:tabs>
        <w:spacing w:after="0" w:line="360" w:lineRule="auto"/>
      </w:pPr>
    </w:p>
    <w:tbl>
      <w:tblPr>
        <w:tblW w:w="0" w:type="auto"/>
        <w:tblInd w:w="93" w:type="dxa"/>
        <w:tblLayout w:type="fixed"/>
        <w:tblLook w:val="04A0" w:firstRow="1" w:lastRow="0" w:firstColumn="1" w:lastColumn="0" w:noHBand="0" w:noVBand="1"/>
      </w:tblPr>
      <w:tblGrid>
        <w:gridCol w:w="2283"/>
        <w:gridCol w:w="142"/>
        <w:gridCol w:w="992"/>
        <w:gridCol w:w="851"/>
        <w:gridCol w:w="1134"/>
        <w:gridCol w:w="1134"/>
        <w:gridCol w:w="1134"/>
        <w:gridCol w:w="1134"/>
        <w:gridCol w:w="1276"/>
        <w:gridCol w:w="1275"/>
        <w:gridCol w:w="1418"/>
      </w:tblGrid>
      <w:tr w:rsidR="00CF582D" w:rsidRPr="00CF582D" w:rsidTr="00A75C6B">
        <w:trPr>
          <w:trHeight w:val="300"/>
        </w:trPr>
        <w:tc>
          <w:tcPr>
            <w:tcW w:w="2283" w:type="dxa"/>
            <w:tcBorders>
              <w:top w:val="nil"/>
              <w:left w:val="nil"/>
              <w:bottom w:val="nil"/>
              <w:right w:val="nil"/>
            </w:tcBorders>
            <w:shd w:val="clear" w:color="auto" w:fill="auto"/>
            <w:noWrap/>
            <w:vAlign w:val="bottom"/>
            <w:hideMark/>
          </w:tcPr>
          <w:p w:rsidR="00CF582D" w:rsidRPr="00CF582D" w:rsidRDefault="00CF582D" w:rsidP="00CF582D">
            <w:pPr>
              <w:spacing w:after="0" w:line="240" w:lineRule="auto"/>
              <w:rPr>
                <w:rFonts w:ascii="Calibri" w:eastAsia="Times New Roman" w:hAnsi="Calibri" w:cs="Times New Roman"/>
                <w:color w:val="000000"/>
                <w:sz w:val="24"/>
                <w:szCs w:val="24"/>
                <w:lang w:eastAsia="en-US"/>
              </w:rPr>
            </w:pPr>
          </w:p>
        </w:tc>
        <w:tc>
          <w:tcPr>
            <w:tcW w:w="3119" w:type="dxa"/>
            <w:gridSpan w:val="4"/>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1911</w:t>
            </w:r>
          </w:p>
        </w:tc>
        <w:tc>
          <w:tcPr>
            <w:tcW w:w="3402" w:type="dxa"/>
            <w:gridSpan w:val="3"/>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1921</w:t>
            </w:r>
          </w:p>
        </w:tc>
        <w:tc>
          <w:tcPr>
            <w:tcW w:w="3969" w:type="dxa"/>
            <w:gridSpan w:val="3"/>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1931</w:t>
            </w:r>
          </w:p>
        </w:tc>
      </w:tr>
      <w:tr w:rsidR="0033724D" w:rsidRPr="00CF582D" w:rsidTr="00A75C6B">
        <w:trPr>
          <w:trHeight w:val="300"/>
        </w:trPr>
        <w:tc>
          <w:tcPr>
            <w:tcW w:w="2283" w:type="dxa"/>
            <w:tcBorders>
              <w:top w:val="nil"/>
              <w:left w:val="nil"/>
              <w:bottom w:val="single" w:sz="4" w:space="0" w:color="auto"/>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p>
        </w:tc>
        <w:tc>
          <w:tcPr>
            <w:tcW w:w="1134" w:type="dxa"/>
            <w:gridSpan w:val="2"/>
            <w:tcBorders>
              <w:top w:val="nil"/>
              <w:left w:val="nil"/>
              <w:bottom w:val="single" w:sz="4" w:space="0" w:color="auto"/>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Earnings</w:t>
            </w:r>
          </w:p>
        </w:tc>
        <w:tc>
          <w:tcPr>
            <w:tcW w:w="851" w:type="dxa"/>
            <w:tcBorders>
              <w:top w:val="nil"/>
              <w:left w:val="nil"/>
              <w:bottom w:val="single" w:sz="4" w:space="0" w:color="auto"/>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OCC-Y</w:t>
            </w:r>
          </w:p>
        </w:tc>
        <w:tc>
          <w:tcPr>
            <w:tcW w:w="1134" w:type="dxa"/>
            <w:tcBorders>
              <w:top w:val="nil"/>
              <w:left w:val="nil"/>
              <w:bottom w:val="single" w:sz="4" w:space="0" w:color="auto"/>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OCC 50</w:t>
            </w:r>
          </w:p>
        </w:tc>
        <w:tc>
          <w:tcPr>
            <w:tcW w:w="1134" w:type="dxa"/>
            <w:tcBorders>
              <w:top w:val="nil"/>
              <w:left w:val="nil"/>
              <w:bottom w:val="single" w:sz="4" w:space="0" w:color="auto"/>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Earnings</w:t>
            </w:r>
          </w:p>
        </w:tc>
        <w:tc>
          <w:tcPr>
            <w:tcW w:w="1134" w:type="dxa"/>
            <w:tcBorders>
              <w:top w:val="nil"/>
              <w:left w:val="nil"/>
              <w:bottom w:val="single" w:sz="4" w:space="0" w:color="auto"/>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OCC-Y</w:t>
            </w:r>
          </w:p>
        </w:tc>
        <w:tc>
          <w:tcPr>
            <w:tcW w:w="1134" w:type="dxa"/>
            <w:tcBorders>
              <w:top w:val="nil"/>
              <w:left w:val="nil"/>
              <w:bottom w:val="single" w:sz="4" w:space="0" w:color="auto"/>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OCC 50</w:t>
            </w:r>
          </w:p>
        </w:tc>
        <w:tc>
          <w:tcPr>
            <w:tcW w:w="1276" w:type="dxa"/>
            <w:tcBorders>
              <w:top w:val="nil"/>
              <w:left w:val="nil"/>
              <w:bottom w:val="single" w:sz="4" w:space="0" w:color="auto"/>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Earnings</w:t>
            </w:r>
          </w:p>
        </w:tc>
        <w:tc>
          <w:tcPr>
            <w:tcW w:w="1275" w:type="dxa"/>
            <w:tcBorders>
              <w:top w:val="nil"/>
              <w:left w:val="nil"/>
              <w:bottom w:val="single" w:sz="4" w:space="0" w:color="auto"/>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OCC-Y</w:t>
            </w:r>
          </w:p>
        </w:tc>
        <w:tc>
          <w:tcPr>
            <w:tcW w:w="1418" w:type="dxa"/>
            <w:tcBorders>
              <w:top w:val="nil"/>
              <w:left w:val="nil"/>
              <w:bottom w:val="single" w:sz="4" w:space="0" w:color="auto"/>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bCs/>
                <w:color w:val="000000"/>
                <w:sz w:val="24"/>
                <w:szCs w:val="24"/>
                <w:lang w:eastAsia="en-US"/>
              </w:rPr>
            </w:pPr>
            <w:r w:rsidRPr="00CF582D">
              <w:rPr>
                <w:rFonts w:ascii="Calibri" w:eastAsia="Times New Roman" w:hAnsi="Calibri" w:cs="Times New Roman"/>
                <w:b/>
                <w:bCs/>
                <w:color w:val="000000"/>
                <w:sz w:val="24"/>
                <w:szCs w:val="24"/>
                <w:lang w:eastAsia="en-US"/>
              </w:rPr>
              <w:t>OCC 50</w:t>
            </w:r>
          </w:p>
        </w:tc>
      </w:tr>
      <w:tr w:rsidR="0033724D" w:rsidRPr="00CF582D" w:rsidTr="00A75C6B">
        <w:trPr>
          <w:trHeight w:val="300"/>
        </w:trPr>
        <w:tc>
          <w:tcPr>
            <w:tcW w:w="12773" w:type="dxa"/>
            <w:gridSpan w:val="11"/>
            <w:tcBorders>
              <w:top w:val="nil"/>
              <w:left w:val="nil"/>
              <w:bottom w:val="nil"/>
              <w:right w:val="nil"/>
            </w:tcBorders>
            <w:shd w:val="clear" w:color="auto" w:fill="auto"/>
            <w:noWrap/>
            <w:vAlign w:val="center"/>
          </w:tcPr>
          <w:p w:rsidR="0033724D" w:rsidRPr="00AD7D04" w:rsidRDefault="0033724D" w:rsidP="00A75C6B">
            <w:pPr>
              <w:pStyle w:val="ListParagraph"/>
              <w:numPr>
                <w:ilvl w:val="0"/>
                <w:numId w:val="4"/>
              </w:numPr>
              <w:spacing w:after="0" w:line="240" w:lineRule="auto"/>
              <w:jc w:val="center"/>
              <w:rPr>
                <w:rFonts w:ascii="Calibri" w:eastAsia="Times New Roman" w:hAnsi="Calibri" w:cs="Times New Roman"/>
                <w:b/>
                <w:color w:val="000000"/>
                <w:sz w:val="24"/>
                <w:szCs w:val="24"/>
                <w:lang w:eastAsia="en-US"/>
              </w:rPr>
            </w:pPr>
            <w:r w:rsidRPr="00AD7D04">
              <w:rPr>
                <w:rFonts w:ascii="Calibri" w:eastAsia="Times New Roman" w:hAnsi="Calibri" w:cs="Times New Roman"/>
                <w:b/>
                <w:color w:val="000000"/>
                <w:sz w:val="24"/>
                <w:szCs w:val="24"/>
                <w:lang w:eastAsia="en-US"/>
              </w:rPr>
              <w:t>Occupation groups</w:t>
            </w:r>
          </w:p>
        </w:tc>
      </w:tr>
      <w:tr w:rsidR="0033724D" w:rsidRPr="00CF582D" w:rsidTr="00A75C6B">
        <w:trPr>
          <w:trHeight w:val="300"/>
        </w:trPr>
        <w:tc>
          <w:tcPr>
            <w:tcW w:w="2425" w:type="dxa"/>
            <w:gridSpan w:val="2"/>
            <w:tcBorders>
              <w:top w:val="nil"/>
              <w:left w:val="nil"/>
              <w:bottom w:val="nil"/>
              <w:right w:val="nil"/>
            </w:tcBorders>
            <w:shd w:val="clear" w:color="auto" w:fill="auto"/>
            <w:noWrap/>
            <w:vAlign w:val="center"/>
            <w:hideMark/>
          </w:tcPr>
          <w:p w:rsidR="00CF582D" w:rsidRPr="00CF582D" w:rsidRDefault="00CF582D" w:rsidP="00CF582D">
            <w:pPr>
              <w:spacing w:after="0" w:line="240" w:lineRule="auto"/>
              <w:ind w:left="333" w:right="693" w:hanging="333"/>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Prof/Prop</w:t>
            </w:r>
          </w:p>
        </w:tc>
        <w:tc>
          <w:tcPr>
            <w:tcW w:w="992"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2.24</w:t>
            </w:r>
          </w:p>
        </w:tc>
        <w:tc>
          <w:tcPr>
            <w:tcW w:w="851"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2.39</w:t>
            </w:r>
          </w:p>
        </w:tc>
        <w:tc>
          <w:tcPr>
            <w:tcW w:w="1134"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2.00</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1.87</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2.02</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1.94</w:t>
            </w:r>
          </w:p>
        </w:tc>
        <w:tc>
          <w:tcPr>
            <w:tcW w:w="1276"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3.50</w:t>
            </w:r>
          </w:p>
        </w:tc>
        <w:tc>
          <w:tcPr>
            <w:tcW w:w="1275"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3.68</w:t>
            </w:r>
          </w:p>
        </w:tc>
        <w:tc>
          <w:tcPr>
            <w:tcW w:w="1418"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1.86</w:t>
            </w:r>
          </w:p>
        </w:tc>
      </w:tr>
      <w:tr w:rsidR="0033724D" w:rsidRPr="00CF582D" w:rsidTr="00A75C6B">
        <w:trPr>
          <w:trHeight w:val="300"/>
        </w:trPr>
        <w:tc>
          <w:tcPr>
            <w:tcW w:w="2425" w:type="dxa"/>
            <w:gridSpan w:val="2"/>
            <w:tcBorders>
              <w:top w:val="nil"/>
              <w:left w:val="nil"/>
              <w:bottom w:val="nil"/>
              <w:right w:val="nil"/>
            </w:tcBorders>
            <w:shd w:val="clear" w:color="auto" w:fill="auto"/>
            <w:noWrap/>
            <w:vAlign w:val="center"/>
            <w:hideMark/>
          </w:tcPr>
          <w:p w:rsidR="00CF582D" w:rsidRPr="00CF582D" w:rsidRDefault="00CF582D" w:rsidP="00CF582D">
            <w:pPr>
              <w:spacing w:after="0" w:line="240" w:lineRule="auto"/>
              <w:ind w:left="333" w:right="693" w:hanging="333"/>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Clerical</w:t>
            </w:r>
          </w:p>
        </w:tc>
        <w:tc>
          <w:tcPr>
            <w:tcW w:w="992"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1.39</w:t>
            </w:r>
          </w:p>
        </w:tc>
        <w:tc>
          <w:tcPr>
            <w:tcW w:w="851"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1.46</w:t>
            </w:r>
          </w:p>
        </w:tc>
        <w:tc>
          <w:tcPr>
            <w:tcW w:w="1134"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1.32</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1.28</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1.32</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1.32</w:t>
            </w:r>
          </w:p>
        </w:tc>
        <w:tc>
          <w:tcPr>
            <w:tcW w:w="1276"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2.10</w:t>
            </w:r>
          </w:p>
        </w:tc>
        <w:tc>
          <w:tcPr>
            <w:tcW w:w="1275"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2.19</w:t>
            </w:r>
          </w:p>
        </w:tc>
        <w:tc>
          <w:tcPr>
            <w:tcW w:w="1418"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1.33</w:t>
            </w:r>
          </w:p>
        </w:tc>
      </w:tr>
      <w:tr w:rsidR="0033724D" w:rsidRPr="00CF582D" w:rsidTr="00A75C6B">
        <w:trPr>
          <w:trHeight w:val="300"/>
        </w:trPr>
        <w:tc>
          <w:tcPr>
            <w:tcW w:w="2425" w:type="dxa"/>
            <w:gridSpan w:val="2"/>
            <w:tcBorders>
              <w:top w:val="nil"/>
              <w:left w:val="nil"/>
              <w:bottom w:val="nil"/>
              <w:right w:val="nil"/>
            </w:tcBorders>
            <w:shd w:val="clear" w:color="auto" w:fill="auto"/>
            <w:noWrap/>
            <w:vAlign w:val="center"/>
            <w:hideMark/>
          </w:tcPr>
          <w:p w:rsidR="00CF582D" w:rsidRPr="00CF582D" w:rsidRDefault="00CF582D" w:rsidP="00CF582D">
            <w:pPr>
              <w:spacing w:after="0" w:line="240" w:lineRule="auto"/>
              <w:ind w:left="333" w:right="693" w:hanging="333"/>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Craftsmen</w:t>
            </w:r>
          </w:p>
        </w:tc>
        <w:tc>
          <w:tcPr>
            <w:tcW w:w="992"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1.48</w:t>
            </w:r>
          </w:p>
        </w:tc>
        <w:tc>
          <w:tcPr>
            <w:tcW w:w="851"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1.47</w:t>
            </w:r>
          </w:p>
        </w:tc>
        <w:tc>
          <w:tcPr>
            <w:tcW w:w="1134"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1.51</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1.48</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1.46</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1.55</w:t>
            </w:r>
          </w:p>
        </w:tc>
        <w:tc>
          <w:tcPr>
            <w:tcW w:w="1276"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2.03</w:t>
            </w:r>
          </w:p>
        </w:tc>
        <w:tc>
          <w:tcPr>
            <w:tcW w:w="1275"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2.00</w:t>
            </w:r>
          </w:p>
        </w:tc>
        <w:tc>
          <w:tcPr>
            <w:tcW w:w="1418"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1.52</w:t>
            </w:r>
          </w:p>
        </w:tc>
      </w:tr>
      <w:tr w:rsidR="0033724D" w:rsidRPr="00CF582D" w:rsidTr="00A75C6B">
        <w:trPr>
          <w:trHeight w:val="300"/>
        </w:trPr>
        <w:tc>
          <w:tcPr>
            <w:tcW w:w="2425" w:type="dxa"/>
            <w:gridSpan w:val="2"/>
            <w:tcBorders>
              <w:top w:val="nil"/>
              <w:left w:val="nil"/>
              <w:bottom w:val="nil"/>
              <w:right w:val="nil"/>
            </w:tcBorders>
            <w:shd w:val="clear" w:color="auto" w:fill="auto"/>
            <w:noWrap/>
            <w:vAlign w:val="center"/>
            <w:hideMark/>
          </w:tcPr>
          <w:p w:rsidR="00CF582D" w:rsidRPr="00CF582D" w:rsidRDefault="00CF582D" w:rsidP="00CF582D">
            <w:pPr>
              <w:spacing w:after="0" w:line="240" w:lineRule="auto"/>
              <w:ind w:left="333" w:right="693" w:hanging="333"/>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Operative</w:t>
            </w:r>
          </w:p>
        </w:tc>
        <w:tc>
          <w:tcPr>
            <w:tcW w:w="992"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1.11</w:t>
            </w:r>
          </w:p>
        </w:tc>
        <w:tc>
          <w:tcPr>
            <w:tcW w:w="851"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1.10</w:t>
            </w:r>
          </w:p>
        </w:tc>
        <w:tc>
          <w:tcPr>
            <w:tcW w:w="1134"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1.17</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1.11</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1.08</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1.19</w:t>
            </w:r>
          </w:p>
        </w:tc>
        <w:tc>
          <w:tcPr>
            <w:tcW w:w="1276"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1.71</w:t>
            </w:r>
          </w:p>
        </w:tc>
        <w:tc>
          <w:tcPr>
            <w:tcW w:w="1275"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1.68</w:t>
            </w:r>
          </w:p>
        </w:tc>
        <w:tc>
          <w:tcPr>
            <w:tcW w:w="1418"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1.22</w:t>
            </w:r>
          </w:p>
        </w:tc>
      </w:tr>
      <w:tr w:rsidR="0033724D" w:rsidRPr="00CF582D" w:rsidTr="00A75C6B">
        <w:trPr>
          <w:trHeight w:val="300"/>
        </w:trPr>
        <w:tc>
          <w:tcPr>
            <w:tcW w:w="2425" w:type="dxa"/>
            <w:gridSpan w:val="2"/>
            <w:tcBorders>
              <w:top w:val="nil"/>
              <w:left w:val="nil"/>
              <w:bottom w:val="nil"/>
              <w:right w:val="nil"/>
            </w:tcBorders>
            <w:shd w:val="clear" w:color="auto" w:fill="auto"/>
            <w:noWrap/>
            <w:vAlign w:val="center"/>
            <w:hideMark/>
          </w:tcPr>
          <w:p w:rsidR="00CF582D" w:rsidRPr="00CF582D" w:rsidRDefault="00CF582D" w:rsidP="00CF582D">
            <w:pPr>
              <w:spacing w:after="0" w:line="240" w:lineRule="auto"/>
              <w:ind w:left="333" w:right="693" w:hanging="333"/>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Service</w:t>
            </w:r>
          </w:p>
        </w:tc>
        <w:tc>
          <w:tcPr>
            <w:tcW w:w="992"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0.80</w:t>
            </w:r>
          </w:p>
        </w:tc>
        <w:tc>
          <w:tcPr>
            <w:tcW w:w="851"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0.80</w:t>
            </w:r>
          </w:p>
        </w:tc>
        <w:tc>
          <w:tcPr>
            <w:tcW w:w="1134"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0.61</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0.85</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0.83</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0.66</w:t>
            </w:r>
          </w:p>
        </w:tc>
        <w:tc>
          <w:tcPr>
            <w:tcW w:w="1276"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1.08</w:t>
            </w:r>
          </w:p>
        </w:tc>
        <w:tc>
          <w:tcPr>
            <w:tcW w:w="1275"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1.52</w:t>
            </w:r>
          </w:p>
        </w:tc>
        <w:tc>
          <w:tcPr>
            <w:tcW w:w="1418"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color w:val="000000"/>
                <w:sz w:val="24"/>
                <w:szCs w:val="24"/>
                <w:lang w:eastAsia="en-US"/>
              </w:rPr>
            </w:pPr>
            <w:r w:rsidRPr="00CF582D">
              <w:rPr>
                <w:rFonts w:ascii="Calibri" w:eastAsia="Times New Roman" w:hAnsi="Calibri" w:cs="Times New Roman"/>
                <w:color w:val="000000"/>
                <w:sz w:val="24"/>
                <w:szCs w:val="24"/>
                <w:lang w:eastAsia="en-US"/>
              </w:rPr>
              <w:t>0.49</w:t>
            </w:r>
          </w:p>
        </w:tc>
      </w:tr>
      <w:tr w:rsidR="0033724D" w:rsidRPr="00CF582D" w:rsidTr="00A75C6B">
        <w:trPr>
          <w:trHeight w:val="300"/>
        </w:trPr>
        <w:tc>
          <w:tcPr>
            <w:tcW w:w="2425" w:type="dxa"/>
            <w:gridSpan w:val="2"/>
            <w:tcBorders>
              <w:top w:val="nil"/>
              <w:left w:val="nil"/>
              <w:bottom w:val="nil"/>
              <w:right w:val="nil"/>
            </w:tcBorders>
            <w:shd w:val="clear" w:color="auto" w:fill="auto"/>
            <w:noWrap/>
            <w:vAlign w:val="center"/>
            <w:hideMark/>
          </w:tcPr>
          <w:p w:rsidR="00CF582D" w:rsidRPr="00CF582D" w:rsidRDefault="00CF582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b/>
                <w:i/>
                <w:iCs/>
                <w:color w:val="000000"/>
                <w:sz w:val="24"/>
                <w:szCs w:val="24"/>
                <w:lang w:eastAsia="en-US"/>
              </w:rPr>
              <w:t>Labour</w:t>
            </w:r>
          </w:p>
        </w:tc>
        <w:tc>
          <w:tcPr>
            <w:tcW w:w="992"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1.00</w:t>
            </w:r>
          </w:p>
        </w:tc>
        <w:tc>
          <w:tcPr>
            <w:tcW w:w="851"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1.00</w:t>
            </w:r>
          </w:p>
        </w:tc>
        <w:tc>
          <w:tcPr>
            <w:tcW w:w="1134"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1.00</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1.01</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1.00</w:t>
            </w:r>
          </w:p>
        </w:tc>
        <w:tc>
          <w:tcPr>
            <w:tcW w:w="1134" w:type="dxa"/>
            <w:tcBorders>
              <w:top w:val="nil"/>
              <w:left w:val="nil"/>
              <w:bottom w:val="nil"/>
              <w:right w:val="nil"/>
            </w:tcBorders>
            <w:shd w:val="clear" w:color="auto" w:fill="F2F2F2" w:themeFill="background1" w:themeFillShade="F2"/>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1.00</w:t>
            </w:r>
          </w:p>
        </w:tc>
        <w:tc>
          <w:tcPr>
            <w:tcW w:w="1276"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1.02</w:t>
            </w:r>
          </w:p>
        </w:tc>
        <w:tc>
          <w:tcPr>
            <w:tcW w:w="1275"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1.00</w:t>
            </w:r>
          </w:p>
        </w:tc>
        <w:tc>
          <w:tcPr>
            <w:tcW w:w="1418" w:type="dxa"/>
            <w:tcBorders>
              <w:top w:val="nil"/>
              <w:left w:val="nil"/>
              <w:bottom w:val="nil"/>
              <w:right w:val="nil"/>
            </w:tcBorders>
            <w:shd w:val="clear" w:color="auto" w:fill="auto"/>
            <w:noWrap/>
            <w:vAlign w:val="center"/>
            <w:hideMark/>
          </w:tcPr>
          <w:p w:rsidR="00CF582D" w:rsidRPr="00CF582D" w:rsidRDefault="00CF582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1.00</w:t>
            </w:r>
          </w:p>
        </w:tc>
      </w:tr>
      <w:tr w:rsidR="0033724D" w:rsidRPr="00CF582D" w:rsidTr="00EC6BE2">
        <w:trPr>
          <w:trHeight w:val="300"/>
        </w:trPr>
        <w:tc>
          <w:tcPr>
            <w:tcW w:w="12773" w:type="dxa"/>
            <w:gridSpan w:val="11"/>
            <w:tcBorders>
              <w:top w:val="nil"/>
              <w:left w:val="nil"/>
              <w:bottom w:val="nil"/>
              <w:right w:val="nil"/>
            </w:tcBorders>
            <w:shd w:val="clear" w:color="auto" w:fill="auto"/>
            <w:noWrap/>
            <w:vAlign w:val="center"/>
          </w:tcPr>
          <w:p w:rsidR="00940769" w:rsidRPr="00AD7D04" w:rsidRDefault="00940769" w:rsidP="00AD7D04">
            <w:pPr>
              <w:pStyle w:val="ListParagraph"/>
              <w:spacing w:after="0" w:line="240" w:lineRule="auto"/>
              <w:ind w:left="1080"/>
              <w:rPr>
                <w:rFonts w:ascii="Calibri" w:eastAsia="Times New Roman" w:hAnsi="Calibri" w:cs="Times New Roman"/>
                <w:b/>
                <w:color w:val="000000"/>
                <w:sz w:val="24"/>
                <w:szCs w:val="24"/>
                <w:lang w:eastAsia="en-US"/>
              </w:rPr>
            </w:pPr>
          </w:p>
          <w:p w:rsidR="0033724D" w:rsidRPr="00A75C6B" w:rsidRDefault="0033724D" w:rsidP="00A75C6B">
            <w:pPr>
              <w:pStyle w:val="ListParagraph"/>
              <w:numPr>
                <w:ilvl w:val="0"/>
                <w:numId w:val="4"/>
              </w:numPr>
              <w:spacing w:after="0" w:line="240" w:lineRule="auto"/>
              <w:jc w:val="center"/>
              <w:rPr>
                <w:rFonts w:ascii="Calibri" w:eastAsia="Times New Roman" w:hAnsi="Calibri" w:cs="Times New Roman"/>
                <w:b/>
                <w:color w:val="000000"/>
                <w:sz w:val="24"/>
                <w:szCs w:val="24"/>
                <w:lang w:eastAsia="en-US"/>
              </w:rPr>
            </w:pPr>
            <w:r w:rsidRPr="00A75C6B">
              <w:rPr>
                <w:rFonts w:ascii="Calibri" w:eastAsia="Times New Roman" w:hAnsi="Calibri" w:cs="Times New Roman"/>
                <w:b/>
                <w:i/>
                <w:iCs/>
                <w:color w:val="000000"/>
                <w:sz w:val="24"/>
                <w:szCs w:val="24"/>
                <w:lang w:eastAsia="en-US"/>
              </w:rPr>
              <w:t>Occupations</w:t>
            </w:r>
          </w:p>
        </w:tc>
      </w:tr>
      <w:tr w:rsidR="00913D53" w:rsidRPr="00CF582D" w:rsidTr="0033724D">
        <w:trPr>
          <w:trHeight w:val="300"/>
        </w:trPr>
        <w:tc>
          <w:tcPr>
            <w:tcW w:w="2425" w:type="dxa"/>
            <w:gridSpan w:val="2"/>
            <w:tcBorders>
              <w:top w:val="nil"/>
              <w:left w:val="nil"/>
              <w:bottom w:val="nil"/>
              <w:right w:val="nil"/>
            </w:tcBorders>
            <w:shd w:val="clear" w:color="auto" w:fill="auto"/>
            <w:noWrap/>
            <w:vAlign w:val="bottom"/>
          </w:tcPr>
          <w:p w:rsidR="0033724D" w:rsidRPr="00CF582D" w:rsidRDefault="0033724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color w:val="000000"/>
                <w:sz w:val="24"/>
                <w:szCs w:val="24"/>
                <w:lang w:eastAsia="en-US"/>
              </w:rPr>
              <w:t>Mngrs, offici</w:t>
            </w:r>
            <w:r>
              <w:rPr>
                <w:rFonts w:ascii="Calibri" w:eastAsia="Times New Roman" w:hAnsi="Calibri" w:cs="Times New Roman"/>
                <w:color w:val="000000"/>
                <w:sz w:val="24"/>
                <w:szCs w:val="24"/>
                <w:lang w:eastAsia="en-US"/>
              </w:rPr>
              <w:t>als</w:t>
            </w:r>
          </w:p>
        </w:tc>
        <w:tc>
          <w:tcPr>
            <w:tcW w:w="992"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3.06</w:t>
            </w:r>
          </w:p>
        </w:tc>
        <w:tc>
          <w:tcPr>
            <w:tcW w:w="851"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3.09</w:t>
            </w:r>
          </w:p>
        </w:tc>
        <w:tc>
          <w:tcPr>
            <w:tcW w:w="1134"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2.19</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2.57</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2.64</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2.18</w:t>
            </w:r>
          </w:p>
        </w:tc>
        <w:tc>
          <w:tcPr>
            <w:tcW w:w="1276"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5.08</w:t>
            </w:r>
          </w:p>
        </w:tc>
        <w:tc>
          <w:tcPr>
            <w:tcW w:w="1275"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5.33</w:t>
            </w:r>
          </w:p>
        </w:tc>
        <w:tc>
          <w:tcPr>
            <w:tcW w:w="1418"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2.17</w:t>
            </w:r>
          </w:p>
        </w:tc>
      </w:tr>
      <w:tr w:rsidR="00913D53" w:rsidRPr="00CF582D" w:rsidTr="0033724D">
        <w:trPr>
          <w:trHeight w:val="300"/>
        </w:trPr>
        <w:tc>
          <w:tcPr>
            <w:tcW w:w="2425" w:type="dxa"/>
            <w:gridSpan w:val="2"/>
            <w:tcBorders>
              <w:top w:val="nil"/>
              <w:left w:val="nil"/>
              <w:bottom w:val="nil"/>
              <w:right w:val="nil"/>
            </w:tcBorders>
            <w:shd w:val="clear" w:color="auto" w:fill="auto"/>
            <w:noWrap/>
            <w:vAlign w:val="bottom"/>
          </w:tcPr>
          <w:p w:rsidR="0033724D" w:rsidRPr="00CF582D" w:rsidRDefault="0033724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color w:val="000000"/>
                <w:sz w:val="24"/>
                <w:szCs w:val="24"/>
                <w:lang w:eastAsia="en-US"/>
              </w:rPr>
              <w:t>Bookkeepers</w:t>
            </w:r>
          </w:p>
        </w:tc>
        <w:tc>
          <w:tcPr>
            <w:tcW w:w="992"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1.33</w:t>
            </w:r>
          </w:p>
        </w:tc>
        <w:tc>
          <w:tcPr>
            <w:tcW w:w="851"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1.34</w:t>
            </w:r>
          </w:p>
        </w:tc>
        <w:tc>
          <w:tcPr>
            <w:tcW w:w="1134"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1.15</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1.23</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1.24</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1.14</w:t>
            </w:r>
          </w:p>
        </w:tc>
        <w:tc>
          <w:tcPr>
            <w:tcW w:w="1276"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1.98</w:t>
            </w:r>
          </w:p>
        </w:tc>
        <w:tc>
          <w:tcPr>
            <w:tcW w:w="1275"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2.01</w:t>
            </w:r>
          </w:p>
        </w:tc>
        <w:tc>
          <w:tcPr>
            <w:tcW w:w="1418"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1.14</w:t>
            </w:r>
          </w:p>
        </w:tc>
      </w:tr>
      <w:tr w:rsidR="00913D53" w:rsidRPr="00CF582D" w:rsidTr="0033724D">
        <w:trPr>
          <w:trHeight w:val="300"/>
        </w:trPr>
        <w:tc>
          <w:tcPr>
            <w:tcW w:w="2425" w:type="dxa"/>
            <w:gridSpan w:val="2"/>
            <w:tcBorders>
              <w:top w:val="nil"/>
              <w:left w:val="nil"/>
              <w:bottom w:val="nil"/>
              <w:right w:val="nil"/>
            </w:tcBorders>
            <w:shd w:val="clear" w:color="auto" w:fill="auto"/>
            <w:noWrap/>
            <w:vAlign w:val="bottom"/>
          </w:tcPr>
          <w:p w:rsidR="0033724D" w:rsidRPr="00CF582D" w:rsidRDefault="0033724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color w:val="000000"/>
                <w:sz w:val="24"/>
                <w:szCs w:val="24"/>
                <w:lang w:eastAsia="en-US"/>
              </w:rPr>
              <w:t>Stenographers</w:t>
            </w:r>
          </w:p>
        </w:tc>
        <w:tc>
          <w:tcPr>
            <w:tcW w:w="992"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1.09</w:t>
            </w:r>
          </w:p>
        </w:tc>
        <w:tc>
          <w:tcPr>
            <w:tcW w:w="851"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1.11</w:t>
            </w:r>
          </w:p>
        </w:tc>
        <w:tc>
          <w:tcPr>
            <w:tcW w:w="1134"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1.15</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1.10</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1.12</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1.14</w:t>
            </w:r>
          </w:p>
        </w:tc>
        <w:tc>
          <w:tcPr>
            <w:tcW w:w="1276"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1.73</w:t>
            </w:r>
          </w:p>
        </w:tc>
        <w:tc>
          <w:tcPr>
            <w:tcW w:w="1275"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1.82</w:t>
            </w:r>
          </w:p>
        </w:tc>
        <w:tc>
          <w:tcPr>
            <w:tcW w:w="1418"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1.14</w:t>
            </w:r>
          </w:p>
        </w:tc>
      </w:tr>
      <w:tr w:rsidR="00913D53" w:rsidRPr="00CF582D" w:rsidTr="0033724D">
        <w:trPr>
          <w:trHeight w:val="300"/>
        </w:trPr>
        <w:tc>
          <w:tcPr>
            <w:tcW w:w="2425" w:type="dxa"/>
            <w:gridSpan w:val="2"/>
            <w:tcBorders>
              <w:top w:val="nil"/>
              <w:left w:val="nil"/>
              <w:bottom w:val="nil"/>
              <w:right w:val="nil"/>
            </w:tcBorders>
            <w:shd w:val="clear" w:color="auto" w:fill="auto"/>
            <w:noWrap/>
            <w:vAlign w:val="bottom"/>
          </w:tcPr>
          <w:p w:rsidR="0033724D" w:rsidRPr="00CF582D" w:rsidRDefault="0033724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color w:val="000000"/>
                <w:sz w:val="24"/>
                <w:szCs w:val="24"/>
                <w:lang w:eastAsia="en-US"/>
              </w:rPr>
              <w:t>Clerical and kin</w:t>
            </w:r>
          </w:p>
        </w:tc>
        <w:tc>
          <w:tcPr>
            <w:tcW w:w="992"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1.31</w:t>
            </w:r>
          </w:p>
        </w:tc>
        <w:tc>
          <w:tcPr>
            <w:tcW w:w="851"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1.32</w:t>
            </w:r>
          </w:p>
        </w:tc>
        <w:tc>
          <w:tcPr>
            <w:tcW w:w="1134"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1.30</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1.25</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1.26</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1.30</w:t>
            </w:r>
          </w:p>
        </w:tc>
        <w:tc>
          <w:tcPr>
            <w:tcW w:w="1276"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2.09</w:t>
            </w:r>
          </w:p>
        </w:tc>
        <w:tc>
          <w:tcPr>
            <w:tcW w:w="1275"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2.15</w:t>
            </w:r>
          </w:p>
        </w:tc>
        <w:tc>
          <w:tcPr>
            <w:tcW w:w="1418"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1.29</w:t>
            </w:r>
          </w:p>
        </w:tc>
      </w:tr>
      <w:tr w:rsidR="00913D53" w:rsidRPr="00CF582D" w:rsidTr="0033724D">
        <w:trPr>
          <w:trHeight w:val="300"/>
        </w:trPr>
        <w:tc>
          <w:tcPr>
            <w:tcW w:w="2425" w:type="dxa"/>
            <w:gridSpan w:val="2"/>
            <w:tcBorders>
              <w:top w:val="nil"/>
              <w:left w:val="nil"/>
              <w:bottom w:val="nil"/>
              <w:right w:val="nil"/>
            </w:tcBorders>
            <w:shd w:val="clear" w:color="auto" w:fill="auto"/>
            <w:noWrap/>
            <w:vAlign w:val="bottom"/>
          </w:tcPr>
          <w:p w:rsidR="0033724D" w:rsidRPr="00CF582D" w:rsidRDefault="0033724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color w:val="000000"/>
                <w:sz w:val="24"/>
                <w:szCs w:val="24"/>
                <w:lang w:eastAsia="en-US"/>
              </w:rPr>
              <w:t>Salesmen</w:t>
            </w:r>
          </w:p>
        </w:tc>
        <w:tc>
          <w:tcPr>
            <w:tcW w:w="992"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1.37</w:t>
            </w:r>
          </w:p>
        </w:tc>
        <w:tc>
          <w:tcPr>
            <w:tcW w:w="851"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1.40</w:t>
            </w:r>
          </w:p>
        </w:tc>
        <w:tc>
          <w:tcPr>
            <w:tcW w:w="1134"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1.25</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1.34</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1.38</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1.25</w:t>
            </w:r>
          </w:p>
        </w:tc>
        <w:tc>
          <w:tcPr>
            <w:tcW w:w="1276"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2.07</w:t>
            </w:r>
          </w:p>
        </w:tc>
        <w:tc>
          <w:tcPr>
            <w:tcW w:w="1275"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2.14</w:t>
            </w:r>
          </w:p>
        </w:tc>
        <w:tc>
          <w:tcPr>
            <w:tcW w:w="1418"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1.24</w:t>
            </w:r>
          </w:p>
        </w:tc>
      </w:tr>
      <w:tr w:rsidR="00913D53" w:rsidRPr="00CF582D" w:rsidTr="0033724D">
        <w:trPr>
          <w:trHeight w:val="300"/>
        </w:trPr>
        <w:tc>
          <w:tcPr>
            <w:tcW w:w="2425" w:type="dxa"/>
            <w:gridSpan w:val="2"/>
            <w:tcBorders>
              <w:top w:val="nil"/>
              <w:left w:val="nil"/>
              <w:bottom w:val="nil"/>
              <w:right w:val="nil"/>
            </w:tcBorders>
            <w:shd w:val="clear" w:color="auto" w:fill="auto"/>
            <w:noWrap/>
            <w:vAlign w:val="bottom"/>
          </w:tcPr>
          <w:p w:rsidR="0033724D" w:rsidRPr="00CF582D" w:rsidRDefault="0033724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color w:val="000000"/>
                <w:sz w:val="24"/>
                <w:szCs w:val="24"/>
                <w:lang w:eastAsia="en-US"/>
              </w:rPr>
              <w:t>Carpenters</w:t>
            </w:r>
          </w:p>
        </w:tc>
        <w:tc>
          <w:tcPr>
            <w:tcW w:w="992"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1.42</w:t>
            </w:r>
          </w:p>
        </w:tc>
        <w:tc>
          <w:tcPr>
            <w:tcW w:w="851"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1.42</w:t>
            </w:r>
          </w:p>
        </w:tc>
        <w:tc>
          <w:tcPr>
            <w:tcW w:w="1134"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1.25</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1.34</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1.33</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1.25</w:t>
            </w:r>
          </w:p>
        </w:tc>
        <w:tc>
          <w:tcPr>
            <w:tcW w:w="1276"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1.60</w:t>
            </w:r>
          </w:p>
        </w:tc>
        <w:tc>
          <w:tcPr>
            <w:tcW w:w="1275"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1.60</w:t>
            </w:r>
          </w:p>
        </w:tc>
        <w:tc>
          <w:tcPr>
            <w:tcW w:w="1418"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1.24</w:t>
            </w:r>
          </w:p>
        </w:tc>
      </w:tr>
      <w:tr w:rsidR="00913D53" w:rsidRPr="00CF582D" w:rsidTr="0033724D">
        <w:trPr>
          <w:trHeight w:val="300"/>
        </w:trPr>
        <w:tc>
          <w:tcPr>
            <w:tcW w:w="2425" w:type="dxa"/>
            <w:gridSpan w:val="2"/>
            <w:tcBorders>
              <w:top w:val="nil"/>
              <w:left w:val="nil"/>
              <w:bottom w:val="nil"/>
              <w:right w:val="nil"/>
            </w:tcBorders>
            <w:shd w:val="clear" w:color="auto" w:fill="auto"/>
            <w:noWrap/>
            <w:vAlign w:val="bottom"/>
          </w:tcPr>
          <w:p w:rsidR="0033724D" w:rsidRPr="00CF582D" w:rsidRDefault="0033724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color w:val="000000"/>
                <w:sz w:val="24"/>
                <w:szCs w:val="24"/>
                <w:lang w:eastAsia="en-US"/>
              </w:rPr>
              <w:t>Operative</w:t>
            </w:r>
          </w:p>
        </w:tc>
        <w:tc>
          <w:tcPr>
            <w:tcW w:w="992"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1.16</w:t>
            </w:r>
          </w:p>
        </w:tc>
        <w:tc>
          <w:tcPr>
            <w:tcW w:w="851"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1.16</w:t>
            </w:r>
          </w:p>
        </w:tc>
        <w:tc>
          <w:tcPr>
            <w:tcW w:w="1134"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1.20</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1.07</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1.07</w:t>
            </w:r>
          </w:p>
        </w:tc>
        <w:tc>
          <w:tcPr>
            <w:tcW w:w="1134" w:type="dxa"/>
            <w:tcBorders>
              <w:top w:val="nil"/>
              <w:left w:val="nil"/>
              <w:bottom w:val="nil"/>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1.20</w:t>
            </w:r>
          </w:p>
        </w:tc>
        <w:tc>
          <w:tcPr>
            <w:tcW w:w="1276"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1.48</w:t>
            </w:r>
          </w:p>
        </w:tc>
        <w:tc>
          <w:tcPr>
            <w:tcW w:w="1275"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1.46</w:t>
            </w:r>
          </w:p>
        </w:tc>
        <w:tc>
          <w:tcPr>
            <w:tcW w:w="1418" w:type="dxa"/>
            <w:tcBorders>
              <w:top w:val="nil"/>
              <w:left w:val="nil"/>
              <w:bottom w:val="nil"/>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color w:val="000000"/>
                <w:sz w:val="24"/>
                <w:szCs w:val="24"/>
                <w:lang w:eastAsia="en-US"/>
              </w:rPr>
              <w:t>1.19</w:t>
            </w:r>
          </w:p>
        </w:tc>
      </w:tr>
      <w:tr w:rsidR="0033724D" w:rsidRPr="00CF582D" w:rsidTr="00A75C6B">
        <w:trPr>
          <w:trHeight w:val="300"/>
        </w:trPr>
        <w:tc>
          <w:tcPr>
            <w:tcW w:w="2425" w:type="dxa"/>
            <w:gridSpan w:val="2"/>
            <w:tcBorders>
              <w:top w:val="nil"/>
              <w:left w:val="nil"/>
              <w:bottom w:val="single" w:sz="4" w:space="0" w:color="auto"/>
              <w:right w:val="nil"/>
            </w:tcBorders>
            <w:shd w:val="clear" w:color="auto" w:fill="auto"/>
            <w:noWrap/>
            <w:vAlign w:val="bottom"/>
          </w:tcPr>
          <w:p w:rsidR="0033724D" w:rsidRPr="00CF582D" w:rsidRDefault="0033724D" w:rsidP="00CF582D">
            <w:pPr>
              <w:spacing w:after="0" w:line="240" w:lineRule="auto"/>
              <w:ind w:left="333" w:right="693" w:hanging="333"/>
              <w:jc w:val="center"/>
              <w:rPr>
                <w:rFonts w:ascii="Calibri" w:eastAsia="Times New Roman" w:hAnsi="Calibri" w:cs="Times New Roman"/>
                <w:b/>
                <w:i/>
                <w:iCs/>
                <w:color w:val="000000"/>
                <w:sz w:val="24"/>
                <w:szCs w:val="24"/>
                <w:lang w:eastAsia="en-US"/>
              </w:rPr>
            </w:pPr>
            <w:r w:rsidRPr="00CF582D">
              <w:rPr>
                <w:rFonts w:ascii="Calibri" w:eastAsia="Times New Roman" w:hAnsi="Calibri" w:cs="Times New Roman"/>
                <w:b/>
                <w:i/>
                <w:iCs/>
                <w:color w:val="000000"/>
                <w:sz w:val="24"/>
                <w:szCs w:val="24"/>
                <w:lang w:eastAsia="en-US"/>
              </w:rPr>
              <w:t>Laborers (nec)</w:t>
            </w:r>
          </w:p>
        </w:tc>
        <w:tc>
          <w:tcPr>
            <w:tcW w:w="992" w:type="dxa"/>
            <w:tcBorders>
              <w:top w:val="nil"/>
              <w:left w:val="nil"/>
              <w:bottom w:val="single" w:sz="4" w:space="0" w:color="auto"/>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0.98</w:t>
            </w:r>
          </w:p>
        </w:tc>
        <w:tc>
          <w:tcPr>
            <w:tcW w:w="851" w:type="dxa"/>
            <w:tcBorders>
              <w:top w:val="nil"/>
              <w:left w:val="nil"/>
              <w:bottom w:val="single" w:sz="4" w:space="0" w:color="auto"/>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0.97</w:t>
            </w:r>
          </w:p>
        </w:tc>
        <w:tc>
          <w:tcPr>
            <w:tcW w:w="1134" w:type="dxa"/>
            <w:tcBorders>
              <w:top w:val="nil"/>
              <w:left w:val="nil"/>
              <w:bottom w:val="single" w:sz="4" w:space="0" w:color="auto"/>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1.04</w:t>
            </w:r>
          </w:p>
        </w:tc>
        <w:tc>
          <w:tcPr>
            <w:tcW w:w="1134" w:type="dxa"/>
            <w:tcBorders>
              <w:top w:val="nil"/>
              <w:left w:val="nil"/>
              <w:bottom w:val="single" w:sz="4" w:space="0" w:color="auto"/>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0.98</w:t>
            </w:r>
          </w:p>
        </w:tc>
        <w:tc>
          <w:tcPr>
            <w:tcW w:w="1134" w:type="dxa"/>
            <w:tcBorders>
              <w:top w:val="nil"/>
              <w:left w:val="nil"/>
              <w:bottom w:val="single" w:sz="4" w:space="0" w:color="auto"/>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0.97</w:t>
            </w:r>
          </w:p>
        </w:tc>
        <w:tc>
          <w:tcPr>
            <w:tcW w:w="1134" w:type="dxa"/>
            <w:tcBorders>
              <w:top w:val="nil"/>
              <w:left w:val="nil"/>
              <w:bottom w:val="single" w:sz="4" w:space="0" w:color="auto"/>
              <w:right w:val="nil"/>
            </w:tcBorders>
            <w:shd w:val="clear" w:color="auto" w:fill="F2F2F2" w:themeFill="background1" w:themeFillShade="F2"/>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1.04</w:t>
            </w:r>
          </w:p>
        </w:tc>
        <w:tc>
          <w:tcPr>
            <w:tcW w:w="1276" w:type="dxa"/>
            <w:tcBorders>
              <w:top w:val="nil"/>
              <w:left w:val="nil"/>
              <w:bottom w:val="single" w:sz="4" w:space="0" w:color="auto"/>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0.99</w:t>
            </w:r>
          </w:p>
        </w:tc>
        <w:tc>
          <w:tcPr>
            <w:tcW w:w="1275" w:type="dxa"/>
            <w:tcBorders>
              <w:top w:val="nil"/>
              <w:left w:val="nil"/>
              <w:bottom w:val="single" w:sz="4" w:space="0" w:color="auto"/>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0.98</w:t>
            </w:r>
          </w:p>
        </w:tc>
        <w:tc>
          <w:tcPr>
            <w:tcW w:w="1418" w:type="dxa"/>
            <w:tcBorders>
              <w:top w:val="nil"/>
              <w:left w:val="nil"/>
              <w:bottom w:val="single" w:sz="4" w:space="0" w:color="auto"/>
              <w:right w:val="nil"/>
            </w:tcBorders>
            <w:shd w:val="clear" w:color="auto" w:fill="auto"/>
            <w:noWrap/>
            <w:vAlign w:val="bottom"/>
          </w:tcPr>
          <w:p w:rsidR="0033724D" w:rsidRPr="00CF582D" w:rsidRDefault="0033724D" w:rsidP="00CF582D">
            <w:pPr>
              <w:spacing w:after="0" w:line="240" w:lineRule="auto"/>
              <w:jc w:val="center"/>
              <w:rPr>
                <w:rFonts w:ascii="Calibri" w:eastAsia="Times New Roman" w:hAnsi="Calibri" w:cs="Times New Roman"/>
                <w:b/>
                <w:color w:val="000000"/>
                <w:sz w:val="24"/>
                <w:szCs w:val="24"/>
                <w:lang w:eastAsia="en-US"/>
              </w:rPr>
            </w:pPr>
            <w:r w:rsidRPr="00CF582D">
              <w:rPr>
                <w:rFonts w:ascii="Calibri" w:eastAsia="Times New Roman" w:hAnsi="Calibri" w:cs="Times New Roman"/>
                <w:b/>
                <w:color w:val="000000"/>
                <w:sz w:val="24"/>
                <w:szCs w:val="24"/>
                <w:lang w:eastAsia="en-US"/>
              </w:rPr>
              <w:t>1.03</w:t>
            </w:r>
          </w:p>
        </w:tc>
      </w:tr>
    </w:tbl>
    <w:p w:rsidR="00C96D15" w:rsidRDefault="003F7294">
      <w:pPr>
        <w:sectPr w:rsidR="00C96D15" w:rsidSect="00536CA9">
          <w:pgSz w:w="16840" w:h="11900" w:orient="landscape"/>
          <w:pgMar w:top="1440" w:right="1440" w:bottom="1440" w:left="1440" w:header="708" w:footer="708" w:gutter="0"/>
          <w:cols w:space="708"/>
          <w:docGrid w:linePitch="360"/>
        </w:sectPr>
      </w:pPr>
      <w:r w:rsidRPr="00161753">
        <w:rPr>
          <w:u w:val="single"/>
        </w:rPr>
        <w:t>Notes</w:t>
      </w:r>
      <w:r>
        <w:t xml:space="preserve">: </w:t>
      </w:r>
      <w:r w:rsidR="006C1C04">
        <w:t>Earnings measure is actual annual real earnings.  OCC-Y is the own-year average occupational earnings.  OCC 50 is the IPUMS occupational earnings measure based on the 1950 US Census.  Sample weights applied.  1-Digit average for labourers used as base category</w:t>
      </w:r>
      <w:r w:rsidR="0033724D">
        <w:t xml:space="preserve"> in Panel (i)</w:t>
      </w:r>
      <w:r w:rsidR="006C1C04">
        <w:t>.</w:t>
      </w:r>
      <w:r>
        <w:t xml:space="preserve"> </w:t>
      </w:r>
      <w:r w:rsidR="0033724D">
        <w:t xml:space="preserve">3-digit average for “Labourers (nec)” uses as a base category in Panel (ii). </w:t>
      </w:r>
    </w:p>
    <w:p w:rsidR="00D4136A" w:rsidRDefault="00D4136A">
      <w:pPr>
        <w:rPr>
          <w:rFonts w:ascii="Calibri" w:eastAsia="Times New Roman" w:hAnsi="Calibri" w:cs="Times New Roman"/>
          <w:color w:val="000000"/>
          <w:sz w:val="24"/>
          <w:szCs w:val="24"/>
          <w:lang w:eastAsia="en-US"/>
        </w:rPr>
      </w:pPr>
    </w:p>
    <w:p w:rsidR="00D4136A" w:rsidRDefault="00D4136A" w:rsidP="00D477E0">
      <w:pPr>
        <w:jc w:val="center"/>
        <w:outlineLvl w:val="0"/>
      </w:pPr>
      <w:r>
        <w:t>Table 2: Relative immigrant earnings by arrival cohort, year, and earnings measure</w:t>
      </w:r>
    </w:p>
    <w:tbl>
      <w:tblPr>
        <w:tblStyle w:val="TableGrid"/>
        <w:tblW w:w="0" w:type="auto"/>
        <w:tblLook w:val="04A0" w:firstRow="1" w:lastRow="0" w:firstColumn="1" w:lastColumn="0" w:noHBand="0" w:noVBand="1"/>
      </w:tblPr>
      <w:tblGrid>
        <w:gridCol w:w="1802"/>
        <w:gridCol w:w="1802"/>
        <w:gridCol w:w="1802"/>
        <w:gridCol w:w="1802"/>
        <w:gridCol w:w="1802"/>
      </w:tblGrid>
      <w:tr w:rsidR="00D4136A" w:rsidTr="000336A2">
        <w:tc>
          <w:tcPr>
            <w:tcW w:w="1802" w:type="dxa"/>
          </w:tcPr>
          <w:p w:rsidR="00D4136A" w:rsidRDefault="00D4136A" w:rsidP="00DA758E">
            <w:pPr>
              <w:jc w:val="center"/>
            </w:pPr>
            <w:r>
              <w:t>Arrival Cohort</w:t>
            </w:r>
          </w:p>
        </w:tc>
        <w:tc>
          <w:tcPr>
            <w:tcW w:w="1802" w:type="dxa"/>
          </w:tcPr>
          <w:p w:rsidR="00D4136A" w:rsidRDefault="00D4136A" w:rsidP="00DA758E">
            <w:r>
              <w:t>Outcome</w:t>
            </w:r>
          </w:p>
        </w:tc>
        <w:tc>
          <w:tcPr>
            <w:tcW w:w="1802" w:type="dxa"/>
          </w:tcPr>
          <w:p w:rsidR="00D4136A" w:rsidRDefault="00D4136A" w:rsidP="00DA758E">
            <w:pPr>
              <w:jc w:val="center"/>
            </w:pPr>
            <w:r>
              <w:t>1911</w:t>
            </w:r>
          </w:p>
        </w:tc>
        <w:tc>
          <w:tcPr>
            <w:tcW w:w="1802" w:type="dxa"/>
          </w:tcPr>
          <w:p w:rsidR="00D4136A" w:rsidRDefault="00D4136A" w:rsidP="00DA758E">
            <w:pPr>
              <w:jc w:val="center"/>
            </w:pPr>
            <w:r>
              <w:t>1921</w:t>
            </w:r>
          </w:p>
        </w:tc>
        <w:tc>
          <w:tcPr>
            <w:tcW w:w="1802" w:type="dxa"/>
          </w:tcPr>
          <w:p w:rsidR="00D4136A" w:rsidRDefault="00D4136A" w:rsidP="00DA758E">
            <w:pPr>
              <w:jc w:val="center"/>
            </w:pPr>
            <w:r>
              <w:t>1931</w:t>
            </w:r>
          </w:p>
        </w:tc>
      </w:tr>
      <w:tr w:rsidR="00D4136A" w:rsidTr="000336A2">
        <w:tc>
          <w:tcPr>
            <w:tcW w:w="1802" w:type="dxa"/>
            <w:vMerge w:val="restart"/>
          </w:tcPr>
          <w:p w:rsidR="00D4136A" w:rsidRDefault="00D4136A" w:rsidP="00DA758E">
            <w:pPr>
              <w:jc w:val="center"/>
            </w:pPr>
            <w:r>
              <w:t>1901-1905</w:t>
            </w:r>
          </w:p>
        </w:tc>
        <w:tc>
          <w:tcPr>
            <w:tcW w:w="1802" w:type="dxa"/>
          </w:tcPr>
          <w:p w:rsidR="00D4136A" w:rsidRPr="00B42791" w:rsidRDefault="00D4136A" w:rsidP="00DA758E">
            <w:pPr>
              <w:rPr>
                <w:b/>
              </w:rPr>
            </w:pPr>
            <w:r w:rsidRPr="00B42791">
              <w:rPr>
                <w:b/>
              </w:rPr>
              <w:t>ln(earnings)</w:t>
            </w:r>
          </w:p>
        </w:tc>
        <w:tc>
          <w:tcPr>
            <w:tcW w:w="1802" w:type="dxa"/>
          </w:tcPr>
          <w:p w:rsidR="00D4136A" w:rsidRPr="00B42791" w:rsidRDefault="00D4136A" w:rsidP="00DA758E">
            <w:pPr>
              <w:jc w:val="center"/>
              <w:rPr>
                <w:b/>
              </w:rPr>
            </w:pPr>
            <w:r w:rsidRPr="00B42791">
              <w:rPr>
                <w:b/>
              </w:rPr>
              <w:t>-.144</w:t>
            </w:r>
          </w:p>
        </w:tc>
        <w:tc>
          <w:tcPr>
            <w:tcW w:w="1802" w:type="dxa"/>
          </w:tcPr>
          <w:p w:rsidR="00D4136A" w:rsidRPr="00B42791" w:rsidRDefault="00D4136A" w:rsidP="00DA758E">
            <w:pPr>
              <w:jc w:val="center"/>
              <w:rPr>
                <w:b/>
              </w:rPr>
            </w:pPr>
            <w:r w:rsidRPr="00B42791">
              <w:rPr>
                <w:b/>
              </w:rPr>
              <w:t>-.098</w:t>
            </w:r>
          </w:p>
        </w:tc>
        <w:tc>
          <w:tcPr>
            <w:tcW w:w="1802" w:type="dxa"/>
          </w:tcPr>
          <w:p w:rsidR="00D4136A" w:rsidRPr="00B42791" w:rsidRDefault="00D4136A" w:rsidP="00DA758E">
            <w:pPr>
              <w:jc w:val="center"/>
              <w:rPr>
                <w:b/>
              </w:rPr>
            </w:pPr>
            <w:r w:rsidRPr="00B42791">
              <w:rPr>
                <w:b/>
              </w:rPr>
              <w:t>-.144</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ln(OCC)</w:t>
            </w:r>
          </w:p>
        </w:tc>
        <w:tc>
          <w:tcPr>
            <w:tcW w:w="1802" w:type="dxa"/>
          </w:tcPr>
          <w:p w:rsidR="00D4136A" w:rsidRDefault="00D4136A" w:rsidP="00DA758E">
            <w:pPr>
              <w:jc w:val="center"/>
            </w:pPr>
            <w:r>
              <w:t>-.108</w:t>
            </w:r>
          </w:p>
        </w:tc>
        <w:tc>
          <w:tcPr>
            <w:tcW w:w="1802" w:type="dxa"/>
          </w:tcPr>
          <w:p w:rsidR="00D4136A" w:rsidRDefault="00D4136A" w:rsidP="00DA758E">
            <w:pPr>
              <w:jc w:val="center"/>
            </w:pPr>
            <w:r>
              <w:t>-.084</w:t>
            </w:r>
          </w:p>
        </w:tc>
        <w:tc>
          <w:tcPr>
            <w:tcW w:w="1802" w:type="dxa"/>
          </w:tcPr>
          <w:p w:rsidR="00D4136A" w:rsidRDefault="00D4136A" w:rsidP="00DA758E">
            <w:pPr>
              <w:jc w:val="center"/>
            </w:pPr>
            <w:r>
              <w:t>-.056</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 (OCC-G)</w:t>
            </w:r>
          </w:p>
        </w:tc>
        <w:tc>
          <w:tcPr>
            <w:tcW w:w="1802" w:type="dxa"/>
          </w:tcPr>
          <w:p w:rsidR="00D4136A" w:rsidRDefault="00D4136A" w:rsidP="00DA758E">
            <w:pPr>
              <w:jc w:val="center"/>
            </w:pPr>
            <w:r>
              <w:t>-.148</w:t>
            </w:r>
          </w:p>
        </w:tc>
        <w:tc>
          <w:tcPr>
            <w:tcW w:w="1802" w:type="dxa"/>
          </w:tcPr>
          <w:p w:rsidR="00D4136A" w:rsidRDefault="00D4136A" w:rsidP="00DA758E">
            <w:pPr>
              <w:jc w:val="center"/>
            </w:pPr>
            <w:r>
              <w:t>-.143</w:t>
            </w:r>
          </w:p>
        </w:tc>
        <w:tc>
          <w:tcPr>
            <w:tcW w:w="1802" w:type="dxa"/>
          </w:tcPr>
          <w:p w:rsidR="00D4136A" w:rsidRDefault="00D4136A" w:rsidP="00DA758E">
            <w:pPr>
              <w:jc w:val="center"/>
            </w:pPr>
            <w:r>
              <w:t>-.124</w:t>
            </w:r>
          </w:p>
        </w:tc>
      </w:tr>
      <w:tr w:rsidR="00D80663" w:rsidTr="000336A2">
        <w:tc>
          <w:tcPr>
            <w:tcW w:w="1802" w:type="dxa"/>
            <w:vMerge/>
          </w:tcPr>
          <w:p w:rsidR="00D80663" w:rsidRDefault="00D80663" w:rsidP="00D80663">
            <w:pPr>
              <w:jc w:val="center"/>
            </w:pPr>
          </w:p>
        </w:tc>
        <w:tc>
          <w:tcPr>
            <w:tcW w:w="1802" w:type="dxa"/>
          </w:tcPr>
          <w:p w:rsidR="00D80663" w:rsidRDefault="00D80663" w:rsidP="00D80663">
            <w:r w:rsidRPr="004A0297">
              <w:t>ln(OCC-Y)</w:t>
            </w:r>
          </w:p>
        </w:tc>
        <w:tc>
          <w:tcPr>
            <w:tcW w:w="1802" w:type="dxa"/>
          </w:tcPr>
          <w:p w:rsidR="00D80663" w:rsidRDefault="00D80663" w:rsidP="00D80663">
            <w:pPr>
              <w:jc w:val="center"/>
            </w:pPr>
            <w:r w:rsidRPr="004A0297">
              <w:t>-.108</w:t>
            </w:r>
          </w:p>
        </w:tc>
        <w:tc>
          <w:tcPr>
            <w:tcW w:w="1802" w:type="dxa"/>
          </w:tcPr>
          <w:p w:rsidR="00D80663" w:rsidRDefault="00D80663" w:rsidP="00D80663">
            <w:pPr>
              <w:jc w:val="center"/>
            </w:pPr>
            <w:r w:rsidRPr="004A0297">
              <w:t>-.076</w:t>
            </w:r>
          </w:p>
        </w:tc>
        <w:tc>
          <w:tcPr>
            <w:tcW w:w="1802" w:type="dxa"/>
          </w:tcPr>
          <w:p w:rsidR="00D80663" w:rsidRDefault="00D80663" w:rsidP="00D80663">
            <w:pPr>
              <w:jc w:val="center"/>
            </w:pPr>
            <w:r w:rsidRPr="004A0297">
              <w:t>-.097</w:t>
            </w:r>
          </w:p>
        </w:tc>
      </w:tr>
      <w:tr w:rsidR="00D4136A" w:rsidTr="000336A2">
        <w:tc>
          <w:tcPr>
            <w:tcW w:w="1802" w:type="dxa"/>
            <w:vMerge/>
          </w:tcPr>
          <w:p w:rsidR="00D4136A" w:rsidRDefault="00D4136A" w:rsidP="00DA758E">
            <w:pPr>
              <w:jc w:val="center"/>
            </w:pPr>
          </w:p>
        </w:tc>
        <w:tc>
          <w:tcPr>
            <w:tcW w:w="1802" w:type="dxa"/>
          </w:tcPr>
          <w:p w:rsidR="00D4136A" w:rsidRPr="00F54B1A" w:rsidRDefault="00B3033D" w:rsidP="00DA758E">
            <w:pPr>
              <w:rPr>
                <w:highlight w:val="yellow"/>
              </w:rPr>
            </w:pPr>
            <w:r w:rsidRPr="00390DBB">
              <w:t>ln(OCC-A5)</w:t>
            </w:r>
          </w:p>
        </w:tc>
        <w:tc>
          <w:tcPr>
            <w:tcW w:w="1802" w:type="dxa"/>
          </w:tcPr>
          <w:p w:rsidR="00D4136A" w:rsidRPr="00F54B1A" w:rsidRDefault="00B3033D" w:rsidP="00DA758E">
            <w:pPr>
              <w:jc w:val="center"/>
              <w:rPr>
                <w:highlight w:val="yellow"/>
              </w:rPr>
            </w:pPr>
            <w:r w:rsidRPr="00390DBB">
              <w:t>-.097</w:t>
            </w:r>
          </w:p>
        </w:tc>
        <w:tc>
          <w:tcPr>
            <w:tcW w:w="1802" w:type="dxa"/>
          </w:tcPr>
          <w:p w:rsidR="00D4136A" w:rsidRPr="00F54B1A" w:rsidRDefault="00B3033D" w:rsidP="00DA758E">
            <w:pPr>
              <w:jc w:val="center"/>
              <w:rPr>
                <w:highlight w:val="yellow"/>
              </w:rPr>
            </w:pPr>
            <w:r w:rsidRPr="00390DBB">
              <w:t>-.068</w:t>
            </w:r>
          </w:p>
        </w:tc>
        <w:tc>
          <w:tcPr>
            <w:tcW w:w="1802" w:type="dxa"/>
          </w:tcPr>
          <w:p w:rsidR="00D4136A" w:rsidRPr="00F54B1A" w:rsidRDefault="00B3033D">
            <w:pPr>
              <w:jc w:val="center"/>
              <w:rPr>
                <w:highlight w:val="yellow"/>
              </w:rPr>
            </w:pPr>
            <w:r w:rsidRPr="00390DBB">
              <w:t>-.063</w:t>
            </w:r>
            <w:r w:rsidR="00D80663" w:rsidRPr="00390DBB">
              <w:t xml:space="preserve"> </w:t>
            </w:r>
          </w:p>
        </w:tc>
      </w:tr>
      <w:tr w:rsidR="00D4136A" w:rsidTr="000336A2">
        <w:tc>
          <w:tcPr>
            <w:tcW w:w="1802" w:type="dxa"/>
            <w:vMerge w:val="restart"/>
          </w:tcPr>
          <w:p w:rsidR="00D4136A" w:rsidRDefault="00D4136A" w:rsidP="00DA758E">
            <w:pPr>
              <w:jc w:val="center"/>
            </w:pPr>
            <w:r>
              <w:t>1906-1910</w:t>
            </w:r>
          </w:p>
        </w:tc>
        <w:tc>
          <w:tcPr>
            <w:tcW w:w="1802" w:type="dxa"/>
          </w:tcPr>
          <w:p w:rsidR="00D4136A" w:rsidRPr="00B42791" w:rsidRDefault="00D4136A" w:rsidP="00DA758E">
            <w:pPr>
              <w:rPr>
                <w:b/>
              </w:rPr>
            </w:pPr>
            <w:r w:rsidRPr="00B42791">
              <w:rPr>
                <w:b/>
              </w:rPr>
              <w:t>ln(earnings)</w:t>
            </w:r>
          </w:p>
        </w:tc>
        <w:tc>
          <w:tcPr>
            <w:tcW w:w="1802" w:type="dxa"/>
          </w:tcPr>
          <w:p w:rsidR="00D4136A" w:rsidRPr="00B42791" w:rsidRDefault="00D4136A" w:rsidP="00DA758E">
            <w:pPr>
              <w:jc w:val="center"/>
              <w:rPr>
                <w:b/>
              </w:rPr>
            </w:pPr>
            <w:r w:rsidRPr="00B42791">
              <w:rPr>
                <w:b/>
              </w:rPr>
              <w:t>-.181</w:t>
            </w:r>
          </w:p>
        </w:tc>
        <w:tc>
          <w:tcPr>
            <w:tcW w:w="1802" w:type="dxa"/>
          </w:tcPr>
          <w:p w:rsidR="00D4136A" w:rsidRPr="00B42791" w:rsidRDefault="00D4136A" w:rsidP="00DA758E">
            <w:pPr>
              <w:jc w:val="center"/>
              <w:rPr>
                <w:b/>
              </w:rPr>
            </w:pPr>
            <w:r w:rsidRPr="00B42791">
              <w:rPr>
                <w:b/>
              </w:rPr>
              <w:t>-.149</w:t>
            </w:r>
          </w:p>
        </w:tc>
        <w:tc>
          <w:tcPr>
            <w:tcW w:w="1802" w:type="dxa"/>
          </w:tcPr>
          <w:p w:rsidR="00D4136A" w:rsidRPr="00B42791" w:rsidRDefault="00D4136A" w:rsidP="00DA758E">
            <w:pPr>
              <w:jc w:val="center"/>
              <w:rPr>
                <w:b/>
              </w:rPr>
            </w:pPr>
            <w:r w:rsidRPr="00B42791">
              <w:rPr>
                <w:b/>
              </w:rPr>
              <w:t>-.162</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ln(OCC)</w:t>
            </w:r>
          </w:p>
        </w:tc>
        <w:tc>
          <w:tcPr>
            <w:tcW w:w="1802" w:type="dxa"/>
          </w:tcPr>
          <w:p w:rsidR="00D4136A" w:rsidRDefault="00D4136A" w:rsidP="00DA758E">
            <w:pPr>
              <w:jc w:val="center"/>
            </w:pPr>
            <w:r>
              <w:t>-.125</w:t>
            </w:r>
          </w:p>
        </w:tc>
        <w:tc>
          <w:tcPr>
            <w:tcW w:w="1802" w:type="dxa"/>
          </w:tcPr>
          <w:p w:rsidR="00D4136A" w:rsidRDefault="00D4136A" w:rsidP="00DA758E">
            <w:pPr>
              <w:jc w:val="center"/>
            </w:pPr>
            <w:r>
              <w:t>-.103</w:t>
            </w:r>
          </w:p>
        </w:tc>
        <w:tc>
          <w:tcPr>
            <w:tcW w:w="1802" w:type="dxa"/>
          </w:tcPr>
          <w:p w:rsidR="00D4136A" w:rsidRDefault="00D4136A" w:rsidP="00DA758E">
            <w:pPr>
              <w:jc w:val="center"/>
            </w:pPr>
            <w:r>
              <w:t>-.101</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 (OCC-G)</w:t>
            </w:r>
          </w:p>
        </w:tc>
        <w:tc>
          <w:tcPr>
            <w:tcW w:w="1802" w:type="dxa"/>
          </w:tcPr>
          <w:p w:rsidR="00D4136A" w:rsidRDefault="00D4136A" w:rsidP="00DA758E">
            <w:pPr>
              <w:jc w:val="center"/>
            </w:pPr>
            <w:r>
              <w:t>-.162</w:t>
            </w:r>
          </w:p>
        </w:tc>
        <w:tc>
          <w:tcPr>
            <w:tcW w:w="1802" w:type="dxa"/>
          </w:tcPr>
          <w:p w:rsidR="00D4136A" w:rsidRDefault="00D4136A" w:rsidP="00DA758E">
            <w:pPr>
              <w:jc w:val="center"/>
            </w:pPr>
            <w:r>
              <w:t>-.154</w:t>
            </w:r>
          </w:p>
        </w:tc>
        <w:tc>
          <w:tcPr>
            <w:tcW w:w="1802" w:type="dxa"/>
          </w:tcPr>
          <w:p w:rsidR="00D4136A" w:rsidRDefault="00D4136A" w:rsidP="00DA758E">
            <w:pPr>
              <w:jc w:val="center"/>
            </w:pPr>
            <w:r>
              <w:t>-.158</w:t>
            </w:r>
          </w:p>
        </w:tc>
      </w:tr>
      <w:tr w:rsidR="00D80663" w:rsidTr="000336A2">
        <w:tc>
          <w:tcPr>
            <w:tcW w:w="1802" w:type="dxa"/>
            <w:vMerge/>
          </w:tcPr>
          <w:p w:rsidR="00D80663" w:rsidRDefault="00D80663" w:rsidP="00D80663">
            <w:pPr>
              <w:jc w:val="center"/>
            </w:pPr>
          </w:p>
        </w:tc>
        <w:tc>
          <w:tcPr>
            <w:tcW w:w="1802" w:type="dxa"/>
          </w:tcPr>
          <w:p w:rsidR="00D80663" w:rsidRDefault="00D80663" w:rsidP="00D80663">
            <w:r w:rsidRPr="004A0297">
              <w:t>ln(OCC-Y)</w:t>
            </w:r>
          </w:p>
        </w:tc>
        <w:tc>
          <w:tcPr>
            <w:tcW w:w="1802" w:type="dxa"/>
          </w:tcPr>
          <w:p w:rsidR="00D80663" w:rsidRDefault="00D80663" w:rsidP="00D80663">
            <w:pPr>
              <w:jc w:val="center"/>
            </w:pPr>
            <w:r w:rsidRPr="004A0297">
              <w:t>-.125</w:t>
            </w:r>
          </w:p>
        </w:tc>
        <w:tc>
          <w:tcPr>
            <w:tcW w:w="1802" w:type="dxa"/>
          </w:tcPr>
          <w:p w:rsidR="00D80663" w:rsidRDefault="00D80663" w:rsidP="00D80663">
            <w:pPr>
              <w:jc w:val="center"/>
            </w:pPr>
            <w:r w:rsidRPr="004A0297">
              <w:t>-.096</w:t>
            </w:r>
          </w:p>
        </w:tc>
        <w:tc>
          <w:tcPr>
            <w:tcW w:w="1802" w:type="dxa"/>
          </w:tcPr>
          <w:p w:rsidR="00D80663" w:rsidRDefault="00D80663" w:rsidP="00D80663">
            <w:pPr>
              <w:jc w:val="center"/>
            </w:pPr>
            <w:r w:rsidRPr="004A0297">
              <w:t>-.138</w:t>
            </w:r>
          </w:p>
        </w:tc>
      </w:tr>
      <w:tr w:rsidR="00D4136A" w:rsidTr="000336A2">
        <w:tc>
          <w:tcPr>
            <w:tcW w:w="1802" w:type="dxa"/>
            <w:vMerge/>
          </w:tcPr>
          <w:p w:rsidR="00D4136A" w:rsidRDefault="00D4136A" w:rsidP="00DA758E">
            <w:pPr>
              <w:jc w:val="center"/>
            </w:pPr>
          </w:p>
        </w:tc>
        <w:tc>
          <w:tcPr>
            <w:tcW w:w="1802" w:type="dxa"/>
          </w:tcPr>
          <w:p w:rsidR="00D4136A" w:rsidRPr="00F54B1A" w:rsidRDefault="00B3033D" w:rsidP="00DA758E">
            <w:pPr>
              <w:rPr>
                <w:highlight w:val="yellow"/>
              </w:rPr>
            </w:pPr>
            <w:r w:rsidRPr="00390DBB">
              <w:t>ln(OCC-A5)</w:t>
            </w:r>
          </w:p>
        </w:tc>
        <w:tc>
          <w:tcPr>
            <w:tcW w:w="1802" w:type="dxa"/>
          </w:tcPr>
          <w:p w:rsidR="00D4136A" w:rsidRPr="00F54B1A" w:rsidRDefault="00B3033D" w:rsidP="00DA758E">
            <w:pPr>
              <w:jc w:val="center"/>
              <w:rPr>
                <w:highlight w:val="yellow"/>
              </w:rPr>
            </w:pPr>
            <w:r w:rsidRPr="00390DBB">
              <w:t>-.114</w:t>
            </w:r>
            <w:r w:rsidR="00D80663" w:rsidRPr="00390DBB">
              <w:t xml:space="preserve"> </w:t>
            </w:r>
          </w:p>
        </w:tc>
        <w:tc>
          <w:tcPr>
            <w:tcW w:w="1802" w:type="dxa"/>
          </w:tcPr>
          <w:p w:rsidR="00D4136A" w:rsidRPr="00F54B1A" w:rsidRDefault="00B3033D" w:rsidP="00DA758E">
            <w:pPr>
              <w:jc w:val="center"/>
              <w:rPr>
                <w:highlight w:val="yellow"/>
              </w:rPr>
            </w:pPr>
            <w:r w:rsidRPr="00390DBB">
              <w:t>-.121</w:t>
            </w:r>
            <w:r w:rsidR="00D80663" w:rsidRPr="00390DBB">
              <w:t xml:space="preserve"> </w:t>
            </w:r>
          </w:p>
        </w:tc>
        <w:tc>
          <w:tcPr>
            <w:tcW w:w="1802" w:type="dxa"/>
          </w:tcPr>
          <w:p w:rsidR="00D4136A" w:rsidRPr="00F54B1A" w:rsidRDefault="00B3033D" w:rsidP="00DA758E">
            <w:pPr>
              <w:jc w:val="center"/>
              <w:rPr>
                <w:highlight w:val="yellow"/>
              </w:rPr>
            </w:pPr>
            <w:r w:rsidRPr="00390DBB">
              <w:t>-.111</w:t>
            </w:r>
            <w:r w:rsidR="00D80663" w:rsidRPr="00390DBB">
              <w:t xml:space="preserve"> </w:t>
            </w:r>
          </w:p>
        </w:tc>
      </w:tr>
      <w:tr w:rsidR="00D4136A" w:rsidTr="000336A2">
        <w:tc>
          <w:tcPr>
            <w:tcW w:w="1802" w:type="dxa"/>
            <w:vMerge w:val="restart"/>
          </w:tcPr>
          <w:p w:rsidR="00D4136A" w:rsidRDefault="00D4136A" w:rsidP="00DA758E">
            <w:pPr>
              <w:jc w:val="center"/>
            </w:pPr>
            <w:r>
              <w:t>1911-1915</w:t>
            </w:r>
          </w:p>
        </w:tc>
        <w:tc>
          <w:tcPr>
            <w:tcW w:w="1802" w:type="dxa"/>
          </w:tcPr>
          <w:p w:rsidR="00D4136A" w:rsidRPr="000D6E84" w:rsidRDefault="00D4136A" w:rsidP="00DA758E">
            <w:pPr>
              <w:rPr>
                <w:b/>
              </w:rPr>
            </w:pPr>
            <w:r w:rsidRPr="000D6E84">
              <w:rPr>
                <w:b/>
              </w:rPr>
              <w:t>ln(earnings)</w:t>
            </w:r>
          </w:p>
        </w:tc>
        <w:tc>
          <w:tcPr>
            <w:tcW w:w="1802" w:type="dxa"/>
          </w:tcPr>
          <w:p w:rsidR="00D4136A" w:rsidRPr="000D6E84" w:rsidRDefault="00D4136A" w:rsidP="00DA758E">
            <w:pPr>
              <w:jc w:val="center"/>
              <w:rPr>
                <w:b/>
              </w:rPr>
            </w:pPr>
          </w:p>
        </w:tc>
        <w:tc>
          <w:tcPr>
            <w:tcW w:w="1802" w:type="dxa"/>
          </w:tcPr>
          <w:p w:rsidR="00D4136A" w:rsidRPr="000D6E84" w:rsidRDefault="00D4136A" w:rsidP="00DA758E">
            <w:pPr>
              <w:jc w:val="center"/>
              <w:rPr>
                <w:b/>
              </w:rPr>
            </w:pPr>
            <w:r w:rsidRPr="000D6E84">
              <w:rPr>
                <w:b/>
              </w:rPr>
              <w:t>-.177</w:t>
            </w:r>
          </w:p>
        </w:tc>
        <w:tc>
          <w:tcPr>
            <w:tcW w:w="1802" w:type="dxa"/>
          </w:tcPr>
          <w:p w:rsidR="00D4136A" w:rsidRPr="000D6E84" w:rsidRDefault="00D4136A" w:rsidP="00DA758E">
            <w:pPr>
              <w:jc w:val="center"/>
              <w:rPr>
                <w:b/>
              </w:rPr>
            </w:pPr>
            <w:r w:rsidRPr="000D6E84">
              <w:rPr>
                <w:b/>
              </w:rPr>
              <w:t>-.175</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ln(OCC)</w:t>
            </w:r>
          </w:p>
        </w:tc>
        <w:tc>
          <w:tcPr>
            <w:tcW w:w="1802" w:type="dxa"/>
          </w:tcPr>
          <w:p w:rsidR="00D4136A" w:rsidRDefault="00D4136A" w:rsidP="00DA758E">
            <w:pPr>
              <w:jc w:val="center"/>
            </w:pPr>
          </w:p>
        </w:tc>
        <w:tc>
          <w:tcPr>
            <w:tcW w:w="1802" w:type="dxa"/>
          </w:tcPr>
          <w:p w:rsidR="00D4136A" w:rsidRDefault="00D4136A" w:rsidP="00DA758E">
            <w:pPr>
              <w:jc w:val="center"/>
            </w:pPr>
            <w:r>
              <w:t>-.132</w:t>
            </w:r>
          </w:p>
        </w:tc>
        <w:tc>
          <w:tcPr>
            <w:tcW w:w="1802" w:type="dxa"/>
          </w:tcPr>
          <w:p w:rsidR="00D4136A" w:rsidRDefault="00D4136A" w:rsidP="00DA758E">
            <w:pPr>
              <w:jc w:val="center"/>
            </w:pPr>
            <w:r>
              <w:t>-.098</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 (OCC-G)</w:t>
            </w:r>
          </w:p>
        </w:tc>
        <w:tc>
          <w:tcPr>
            <w:tcW w:w="1802" w:type="dxa"/>
          </w:tcPr>
          <w:p w:rsidR="00D4136A" w:rsidRDefault="00D4136A" w:rsidP="00DA758E">
            <w:pPr>
              <w:jc w:val="center"/>
            </w:pPr>
          </w:p>
        </w:tc>
        <w:tc>
          <w:tcPr>
            <w:tcW w:w="1802" w:type="dxa"/>
          </w:tcPr>
          <w:p w:rsidR="00D4136A" w:rsidRDefault="00D4136A" w:rsidP="00DA758E">
            <w:pPr>
              <w:jc w:val="center"/>
            </w:pPr>
            <w:r>
              <w:t>-.182</w:t>
            </w:r>
          </w:p>
        </w:tc>
        <w:tc>
          <w:tcPr>
            <w:tcW w:w="1802" w:type="dxa"/>
          </w:tcPr>
          <w:p w:rsidR="00D4136A" w:rsidRDefault="00D4136A" w:rsidP="00DA758E">
            <w:pPr>
              <w:jc w:val="center"/>
            </w:pPr>
            <w:r>
              <w:t>-.154</w:t>
            </w:r>
          </w:p>
        </w:tc>
      </w:tr>
      <w:tr w:rsidR="00D80663" w:rsidTr="000336A2">
        <w:tc>
          <w:tcPr>
            <w:tcW w:w="1802" w:type="dxa"/>
            <w:vMerge/>
          </w:tcPr>
          <w:p w:rsidR="00D80663" w:rsidRDefault="00D80663" w:rsidP="00D80663">
            <w:pPr>
              <w:jc w:val="center"/>
            </w:pPr>
          </w:p>
        </w:tc>
        <w:tc>
          <w:tcPr>
            <w:tcW w:w="1802" w:type="dxa"/>
          </w:tcPr>
          <w:p w:rsidR="00D80663" w:rsidRPr="00D80663" w:rsidRDefault="00D80663" w:rsidP="00D80663">
            <w:r w:rsidRPr="00AD7D04">
              <w:t>ln(OCC-Y)</w:t>
            </w:r>
          </w:p>
        </w:tc>
        <w:tc>
          <w:tcPr>
            <w:tcW w:w="1802" w:type="dxa"/>
          </w:tcPr>
          <w:p w:rsidR="00D80663" w:rsidRPr="00F14594" w:rsidRDefault="00D80663" w:rsidP="00D80663">
            <w:pPr>
              <w:jc w:val="center"/>
            </w:pPr>
          </w:p>
        </w:tc>
        <w:tc>
          <w:tcPr>
            <w:tcW w:w="1802" w:type="dxa"/>
          </w:tcPr>
          <w:p w:rsidR="00D80663" w:rsidRPr="00D80663" w:rsidRDefault="00D80663" w:rsidP="00D80663">
            <w:pPr>
              <w:jc w:val="center"/>
            </w:pPr>
            <w:r w:rsidRPr="00AD7D04">
              <w:t>-.121</w:t>
            </w:r>
          </w:p>
        </w:tc>
        <w:tc>
          <w:tcPr>
            <w:tcW w:w="1802" w:type="dxa"/>
          </w:tcPr>
          <w:p w:rsidR="00D80663" w:rsidRPr="00D80663" w:rsidRDefault="00D80663" w:rsidP="00D80663">
            <w:pPr>
              <w:jc w:val="center"/>
            </w:pPr>
            <w:r w:rsidRPr="00AD7D04">
              <w:t>-.140</w:t>
            </w:r>
          </w:p>
        </w:tc>
      </w:tr>
      <w:tr w:rsidR="00D4136A" w:rsidTr="000336A2">
        <w:tc>
          <w:tcPr>
            <w:tcW w:w="1802" w:type="dxa"/>
            <w:vMerge/>
          </w:tcPr>
          <w:p w:rsidR="00D4136A" w:rsidRDefault="00D4136A" w:rsidP="00DA758E">
            <w:pPr>
              <w:jc w:val="center"/>
            </w:pPr>
          </w:p>
        </w:tc>
        <w:tc>
          <w:tcPr>
            <w:tcW w:w="1802" w:type="dxa"/>
          </w:tcPr>
          <w:p w:rsidR="00D4136A" w:rsidRPr="00F54B1A" w:rsidRDefault="00D80663" w:rsidP="00DA758E">
            <w:pPr>
              <w:rPr>
                <w:highlight w:val="yellow"/>
              </w:rPr>
            </w:pPr>
            <w:r w:rsidRPr="00390DBB">
              <w:t xml:space="preserve"> </w:t>
            </w:r>
            <w:r w:rsidR="00B3033D" w:rsidRPr="00390DBB">
              <w:t>ln(OCC-A5)</w:t>
            </w:r>
          </w:p>
        </w:tc>
        <w:tc>
          <w:tcPr>
            <w:tcW w:w="1802" w:type="dxa"/>
          </w:tcPr>
          <w:p w:rsidR="00D4136A" w:rsidRPr="00F54B1A" w:rsidRDefault="00D4136A" w:rsidP="00DA758E">
            <w:pPr>
              <w:jc w:val="center"/>
              <w:rPr>
                <w:highlight w:val="yellow"/>
              </w:rPr>
            </w:pPr>
          </w:p>
        </w:tc>
        <w:tc>
          <w:tcPr>
            <w:tcW w:w="1802" w:type="dxa"/>
          </w:tcPr>
          <w:p w:rsidR="00D4136A" w:rsidRPr="00F54B1A" w:rsidRDefault="00B3033D" w:rsidP="00DA758E">
            <w:pPr>
              <w:jc w:val="center"/>
              <w:rPr>
                <w:highlight w:val="yellow"/>
              </w:rPr>
            </w:pPr>
            <w:r w:rsidRPr="00390DBB">
              <w:t>-.147</w:t>
            </w:r>
            <w:r w:rsidR="00D80663" w:rsidRPr="00390DBB">
              <w:t xml:space="preserve"> </w:t>
            </w:r>
          </w:p>
        </w:tc>
        <w:tc>
          <w:tcPr>
            <w:tcW w:w="1802" w:type="dxa"/>
          </w:tcPr>
          <w:p w:rsidR="00D4136A" w:rsidRPr="00F54B1A" w:rsidRDefault="00B3033D" w:rsidP="00DA758E">
            <w:pPr>
              <w:jc w:val="center"/>
              <w:rPr>
                <w:highlight w:val="yellow"/>
              </w:rPr>
            </w:pPr>
            <w:r w:rsidRPr="00390DBB">
              <w:t>-.105</w:t>
            </w:r>
            <w:r w:rsidR="00D80663" w:rsidRPr="00390DBB">
              <w:t xml:space="preserve"> </w:t>
            </w:r>
          </w:p>
        </w:tc>
      </w:tr>
      <w:tr w:rsidR="00D4136A" w:rsidTr="000336A2">
        <w:tc>
          <w:tcPr>
            <w:tcW w:w="1802" w:type="dxa"/>
            <w:vMerge w:val="restart"/>
          </w:tcPr>
          <w:p w:rsidR="00D4136A" w:rsidRDefault="00D4136A" w:rsidP="00DA758E">
            <w:pPr>
              <w:jc w:val="center"/>
            </w:pPr>
            <w:r>
              <w:t>1916-1920</w:t>
            </w:r>
          </w:p>
        </w:tc>
        <w:tc>
          <w:tcPr>
            <w:tcW w:w="1802" w:type="dxa"/>
          </w:tcPr>
          <w:p w:rsidR="00D4136A" w:rsidRPr="000D6E84" w:rsidRDefault="00D4136A" w:rsidP="00DA758E">
            <w:pPr>
              <w:rPr>
                <w:b/>
              </w:rPr>
            </w:pPr>
            <w:r w:rsidRPr="000D6E84">
              <w:rPr>
                <w:b/>
              </w:rPr>
              <w:t>ln(earnings)</w:t>
            </w:r>
          </w:p>
        </w:tc>
        <w:tc>
          <w:tcPr>
            <w:tcW w:w="1802" w:type="dxa"/>
          </w:tcPr>
          <w:p w:rsidR="00D4136A" w:rsidRPr="000D6E84" w:rsidRDefault="00D4136A" w:rsidP="00DA758E">
            <w:pPr>
              <w:jc w:val="center"/>
              <w:rPr>
                <w:b/>
              </w:rPr>
            </w:pPr>
          </w:p>
        </w:tc>
        <w:tc>
          <w:tcPr>
            <w:tcW w:w="1802" w:type="dxa"/>
          </w:tcPr>
          <w:p w:rsidR="00D4136A" w:rsidRPr="000D6E84" w:rsidRDefault="00D4136A" w:rsidP="00DA758E">
            <w:pPr>
              <w:jc w:val="center"/>
              <w:rPr>
                <w:b/>
              </w:rPr>
            </w:pPr>
            <w:r w:rsidRPr="000D6E84">
              <w:rPr>
                <w:b/>
              </w:rPr>
              <w:t>-.221</w:t>
            </w:r>
          </w:p>
        </w:tc>
        <w:tc>
          <w:tcPr>
            <w:tcW w:w="1802" w:type="dxa"/>
          </w:tcPr>
          <w:p w:rsidR="00D4136A" w:rsidRPr="000D6E84" w:rsidRDefault="00D4136A" w:rsidP="00DA758E">
            <w:pPr>
              <w:jc w:val="center"/>
              <w:rPr>
                <w:b/>
              </w:rPr>
            </w:pPr>
            <w:r w:rsidRPr="000D6E84">
              <w:rPr>
                <w:b/>
              </w:rPr>
              <w:t>-.190</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ln(OCC)</w:t>
            </w:r>
          </w:p>
        </w:tc>
        <w:tc>
          <w:tcPr>
            <w:tcW w:w="1802" w:type="dxa"/>
          </w:tcPr>
          <w:p w:rsidR="00D4136A" w:rsidRDefault="00D4136A" w:rsidP="00DA758E">
            <w:pPr>
              <w:jc w:val="center"/>
            </w:pPr>
          </w:p>
        </w:tc>
        <w:tc>
          <w:tcPr>
            <w:tcW w:w="1802" w:type="dxa"/>
          </w:tcPr>
          <w:p w:rsidR="00D4136A" w:rsidRDefault="00D4136A" w:rsidP="00DA758E">
            <w:pPr>
              <w:jc w:val="center"/>
            </w:pPr>
            <w:r>
              <w:t>-.105</w:t>
            </w:r>
          </w:p>
        </w:tc>
        <w:tc>
          <w:tcPr>
            <w:tcW w:w="1802" w:type="dxa"/>
          </w:tcPr>
          <w:p w:rsidR="00D4136A" w:rsidRDefault="00D4136A" w:rsidP="00DA758E">
            <w:pPr>
              <w:jc w:val="center"/>
            </w:pPr>
            <w:r>
              <w:t>-.102</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 (OCC-G)</w:t>
            </w:r>
          </w:p>
        </w:tc>
        <w:tc>
          <w:tcPr>
            <w:tcW w:w="1802" w:type="dxa"/>
          </w:tcPr>
          <w:p w:rsidR="00D4136A" w:rsidRDefault="00D4136A" w:rsidP="00DA758E">
            <w:pPr>
              <w:jc w:val="center"/>
            </w:pPr>
          </w:p>
        </w:tc>
        <w:tc>
          <w:tcPr>
            <w:tcW w:w="1802" w:type="dxa"/>
          </w:tcPr>
          <w:p w:rsidR="00D4136A" w:rsidRDefault="00D4136A" w:rsidP="00DA758E">
            <w:pPr>
              <w:jc w:val="center"/>
            </w:pPr>
            <w:r>
              <w:t>-.155</w:t>
            </w:r>
          </w:p>
        </w:tc>
        <w:tc>
          <w:tcPr>
            <w:tcW w:w="1802" w:type="dxa"/>
          </w:tcPr>
          <w:p w:rsidR="00D4136A" w:rsidRDefault="00D4136A" w:rsidP="00DA758E">
            <w:pPr>
              <w:jc w:val="center"/>
            </w:pPr>
            <w:r>
              <w:t>-.157</w:t>
            </w:r>
          </w:p>
        </w:tc>
      </w:tr>
      <w:tr w:rsidR="00D80663" w:rsidTr="000336A2">
        <w:tc>
          <w:tcPr>
            <w:tcW w:w="1802" w:type="dxa"/>
            <w:vMerge/>
          </w:tcPr>
          <w:p w:rsidR="00D80663" w:rsidRDefault="00D80663" w:rsidP="00D80663">
            <w:pPr>
              <w:jc w:val="center"/>
            </w:pPr>
          </w:p>
        </w:tc>
        <w:tc>
          <w:tcPr>
            <w:tcW w:w="1802" w:type="dxa"/>
          </w:tcPr>
          <w:p w:rsidR="00D80663" w:rsidRPr="00D80663" w:rsidRDefault="00D80663" w:rsidP="00D80663">
            <w:r w:rsidRPr="00AD7D04">
              <w:t>ln(OCC-Y)</w:t>
            </w:r>
          </w:p>
        </w:tc>
        <w:tc>
          <w:tcPr>
            <w:tcW w:w="1802" w:type="dxa"/>
          </w:tcPr>
          <w:p w:rsidR="00D80663" w:rsidRPr="00F14594" w:rsidRDefault="00D80663" w:rsidP="00D80663">
            <w:pPr>
              <w:jc w:val="center"/>
            </w:pPr>
          </w:p>
        </w:tc>
        <w:tc>
          <w:tcPr>
            <w:tcW w:w="1802" w:type="dxa"/>
          </w:tcPr>
          <w:p w:rsidR="00D80663" w:rsidRPr="00D80663" w:rsidRDefault="00D80663" w:rsidP="00D80663">
            <w:pPr>
              <w:jc w:val="center"/>
            </w:pPr>
            <w:r w:rsidRPr="00AD7D04">
              <w:t>-.104</w:t>
            </w:r>
          </w:p>
        </w:tc>
        <w:tc>
          <w:tcPr>
            <w:tcW w:w="1802" w:type="dxa"/>
          </w:tcPr>
          <w:p w:rsidR="00D80663" w:rsidRPr="00D80663" w:rsidRDefault="00D80663" w:rsidP="00D80663">
            <w:pPr>
              <w:jc w:val="center"/>
            </w:pPr>
            <w:r w:rsidRPr="00AD7D04">
              <w:t>-.140</w:t>
            </w:r>
          </w:p>
        </w:tc>
      </w:tr>
      <w:tr w:rsidR="00D4136A" w:rsidTr="000336A2">
        <w:tc>
          <w:tcPr>
            <w:tcW w:w="1802" w:type="dxa"/>
            <w:vMerge/>
          </w:tcPr>
          <w:p w:rsidR="00D4136A" w:rsidRDefault="00D4136A" w:rsidP="00DA758E">
            <w:pPr>
              <w:jc w:val="center"/>
            </w:pPr>
          </w:p>
        </w:tc>
        <w:tc>
          <w:tcPr>
            <w:tcW w:w="1802" w:type="dxa"/>
          </w:tcPr>
          <w:p w:rsidR="00D4136A" w:rsidRPr="00F54B1A" w:rsidRDefault="00D80663" w:rsidP="00DA758E">
            <w:pPr>
              <w:rPr>
                <w:highlight w:val="yellow"/>
              </w:rPr>
            </w:pPr>
            <w:r w:rsidRPr="00390DBB">
              <w:t xml:space="preserve"> </w:t>
            </w:r>
            <w:r w:rsidR="00B3033D" w:rsidRPr="00390DBB">
              <w:t>ln(OCC-A5)</w:t>
            </w:r>
          </w:p>
        </w:tc>
        <w:tc>
          <w:tcPr>
            <w:tcW w:w="1802" w:type="dxa"/>
          </w:tcPr>
          <w:p w:rsidR="00D4136A" w:rsidRPr="00F54B1A" w:rsidRDefault="00D4136A" w:rsidP="00DA758E">
            <w:pPr>
              <w:jc w:val="center"/>
              <w:rPr>
                <w:highlight w:val="yellow"/>
              </w:rPr>
            </w:pPr>
          </w:p>
        </w:tc>
        <w:tc>
          <w:tcPr>
            <w:tcW w:w="1802" w:type="dxa"/>
          </w:tcPr>
          <w:p w:rsidR="00D4136A" w:rsidRPr="00F54B1A" w:rsidRDefault="00B3033D" w:rsidP="00DA758E">
            <w:pPr>
              <w:jc w:val="center"/>
              <w:rPr>
                <w:highlight w:val="yellow"/>
              </w:rPr>
            </w:pPr>
            <w:r w:rsidRPr="00390DBB">
              <w:t>-.120</w:t>
            </w:r>
            <w:r w:rsidR="00D80663" w:rsidRPr="00390DBB">
              <w:t xml:space="preserve"> </w:t>
            </w:r>
          </w:p>
        </w:tc>
        <w:tc>
          <w:tcPr>
            <w:tcW w:w="1802" w:type="dxa"/>
          </w:tcPr>
          <w:p w:rsidR="00D4136A" w:rsidRPr="00F54B1A" w:rsidRDefault="00B3033D" w:rsidP="00DA758E">
            <w:pPr>
              <w:jc w:val="center"/>
              <w:rPr>
                <w:highlight w:val="yellow"/>
              </w:rPr>
            </w:pPr>
            <w:r w:rsidRPr="00390DBB">
              <w:t>-.113</w:t>
            </w:r>
            <w:r w:rsidR="00D80663" w:rsidRPr="00390DBB">
              <w:t xml:space="preserve"> </w:t>
            </w:r>
          </w:p>
        </w:tc>
      </w:tr>
      <w:tr w:rsidR="00D4136A" w:rsidTr="000336A2">
        <w:tc>
          <w:tcPr>
            <w:tcW w:w="1802" w:type="dxa"/>
            <w:vMerge w:val="restart"/>
          </w:tcPr>
          <w:p w:rsidR="00D4136A" w:rsidRDefault="00D4136A" w:rsidP="00DA758E">
            <w:pPr>
              <w:jc w:val="center"/>
            </w:pPr>
            <w:r>
              <w:t>1921-1925</w:t>
            </w:r>
          </w:p>
        </w:tc>
        <w:tc>
          <w:tcPr>
            <w:tcW w:w="1802" w:type="dxa"/>
          </w:tcPr>
          <w:p w:rsidR="00D4136A" w:rsidRPr="000D6E84" w:rsidRDefault="00D4136A" w:rsidP="00DA758E">
            <w:pPr>
              <w:rPr>
                <w:b/>
              </w:rPr>
            </w:pPr>
            <w:r w:rsidRPr="000D6E84">
              <w:rPr>
                <w:b/>
              </w:rPr>
              <w:t>ln(earnings)</w:t>
            </w:r>
          </w:p>
        </w:tc>
        <w:tc>
          <w:tcPr>
            <w:tcW w:w="1802" w:type="dxa"/>
          </w:tcPr>
          <w:p w:rsidR="00D4136A" w:rsidRPr="000D6E84" w:rsidRDefault="00D4136A" w:rsidP="00DA758E">
            <w:pPr>
              <w:jc w:val="center"/>
              <w:rPr>
                <w:b/>
              </w:rPr>
            </w:pPr>
          </w:p>
        </w:tc>
        <w:tc>
          <w:tcPr>
            <w:tcW w:w="1802" w:type="dxa"/>
          </w:tcPr>
          <w:p w:rsidR="00D4136A" w:rsidRPr="000D6E84" w:rsidRDefault="00D4136A" w:rsidP="00DA758E">
            <w:pPr>
              <w:jc w:val="center"/>
              <w:rPr>
                <w:b/>
              </w:rPr>
            </w:pPr>
          </w:p>
        </w:tc>
        <w:tc>
          <w:tcPr>
            <w:tcW w:w="1802" w:type="dxa"/>
          </w:tcPr>
          <w:p w:rsidR="00D4136A" w:rsidRPr="000D6E84" w:rsidRDefault="00D4136A" w:rsidP="00DA758E">
            <w:pPr>
              <w:jc w:val="center"/>
              <w:rPr>
                <w:b/>
              </w:rPr>
            </w:pPr>
            <w:r w:rsidRPr="000D6E84">
              <w:rPr>
                <w:b/>
              </w:rPr>
              <w:t>-.384</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ln(OCC)</w:t>
            </w:r>
          </w:p>
        </w:tc>
        <w:tc>
          <w:tcPr>
            <w:tcW w:w="1802" w:type="dxa"/>
          </w:tcPr>
          <w:p w:rsidR="00D4136A" w:rsidRDefault="00D4136A" w:rsidP="00DA758E">
            <w:pPr>
              <w:jc w:val="center"/>
            </w:pPr>
          </w:p>
        </w:tc>
        <w:tc>
          <w:tcPr>
            <w:tcW w:w="1802" w:type="dxa"/>
          </w:tcPr>
          <w:p w:rsidR="00D4136A" w:rsidRDefault="00D4136A" w:rsidP="00DA758E">
            <w:pPr>
              <w:jc w:val="center"/>
            </w:pPr>
          </w:p>
        </w:tc>
        <w:tc>
          <w:tcPr>
            <w:tcW w:w="1802" w:type="dxa"/>
          </w:tcPr>
          <w:p w:rsidR="00D4136A" w:rsidRDefault="00D4136A" w:rsidP="00DA758E">
            <w:pPr>
              <w:jc w:val="center"/>
            </w:pPr>
            <w:r>
              <w:t>-.175</w:t>
            </w:r>
          </w:p>
        </w:tc>
      </w:tr>
      <w:tr w:rsidR="00D4136A" w:rsidTr="000336A2">
        <w:tc>
          <w:tcPr>
            <w:tcW w:w="1802" w:type="dxa"/>
            <w:vMerge/>
          </w:tcPr>
          <w:p w:rsidR="00D4136A" w:rsidRDefault="00D4136A" w:rsidP="00DA758E">
            <w:pPr>
              <w:jc w:val="center"/>
            </w:pPr>
          </w:p>
        </w:tc>
        <w:tc>
          <w:tcPr>
            <w:tcW w:w="1802" w:type="dxa"/>
          </w:tcPr>
          <w:p w:rsidR="00D4136A" w:rsidRDefault="00D4136A" w:rsidP="00DA758E">
            <w:r>
              <w:t>ln (OCC-G)</w:t>
            </w:r>
          </w:p>
        </w:tc>
        <w:tc>
          <w:tcPr>
            <w:tcW w:w="1802" w:type="dxa"/>
          </w:tcPr>
          <w:p w:rsidR="00D4136A" w:rsidRDefault="00D4136A" w:rsidP="00DA758E">
            <w:pPr>
              <w:jc w:val="center"/>
            </w:pPr>
          </w:p>
        </w:tc>
        <w:tc>
          <w:tcPr>
            <w:tcW w:w="1802" w:type="dxa"/>
          </w:tcPr>
          <w:p w:rsidR="00D4136A" w:rsidRDefault="00D4136A" w:rsidP="00DA758E">
            <w:pPr>
              <w:jc w:val="center"/>
            </w:pPr>
          </w:p>
        </w:tc>
        <w:tc>
          <w:tcPr>
            <w:tcW w:w="1802" w:type="dxa"/>
          </w:tcPr>
          <w:p w:rsidR="00D4136A" w:rsidRDefault="00D4136A" w:rsidP="00DA758E">
            <w:pPr>
              <w:jc w:val="center"/>
            </w:pPr>
            <w:r>
              <w:t>-.218</w:t>
            </w:r>
          </w:p>
        </w:tc>
      </w:tr>
      <w:tr w:rsidR="00D4136A" w:rsidTr="000336A2">
        <w:tc>
          <w:tcPr>
            <w:tcW w:w="1802" w:type="dxa"/>
            <w:vMerge/>
          </w:tcPr>
          <w:p w:rsidR="00D4136A" w:rsidRDefault="00D4136A" w:rsidP="00DA758E">
            <w:pPr>
              <w:jc w:val="center"/>
            </w:pPr>
          </w:p>
        </w:tc>
        <w:tc>
          <w:tcPr>
            <w:tcW w:w="1802" w:type="dxa"/>
          </w:tcPr>
          <w:p w:rsidR="00D4136A" w:rsidRPr="00D80663" w:rsidRDefault="00D4136A" w:rsidP="00DA758E">
            <w:r w:rsidRPr="00D80663">
              <w:t>ln (OCC-</w:t>
            </w:r>
            <w:r w:rsidR="00D80663">
              <w:t>Y</w:t>
            </w:r>
            <w:r w:rsidRPr="00D80663">
              <w:t>)</w:t>
            </w:r>
          </w:p>
        </w:tc>
        <w:tc>
          <w:tcPr>
            <w:tcW w:w="1802" w:type="dxa"/>
          </w:tcPr>
          <w:p w:rsidR="00D4136A" w:rsidRPr="00F14594" w:rsidRDefault="00D4136A" w:rsidP="00DA758E">
            <w:pPr>
              <w:jc w:val="center"/>
            </w:pPr>
          </w:p>
        </w:tc>
        <w:tc>
          <w:tcPr>
            <w:tcW w:w="1802" w:type="dxa"/>
          </w:tcPr>
          <w:p w:rsidR="00D4136A" w:rsidRPr="00317E25" w:rsidRDefault="00D4136A" w:rsidP="00DA758E">
            <w:pPr>
              <w:jc w:val="center"/>
            </w:pPr>
          </w:p>
        </w:tc>
        <w:tc>
          <w:tcPr>
            <w:tcW w:w="1802" w:type="dxa"/>
          </w:tcPr>
          <w:p w:rsidR="00D4136A" w:rsidRPr="00D80663" w:rsidRDefault="00D80663" w:rsidP="00DA758E">
            <w:pPr>
              <w:jc w:val="center"/>
            </w:pPr>
            <w:r w:rsidRPr="00AD7D04">
              <w:t>-.268</w:t>
            </w:r>
          </w:p>
        </w:tc>
      </w:tr>
      <w:tr w:rsidR="00D4136A" w:rsidTr="000336A2">
        <w:tc>
          <w:tcPr>
            <w:tcW w:w="1802" w:type="dxa"/>
            <w:vMerge/>
          </w:tcPr>
          <w:p w:rsidR="00D4136A" w:rsidRDefault="00D4136A" w:rsidP="00DA758E">
            <w:pPr>
              <w:jc w:val="center"/>
            </w:pPr>
          </w:p>
        </w:tc>
        <w:tc>
          <w:tcPr>
            <w:tcW w:w="1802" w:type="dxa"/>
          </w:tcPr>
          <w:p w:rsidR="00D4136A" w:rsidRPr="00F54B1A" w:rsidRDefault="00B3033D" w:rsidP="00DA758E">
            <w:pPr>
              <w:rPr>
                <w:i/>
                <w:highlight w:val="yellow"/>
              </w:rPr>
            </w:pPr>
            <w:r w:rsidRPr="00390DBB">
              <w:t>ln(OCC-A5)</w:t>
            </w:r>
          </w:p>
        </w:tc>
        <w:tc>
          <w:tcPr>
            <w:tcW w:w="1802" w:type="dxa"/>
          </w:tcPr>
          <w:p w:rsidR="00D4136A" w:rsidRPr="00F54B1A" w:rsidRDefault="00D4136A" w:rsidP="00DA758E">
            <w:pPr>
              <w:jc w:val="center"/>
              <w:rPr>
                <w:i/>
                <w:highlight w:val="yellow"/>
              </w:rPr>
            </w:pPr>
          </w:p>
        </w:tc>
        <w:tc>
          <w:tcPr>
            <w:tcW w:w="1802" w:type="dxa"/>
          </w:tcPr>
          <w:p w:rsidR="00D4136A" w:rsidRPr="00F54B1A" w:rsidRDefault="00D4136A" w:rsidP="00DA758E">
            <w:pPr>
              <w:jc w:val="center"/>
              <w:rPr>
                <w:i/>
                <w:highlight w:val="yellow"/>
              </w:rPr>
            </w:pPr>
          </w:p>
        </w:tc>
        <w:tc>
          <w:tcPr>
            <w:tcW w:w="1802" w:type="dxa"/>
          </w:tcPr>
          <w:p w:rsidR="00D4136A" w:rsidRPr="00F54B1A" w:rsidRDefault="00D80663" w:rsidP="00DA758E">
            <w:pPr>
              <w:jc w:val="center"/>
              <w:rPr>
                <w:highlight w:val="yellow"/>
              </w:rPr>
            </w:pPr>
            <w:r w:rsidRPr="00390DBB">
              <w:rPr>
                <w:i/>
              </w:rPr>
              <w:t xml:space="preserve"> </w:t>
            </w:r>
            <w:r w:rsidR="00B3033D" w:rsidRPr="00390DBB">
              <w:t>-.192</w:t>
            </w:r>
          </w:p>
        </w:tc>
      </w:tr>
      <w:tr w:rsidR="00D4136A" w:rsidTr="000336A2">
        <w:tc>
          <w:tcPr>
            <w:tcW w:w="1802" w:type="dxa"/>
            <w:vMerge w:val="restart"/>
          </w:tcPr>
          <w:p w:rsidR="00D4136A" w:rsidRDefault="00D4136A" w:rsidP="00DA758E">
            <w:pPr>
              <w:jc w:val="center"/>
            </w:pPr>
            <w:r>
              <w:t>1926-1930</w:t>
            </w:r>
          </w:p>
        </w:tc>
        <w:tc>
          <w:tcPr>
            <w:tcW w:w="1802" w:type="dxa"/>
          </w:tcPr>
          <w:p w:rsidR="00D4136A" w:rsidRPr="000D6E84" w:rsidRDefault="00D4136A" w:rsidP="00DA758E">
            <w:pPr>
              <w:rPr>
                <w:b/>
              </w:rPr>
            </w:pPr>
            <w:r w:rsidRPr="000D6E84">
              <w:rPr>
                <w:b/>
              </w:rPr>
              <w:t>ln(earnings)</w:t>
            </w:r>
          </w:p>
        </w:tc>
        <w:tc>
          <w:tcPr>
            <w:tcW w:w="1802" w:type="dxa"/>
          </w:tcPr>
          <w:p w:rsidR="00D4136A" w:rsidRPr="000D6E84" w:rsidRDefault="00D4136A" w:rsidP="00DA758E">
            <w:pPr>
              <w:jc w:val="center"/>
              <w:rPr>
                <w:b/>
              </w:rPr>
            </w:pPr>
          </w:p>
        </w:tc>
        <w:tc>
          <w:tcPr>
            <w:tcW w:w="1802" w:type="dxa"/>
          </w:tcPr>
          <w:p w:rsidR="00D4136A" w:rsidRPr="000D6E84" w:rsidRDefault="00D4136A" w:rsidP="00DA758E">
            <w:pPr>
              <w:jc w:val="center"/>
              <w:rPr>
                <w:b/>
              </w:rPr>
            </w:pPr>
          </w:p>
        </w:tc>
        <w:tc>
          <w:tcPr>
            <w:tcW w:w="1802" w:type="dxa"/>
          </w:tcPr>
          <w:p w:rsidR="00D4136A" w:rsidRPr="000D6E84" w:rsidRDefault="00D4136A" w:rsidP="00DA758E">
            <w:pPr>
              <w:jc w:val="center"/>
              <w:rPr>
                <w:b/>
              </w:rPr>
            </w:pPr>
            <w:r w:rsidRPr="000D6E84">
              <w:rPr>
                <w:b/>
              </w:rPr>
              <w:t>-.524</w:t>
            </w:r>
          </w:p>
        </w:tc>
      </w:tr>
      <w:tr w:rsidR="00D4136A" w:rsidTr="000336A2">
        <w:tc>
          <w:tcPr>
            <w:tcW w:w="1802" w:type="dxa"/>
            <w:vMerge/>
          </w:tcPr>
          <w:p w:rsidR="00D4136A" w:rsidRDefault="00D4136A" w:rsidP="00DA758E"/>
        </w:tc>
        <w:tc>
          <w:tcPr>
            <w:tcW w:w="1802" w:type="dxa"/>
          </w:tcPr>
          <w:p w:rsidR="00D4136A" w:rsidRDefault="00D4136A" w:rsidP="00DA758E">
            <w:r>
              <w:t>ln(OCC)</w:t>
            </w:r>
          </w:p>
        </w:tc>
        <w:tc>
          <w:tcPr>
            <w:tcW w:w="1802" w:type="dxa"/>
          </w:tcPr>
          <w:p w:rsidR="00D4136A" w:rsidRDefault="00D4136A" w:rsidP="00DA758E">
            <w:pPr>
              <w:jc w:val="center"/>
            </w:pPr>
          </w:p>
        </w:tc>
        <w:tc>
          <w:tcPr>
            <w:tcW w:w="1802" w:type="dxa"/>
          </w:tcPr>
          <w:p w:rsidR="00D4136A" w:rsidRDefault="00D4136A" w:rsidP="00DA758E">
            <w:pPr>
              <w:jc w:val="center"/>
            </w:pPr>
          </w:p>
        </w:tc>
        <w:tc>
          <w:tcPr>
            <w:tcW w:w="1802" w:type="dxa"/>
          </w:tcPr>
          <w:p w:rsidR="00D4136A" w:rsidRDefault="00D4136A" w:rsidP="00DA758E">
            <w:pPr>
              <w:jc w:val="center"/>
            </w:pPr>
            <w:r>
              <w:t>-.162</w:t>
            </w:r>
          </w:p>
        </w:tc>
      </w:tr>
      <w:tr w:rsidR="00D4136A" w:rsidTr="000336A2">
        <w:tc>
          <w:tcPr>
            <w:tcW w:w="1802" w:type="dxa"/>
            <w:vMerge/>
          </w:tcPr>
          <w:p w:rsidR="00D4136A" w:rsidRDefault="00D4136A" w:rsidP="00DA758E"/>
        </w:tc>
        <w:tc>
          <w:tcPr>
            <w:tcW w:w="1802" w:type="dxa"/>
          </w:tcPr>
          <w:p w:rsidR="00D4136A" w:rsidRDefault="00D4136A" w:rsidP="00DA758E">
            <w:r>
              <w:t>ln (OCC-G)</w:t>
            </w:r>
          </w:p>
        </w:tc>
        <w:tc>
          <w:tcPr>
            <w:tcW w:w="1802" w:type="dxa"/>
          </w:tcPr>
          <w:p w:rsidR="00D4136A" w:rsidRDefault="00D4136A" w:rsidP="00DA758E">
            <w:pPr>
              <w:jc w:val="center"/>
            </w:pPr>
          </w:p>
        </w:tc>
        <w:tc>
          <w:tcPr>
            <w:tcW w:w="1802" w:type="dxa"/>
          </w:tcPr>
          <w:p w:rsidR="00D4136A" w:rsidRDefault="00D4136A" w:rsidP="00DA758E">
            <w:pPr>
              <w:jc w:val="center"/>
            </w:pPr>
          </w:p>
        </w:tc>
        <w:tc>
          <w:tcPr>
            <w:tcW w:w="1802" w:type="dxa"/>
          </w:tcPr>
          <w:p w:rsidR="00D4136A" w:rsidRDefault="00D4136A" w:rsidP="00DA758E">
            <w:pPr>
              <w:jc w:val="center"/>
            </w:pPr>
            <w:r>
              <w:t>-.203</w:t>
            </w:r>
          </w:p>
        </w:tc>
      </w:tr>
      <w:tr w:rsidR="00D80663" w:rsidTr="000336A2">
        <w:tc>
          <w:tcPr>
            <w:tcW w:w="1802" w:type="dxa"/>
            <w:vMerge/>
          </w:tcPr>
          <w:p w:rsidR="00D80663" w:rsidRDefault="00D80663" w:rsidP="00D80663"/>
        </w:tc>
        <w:tc>
          <w:tcPr>
            <w:tcW w:w="1802" w:type="dxa"/>
          </w:tcPr>
          <w:p w:rsidR="00D80663" w:rsidRDefault="00D80663" w:rsidP="00D80663">
            <w:r>
              <w:t>ln (OCC-Y)</w:t>
            </w:r>
          </w:p>
        </w:tc>
        <w:tc>
          <w:tcPr>
            <w:tcW w:w="1802" w:type="dxa"/>
          </w:tcPr>
          <w:p w:rsidR="00D80663" w:rsidRDefault="00D80663" w:rsidP="00D80663">
            <w:pPr>
              <w:jc w:val="center"/>
            </w:pPr>
          </w:p>
        </w:tc>
        <w:tc>
          <w:tcPr>
            <w:tcW w:w="1802" w:type="dxa"/>
          </w:tcPr>
          <w:p w:rsidR="00D80663" w:rsidRDefault="00D80663" w:rsidP="00D80663">
            <w:pPr>
              <w:jc w:val="center"/>
            </w:pPr>
          </w:p>
        </w:tc>
        <w:tc>
          <w:tcPr>
            <w:tcW w:w="1802" w:type="dxa"/>
          </w:tcPr>
          <w:p w:rsidR="00D80663" w:rsidRPr="00D80663" w:rsidRDefault="00D80663" w:rsidP="00D80663">
            <w:pPr>
              <w:jc w:val="center"/>
            </w:pPr>
            <w:r w:rsidRPr="00AD7D04">
              <w:t>-.268</w:t>
            </w:r>
          </w:p>
        </w:tc>
      </w:tr>
      <w:tr w:rsidR="00D80663" w:rsidTr="000336A2">
        <w:tc>
          <w:tcPr>
            <w:tcW w:w="1802" w:type="dxa"/>
            <w:vMerge/>
          </w:tcPr>
          <w:p w:rsidR="00D80663" w:rsidRDefault="00D80663" w:rsidP="00D80663"/>
        </w:tc>
        <w:tc>
          <w:tcPr>
            <w:tcW w:w="1802" w:type="dxa"/>
          </w:tcPr>
          <w:p w:rsidR="00D80663" w:rsidRPr="00F54B1A" w:rsidRDefault="00B3033D" w:rsidP="00D80663">
            <w:pPr>
              <w:rPr>
                <w:i/>
                <w:highlight w:val="yellow"/>
              </w:rPr>
            </w:pPr>
            <w:r w:rsidRPr="00390DBB">
              <w:t>ln(OCC-A5)</w:t>
            </w:r>
            <w:r w:rsidR="00D80663" w:rsidRPr="00390DBB">
              <w:rPr>
                <w:i/>
              </w:rPr>
              <w:t xml:space="preserve"> </w:t>
            </w:r>
          </w:p>
        </w:tc>
        <w:tc>
          <w:tcPr>
            <w:tcW w:w="1802" w:type="dxa"/>
          </w:tcPr>
          <w:p w:rsidR="00D80663" w:rsidRPr="00F54B1A" w:rsidRDefault="00D80663" w:rsidP="00D80663">
            <w:pPr>
              <w:jc w:val="center"/>
              <w:rPr>
                <w:i/>
                <w:highlight w:val="yellow"/>
              </w:rPr>
            </w:pPr>
          </w:p>
        </w:tc>
        <w:tc>
          <w:tcPr>
            <w:tcW w:w="1802" w:type="dxa"/>
          </w:tcPr>
          <w:p w:rsidR="00D80663" w:rsidRPr="00F54B1A" w:rsidRDefault="00D80663" w:rsidP="00D80663">
            <w:pPr>
              <w:jc w:val="center"/>
              <w:rPr>
                <w:i/>
                <w:highlight w:val="yellow"/>
              </w:rPr>
            </w:pPr>
          </w:p>
        </w:tc>
        <w:tc>
          <w:tcPr>
            <w:tcW w:w="1802" w:type="dxa"/>
          </w:tcPr>
          <w:p w:rsidR="00D80663" w:rsidRPr="00F54B1A" w:rsidRDefault="00D80663" w:rsidP="00D80663">
            <w:pPr>
              <w:jc w:val="center"/>
              <w:rPr>
                <w:highlight w:val="yellow"/>
              </w:rPr>
            </w:pPr>
            <w:r w:rsidRPr="00390DBB">
              <w:rPr>
                <w:i/>
              </w:rPr>
              <w:t xml:space="preserve"> </w:t>
            </w:r>
            <w:r w:rsidR="00B3033D" w:rsidRPr="00390DBB">
              <w:t>-.197</w:t>
            </w:r>
          </w:p>
        </w:tc>
      </w:tr>
    </w:tbl>
    <w:p w:rsidR="000336A2" w:rsidRDefault="000336A2" w:rsidP="000336A2">
      <w:r w:rsidRPr="00BF4669">
        <w:rPr>
          <w:u w:val="single"/>
        </w:rPr>
        <w:t>Notes</w:t>
      </w:r>
      <w:r>
        <w:t xml:space="preserve">: Summary of immigrant </w:t>
      </w:r>
      <w:r w:rsidR="002330A3">
        <w:t xml:space="preserve">arrival </w:t>
      </w:r>
      <w:r>
        <w:t xml:space="preserve">cohort regression coefficients </w:t>
      </w:r>
      <m:oMath>
        <m:r>
          <w:rPr>
            <w:rFonts w:ascii="Cambria Math" w:hAnsi="Cambria Math"/>
          </w:rPr>
          <m:t xml:space="preserve">δ </m:t>
        </m:r>
      </m:oMath>
      <w:r>
        <w:t xml:space="preserve">from </w:t>
      </w:r>
      <w:r w:rsidR="00F567EB">
        <w:t>Appendix Tables A2-A4</w:t>
      </w:r>
      <w:r>
        <w:t xml:space="preserve">.  </w:t>
      </w:r>
      <w:r w:rsidR="005F64F8">
        <w:t xml:space="preserve">Source data are urban males ages 16-65 reporting occupation and earnings from the Canadian Census 1911, 1921 and 1931.  </w:t>
      </w:r>
      <w:r w:rsidR="00A52C45">
        <w:t>The native born are the reference group.</w:t>
      </w:r>
      <w:r>
        <w:t xml:space="preserve">  Rows compare estimates of cohort effects on earnings as dependent variable changes from ln(earnings), real annual earnings, and four different occupational income scores</w:t>
      </w:r>
      <w:r w:rsidR="005F64F8">
        <w:t xml:space="preserve"> constructed by aggregating Canadian Census earning measures in </w:t>
      </w:r>
      <w:r w:rsidR="00A52C45">
        <w:t>the three ways described in the text</w:t>
      </w:r>
      <w:r w:rsidR="005F64F8">
        <w:t>.  C</w:t>
      </w:r>
      <w:r>
        <w:t xml:space="preserve">olumns compare </w:t>
      </w:r>
      <w:r w:rsidR="00A52C45">
        <w:t xml:space="preserve">across </w:t>
      </w:r>
      <w:r>
        <w:t>census year</w:t>
      </w:r>
      <w:r w:rsidR="00A52C45">
        <w:t>s</w:t>
      </w:r>
      <w:r>
        <w:t xml:space="preserve">. </w:t>
      </w:r>
    </w:p>
    <w:p w:rsidR="009B24A4" w:rsidRDefault="009B24A4">
      <w:pPr>
        <w:rPr>
          <w:rFonts w:ascii="Calibri" w:eastAsia="Times New Roman" w:hAnsi="Calibri" w:cs="Times New Roman"/>
          <w:color w:val="000000"/>
          <w:sz w:val="24"/>
          <w:szCs w:val="24"/>
          <w:lang w:eastAsia="en-US"/>
        </w:rPr>
      </w:pPr>
    </w:p>
    <w:p w:rsidR="009B24A4" w:rsidRDefault="009B24A4">
      <w:pPr>
        <w:rPr>
          <w:rFonts w:ascii="Calibri" w:eastAsia="Times New Roman" w:hAnsi="Calibri" w:cs="Times New Roman"/>
          <w:color w:val="000000"/>
          <w:sz w:val="24"/>
          <w:szCs w:val="24"/>
          <w:lang w:eastAsia="en-US"/>
        </w:rPr>
      </w:pPr>
      <w:r>
        <w:rPr>
          <w:rFonts w:ascii="Calibri" w:eastAsia="Times New Roman" w:hAnsi="Calibri" w:cs="Times New Roman"/>
          <w:color w:val="000000"/>
          <w:sz w:val="24"/>
          <w:szCs w:val="24"/>
          <w:lang w:eastAsia="en-US"/>
        </w:rPr>
        <w:br w:type="page"/>
      </w:r>
    </w:p>
    <w:p w:rsidR="009B24A4" w:rsidRDefault="009B24A4">
      <w:pPr>
        <w:rPr>
          <w:rFonts w:ascii="Calibri" w:eastAsia="Times New Roman" w:hAnsi="Calibri" w:cs="Times New Roman"/>
          <w:color w:val="000000"/>
          <w:sz w:val="24"/>
          <w:szCs w:val="24"/>
          <w:lang w:eastAsia="en-US"/>
        </w:rPr>
      </w:pPr>
      <w:r>
        <w:rPr>
          <w:rFonts w:ascii="Calibri" w:eastAsia="Times New Roman" w:hAnsi="Calibri" w:cs="Times New Roman"/>
          <w:color w:val="000000"/>
          <w:sz w:val="24"/>
          <w:szCs w:val="24"/>
          <w:lang w:eastAsia="en-US"/>
        </w:rPr>
        <w:lastRenderedPageBreak/>
        <w:tab/>
      </w:r>
    </w:p>
    <w:p w:rsidR="009B24A4" w:rsidRDefault="009B24A4" w:rsidP="00D477E0">
      <w:pPr>
        <w:jc w:val="center"/>
        <w:outlineLvl w:val="0"/>
      </w:pPr>
      <w:r>
        <w:t xml:space="preserve">Table </w:t>
      </w:r>
      <w:r w:rsidR="00945E57">
        <w:t>3</w:t>
      </w:r>
      <w:r>
        <w:t xml:space="preserve">: Relative immigrant earnings by arrival cohort, with </w:t>
      </w:r>
      <w:r w:rsidR="00D65CD7">
        <w:t>adjusted</w:t>
      </w:r>
      <w:r>
        <w:t xml:space="preserve"> income scores</w:t>
      </w:r>
    </w:p>
    <w:tbl>
      <w:tblPr>
        <w:tblStyle w:val="TableGrid"/>
        <w:tblW w:w="0" w:type="auto"/>
        <w:tblLook w:val="04A0" w:firstRow="1" w:lastRow="0" w:firstColumn="1" w:lastColumn="0" w:noHBand="0" w:noVBand="1"/>
      </w:tblPr>
      <w:tblGrid>
        <w:gridCol w:w="1672"/>
        <w:gridCol w:w="2394"/>
        <w:gridCol w:w="1648"/>
        <w:gridCol w:w="1648"/>
        <w:gridCol w:w="1648"/>
      </w:tblGrid>
      <w:tr w:rsidR="009B24A4" w:rsidTr="00DA758E">
        <w:tc>
          <w:tcPr>
            <w:tcW w:w="1672" w:type="dxa"/>
          </w:tcPr>
          <w:p w:rsidR="009B24A4" w:rsidRDefault="009B24A4" w:rsidP="00DA758E">
            <w:pPr>
              <w:jc w:val="center"/>
            </w:pPr>
            <w:r>
              <w:t>Arrival Cohort</w:t>
            </w:r>
          </w:p>
        </w:tc>
        <w:tc>
          <w:tcPr>
            <w:tcW w:w="2394" w:type="dxa"/>
          </w:tcPr>
          <w:p w:rsidR="009B24A4" w:rsidRDefault="009B24A4" w:rsidP="00DA758E">
            <w:r>
              <w:t>Outcome</w:t>
            </w:r>
          </w:p>
        </w:tc>
        <w:tc>
          <w:tcPr>
            <w:tcW w:w="1648" w:type="dxa"/>
          </w:tcPr>
          <w:p w:rsidR="009B24A4" w:rsidRDefault="009B24A4" w:rsidP="00DA758E">
            <w:pPr>
              <w:jc w:val="center"/>
            </w:pPr>
            <w:r>
              <w:t>1911</w:t>
            </w:r>
          </w:p>
        </w:tc>
        <w:tc>
          <w:tcPr>
            <w:tcW w:w="1648" w:type="dxa"/>
          </w:tcPr>
          <w:p w:rsidR="009B24A4" w:rsidRDefault="009B24A4" w:rsidP="00DA758E">
            <w:pPr>
              <w:jc w:val="center"/>
            </w:pPr>
            <w:r>
              <w:t>1921</w:t>
            </w:r>
          </w:p>
        </w:tc>
        <w:tc>
          <w:tcPr>
            <w:tcW w:w="1648" w:type="dxa"/>
          </w:tcPr>
          <w:p w:rsidR="009B24A4" w:rsidRDefault="009B24A4" w:rsidP="00DA758E">
            <w:pPr>
              <w:jc w:val="center"/>
            </w:pPr>
            <w:r>
              <w:t>1931</w:t>
            </w:r>
          </w:p>
        </w:tc>
      </w:tr>
      <w:tr w:rsidR="009B24A4" w:rsidTr="00DA758E">
        <w:tc>
          <w:tcPr>
            <w:tcW w:w="1672" w:type="dxa"/>
            <w:vMerge w:val="restart"/>
          </w:tcPr>
          <w:p w:rsidR="009B24A4" w:rsidRDefault="009B24A4" w:rsidP="00DA758E">
            <w:pPr>
              <w:jc w:val="center"/>
            </w:pPr>
            <w:r>
              <w:t>1901-1905</w:t>
            </w:r>
          </w:p>
        </w:tc>
        <w:tc>
          <w:tcPr>
            <w:tcW w:w="2394" w:type="dxa"/>
          </w:tcPr>
          <w:p w:rsidR="009B24A4" w:rsidRPr="00B42791" w:rsidRDefault="009B24A4" w:rsidP="00DA758E">
            <w:pPr>
              <w:rPr>
                <w:b/>
              </w:rPr>
            </w:pPr>
            <w:r w:rsidRPr="00B42791">
              <w:rPr>
                <w:b/>
              </w:rPr>
              <w:t>ln(earnings)</w:t>
            </w:r>
          </w:p>
        </w:tc>
        <w:tc>
          <w:tcPr>
            <w:tcW w:w="1648" w:type="dxa"/>
          </w:tcPr>
          <w:p w:rsidR="009B24A4" w:rsidRPr="00B42791" w:rsidRDefault="009B24A4" w:rsidP="00DA758E">
            <w:pPr>
              <w:jc w:val="center"/>
              <w:rPr>
                <w:b/>
              </w:rPr>
            </w:pPr>
            <w:r w:rsidRPr="00B42791">
              <w:rPr>
                <w:b/>
              </w:rPr>
              <w:t>-.144</w:t>
            </w:r>
          </w:p>
        </w:tc>
        <w:tc>
          <w:tcPr>
            <w:tcW w:w="1648" w:type="dxa"/>
          </w:tcPr>
          <w:p w:rsidR="009B24A4" w:rsidRPr="00B42791" w:rsidRDefault="009B24A4" w:rsidP="00DA758E">
            <w:pPr>
              <w:jc w:val="center"/>
              <w:rPr>
                <w:b/>
              </w:rPr>
            </w:pPr>
            <w:r w:rsidRPr="00B42791">
              <w:rPr>
                <w:b/>
              </w:rPr>
              <w:t>-.098</w:t>
            </w:r>
          </w:p>
        </w:tc>
        <w:tc>
          <w:tcPr>
            <w:tcW w:w="1648" w:type="dxa"/>
          </w:tcPr>
          <w:p w:rsidR="009B24A4" w:rsidRPr="00B42791" w:rsidRDefault="009B24A4" w:rsidP="00DA758E">
            <w:pPr>
              <w:jc w:val="center"/>
              <w:rPr>
                <w:b/>
              </w:rPr>
            </w:pPr>
            <w:r w:rsidRPr="00B42791">
              <w:rPr>
                <w:b/>
              </w:rPr>
              <w:t>-.144</w:t>
            </w:r>
          </w:p>
        </w:tc>
      </w:tr>
      <w:tr w:rsidR="009B24A4" w:rsidTr="00DA758E">
        <w:tc>
          <w:tcPr>
            <w:tcW w:w="1672" w:type="dxa"/>
            <w:vMerge/>
          </w:tcPr>
          <w:p w:rsidR="009B24A4" w:rsidRDefault="009B24A4" w:rsidP="00DA758E">
            <w:pPr>
              <w:jc w:val="center"/>
            </w:pPr>
          </w:p>
        </w:tc>
        <w:tc>
          <w:tcPr>
            <w:tcW w:w="2394" w:type="dxa"/>
          </w:tcPr>
          <w:p w:rsidR="009B24A4" w:rsidRDefault="009B24A4" w:rsidP="00D91045">
            <w:r>
              <w:t xml:space="preserve">ln(OCC) </w:t>
            </w:r>
            <w:r w:rsidR="0065175E">
              <w:t>group adjusted</w:t>
            </w:r>
          </w:p>
        </w:tc>
        <w:tc>
          <w:tcPr>
            <w:tcW w:w="1648" w:type="dxa"/>
          </w:tcPr>
          <w:p w:rsidR="009B24A4" w:rsidRDefault="009B24A4" w:rsidP="00DA758E">
            <w:pPr>
              <w:jc w:val="center"/>
            </w:pPr>
            <w:r>
              <w:t>-.187</w:t>
            </w:r>
          </w:p>
        </w:tc>
        <w:tc>
          <w:tcPr>
            <w:tcW w:w="1648" w:type="dxa"/>
          </w:tcPr>
          <w:p w:rsidR="009B24A4" w:rsidRDefault="009B24A4" w:rsidP="00DA758E">
            <w:pPr>
              <w:jc w:val="center"/>
            </w:pPr>
            <w:r>
              <w:t>-.163</w:t>
            </w:r>
          </w:p>
        </w:tc>
        <w:tc>
          <w:tcPr>
            <w:tcW w:w="1648" w:type="dxa"/>
          </w:tcPr>
          <w:p w:rsidR="009B24A4" w:rsidRDefault="009B24A4" w:rsidP="00DA758E">
            <w:pPr>
              <w:jc w:val="center"/>
            </w:pPr>
            <w:r>
              <w:t>-.141</w:t>
            </w:r>
          </w:p>
        </w:tc>
      </w:tr>
      <w:tr w:rsidR="009B24A4" w:rsidTr="00DA758E">
        <w:tc>
          <w:tcPr>
            <w:tcW w:w="1672" w:type="dxa"/>
            <w:vMerge/>
          </w:tcPr>
          <w:p w:rsidR="009B24A4" w:rsidRDefault="009B24A4" w:rsidP="00DA758E">
            <w:pPr>
              <w:jc w:val="center"/>
            </w:pPr>
          </w:p>
        </w:tc>
        <w:tc>
          <w:tcPr>
            <w:tcW w:w="2394" w:type="dxa"/>
          </w:tcPr>
          <w:p w:rsidR="009B24A4" w:rsidRDefault="009B24A4" w:rsidP="00D91045">
            <w:r>
              <w:t xml:space="preserve">ln (OCC) </w:t>
            </w:r>
            <w:r w:rsidR="0065175E">
              <w:t>year adjusted</w:t>
            </w:r>
          </w:p>
        </w:tc>
        <w:tc>
          <w:tcPr>
            <w:tcW w:w="1648" w:type="dxa"/>
          </w:tcPr>
          <w:p w:rsidR="009B24A4" w:rsidRDefault="009B24A4" w:rsidP="00DA758E">
            <w:pPr>
              <w:jc w:val="center"/>
            </w:pPr>
            <w:r>
              <w:t>-.129</w:t>
            </w:r>
          </w:p>
        </w:tc>
        <w:tc>
          <w:tcPr>
            <w:tcW w:w="1648" w:type="dxa"/>
          </w:tcPr>
          <w:p w:rsidR="009B24A4" w:rsidRDefault="009B24A4" w:rsidP="00DA758E">
            <w:pPr>
              <w:jc w:val="center"/>
            </w:pPr>
            <w:r>
              <w:t>-.098</w:t>
            </w:r>
          </w:p>
        </w:tc>
        <w:tc>
          <w:tcPr>
            <w:tcW w:w="1648" w:type="dxa"/>
          </w:tcPr>
          <w:p w:rsidR="009B24A4" w:rsidRDefault="009B24A4" w:rsidP="00DA758E">
            <w:pPr>
              <w:jc w:val="center"/>
            </w:pPr>
            <w:r>
              <w:t>-.119</w:t>
            </w:r>
          </w:p>
        </w:tc>
      </w:tr>
      <w:tr w:rsidR="009B24A4" w:rsidTr="00DA758E">
        <w:tc>
          <w:tcPr>
            <w:tcW w:w="1672" w:type="dxa"/>
            <w:vMerge/>
          </w:tcPr>
          <w:p w:rsidR="009B24A4" w:rsidRDefault="009B24A4" w:rsidP="00DA758E">
            <w:pPr>
              <w:jc w:val="center"/>
            </w:pPr>
          </w:p>
        </w:tc>
        <w:tc>
          <w:tcPr>
            <w:tcW w:w="2394" w:type="dxa"/>
          </w:tcPr>
          <w:p w:rsidR="009B24A4" w:rsidRDefault="009B24A4" w:rsidP="00D91045">
            <w:r>
              <w:t xml:space="preserve">ln (OCC) </w:t>
            </w:r>
            <w:r w:rsidR="0065175E">
              <w:t>group/year adjusted</w:t>
            </w:r>
          </w:p>
        </w:tc>
        <w:tc>
          <w:tcPr>
            <w:tcW w:w="1648" w:type="dxa"/>
          </w:tcPr>
          <w:p w:rsidR="009B24A4" w:rsidRDefault="009B24A4" w:rsidP="00DA758E">
            <w:pPr>
              <w:jc w:val="center"/>
            </w:pPr>
            <w:r>
              <w:t>-.187</w:t>
            </w:r>
          </w:p>
        </w:tc>
        <w:tc>
          <w:tcPr>
            <w:tcW w:w="1648" w:type="dxa"/>
          </w:tcPr>
          <w:p w:rsidR="009B24A4" w:rsidRDefault="009B24A4" w:rsidP="00DA758E">
            <w:pPr>
              <w:jc w:val="center"/>
            </w:pPr>
            <w:r>
              <w:t>-.168</w:t>
            </w:r>
          </w:p>
        </w:tc>
        <w:tc>
          <w:tcPr>
            <w:tcW w:w="1648" w:type="dxa"/>
          </w:tcPr>
          <w:p w:rsidR="009B24A4" w:rsidRDefault="009B24A4" w:rsidP="00DA758E">
            <w:pPr>
              <w:jc w:val="center"/>
            </w:pPr>
            <w:r>
              <w:t>-.187</w:t>
            </w:r>
          </w:p>
        </w:tc>
      </w:tr>
      <w:tr w:rsidR="009B24A4" w:rsidTr="00DA758E">
        <w:tc>
          <w:tcPr>
            <w:tcW w:w="1672" w:type="dxa"/>
            <w:vMerge/>
          </w:tcPr>
          <w:p w:rsidR="009B24A4" w:rsidRDefault="009B24A4" w:rsidP="00DA758E">
            <w:pPr>
              <w:jc w:val="center"/>
            </w:pPr>
          </w:p>
        </w:tc>
        <w:tc>
          <w:tcPr>
            <w:tcW w:w="2394" w:type="dxa"/>
          </w:tcPr>
          <w:p w:rsidR="009B24A4" w:rsidRPr="000D6E84" w:rsidRDefault="009B24A4" w:rsidP="00DA758E">
            <w:pP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r>
      <w:tr w:rsidR="009B24A4" w:rsidTr="00DA758E">
        <w:tc>
          <w:tcPr>
            <w:tcW w:w="1672" w:type="dxa"/>
            <w:vMerge w:val="restart"/>
          </w:tcPr>
          <w:p w:rsidR="009B24A4" w:rsidRDefault="009B24A4" w:rsidP="00DA758E">
            <w:pPr>
              <w:jc w:val="center"/>
            </w:pPr>
            <w:r>
              <w:t>1906-1910</w:t>
            </w:r>
          </w:p>
        </w:tc>
        <w:tc>
          <w:tcPr>
            <w:tcW w:w="2394" w:type="dxa"/>
          </w:tcPr>
          <w:p w:rsidR="009B24A4" w:rsidRPr="00B42791" w:rsidRDefault="009B24A4" w:rsidP="00DA758E">
            <w:pPr>
              <w:rPr>
                <w:b/>
              </w:rPr>
            </w:pPr>
            <w:r w:rsidRPr="00B42791">
              <w:rPr>
                <w:b/>
              </w:rPr>
              <w:t>ln(earnings)</w:t>
            </w:r>
          </w:p>
        </w:tc>
        <w:tc>
          <w:tcPr>
            <w:tcW w:w="1648" w:type="dxa"/>
          </w:tcPr>
          <w:p w:rsidR="009B24A4" w:rsidRPr="00B42791" w:rsidRDefault="009B24A4" w:rsidP="00DA758E">
            <w:pPr>
              <w:jc w:val="center"/>
              <w:rPr>
                <w:b/>
              </w:rPr>
            </w:pPr>
            <w:r w:rsidRPr="00B42791">
              <w:rPr>
                <w:b/>
              </w:rPr>
              <w:t>-.181</w:t>
            </w:r>
          </w:p>
        </w:tc>
        <w:tc>
          <w:tcPr>
            <w:tcW w:w="1648" w:type="dxa"/>
          </w:tcPr>
          <w:p w:rsidR="009B24A4" w:rsidRPr="00B42791" w:rsidRDefault="009B24A4" w:rsidP="00DA758E">
            <w:pPr>
              <w:jc w:val="center"/>
              <w:rPr>
                <w:b/>
              </w:rPr>
            </w:pPr>
            <w:r w:rsidRPr="00B42791">
              <w:rPr>
                <w:b/>
              </w:rPr>
              <w:t>-.149</w:t>
            </w:r>
          </w:p>
        </w:tc>
        <w:tc>
          <w:tcPr>
            <w:tcW w:w="1648" w:type="dxa"/>
          </w:tcPr>
          <w:p w:rsidR="009B24A4" w:rsidRPr="00B42791" w:rsidRDefault="009B24A4" w:rsidP="00DA758E">
            <w:pPr>
              <w:jc w:val="center"/>
              <w:rPr>
                <w:b/>
              </w:rPr>
            </w:pPr>
            <w:r w:rsidRPr="00B42791">
              <w:rPr>
                <w:b/>
              </w:rPr>
              <w:t>-.162</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ln(OCC) group adjusted</w:t>
            </w:r>
          </w:p>
        </w:tc>
        <w:tc>
          <w:tcPr>
            <w:tcW w:w="1648" w:type="dxa"/>
          </w:tcPr>
          <w:p w:rsidR="0065175E" w:rsidRDefault="0065175E" w:rsidP="0065175E">
            <w:pPr>
              <w:jc w:val="center"/>
            </w:pPr>
            <w:r>
              <w:t>-.213</w:t>
            </w:r>
          </w:p>
        </w:tc>
        <w:tc>
          <w:tcPr>
            <w:tcW w:w="1648" w:type="dxa"/>
          </w:tcPr>
          <w:p w:rsidR="0065175E" w:rsidRDefault="0065175E" w:rsidP="0065175E">
            <w:pPr>
              <w:jc w:val="center"/>
            </w:pPr>
            <w:r>
              <w:t>-.196</w:t>
            </w:r>
          </w:p>
        </w:tc>
        <w:tc>
          <w:tcPr>
            <w:tcW w:w="1648" w:type="dxa"/>
          </w:tcPr>
          <w:p w:rsidR="0065175E" w:rsidRDefault="0065175E" w:rsidP="0065175E">
            <w:pPr>
              <w:jc w:val="center"/>
            </w:pPr>
            <w:r>
              <w:t>-.188</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 (OCC) year adjusted</w:t>
            </w:r>
          </w:p>
        </w:tc>
        <w:tc>
          <w:tcPr>
            <w:tcW w:w="1648" w:type="dxa"/>
          </w:tcPr>
          <w:p w:rsidR="0065175E" w:rsidRDefault="0065175E" w:rsidP="0065175E">
            <w:pPr>
              <w:jc w:val="center"/>
            </w:pPr>
            <w:r>
              <w:t>-.159</w:t>
            </w:r>
          </w:p>
        </w:tc>
        <w:tc>
          <w:tcPr>
            <w:tcW w:w="1648" w:type="dxa"/>
          </w:tcPr>
          <w:p w:rsidR="0065175E" w:rsidRDefault="0065175E" w:rsidP="0065175E">
            <w:pPr>
              <w:jc w:val="center"/>
            </w:pPr>
            <w:r>
              <w:t>-.145</w:t>
            </w:r>
          </w:p>
        </w:tc>
        <w:tc>
          <w:tcPr>
            <w:tcW w:w="1648" w:type="dxa"/>
          </w:tcPr>
          <w:p w:rsidR="0065175E" w:rsidRDefault="0065175E" w:rsidP="0065175E">
            <w:pPr>
              <w:jc w:val="center"/>
            </w:pPr>
            <w:r>
              <w:t>-.193</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 (OCC) group/year adjusted</w:t>
            </w:r>
          </w:p>
        </w:tc>
        <w:tc>
          <w:tcPr>
            <w:tcW w:w="1648" w:type="dxa"/>
          </w:tcPr>
          <w:p w:rsidR="0065175E" w:rsidRDefault="0065175E" w:rsidP="0065175E">
            <w:pPr>
              <w:jc w:val="center"/>
            </w:pPr>
            <w:r>
              <w:t>-.213</w:t>
            </w:r>
          </w:p>
        </w:tc>
        <w:tc>
          <w:tcPr>
            <w:tcW w:w="1648" w:type="dxa"/>
          </w:tcPr>
          <w:p w:rsidR="0065175E" w:rsidRDefault="0065175E" w:rsidP="0065175E">
            <w:pPr>
              <w:jc w:val="center"/>
            </w:pPr>
            <w:r>
              <w:t>-.205</w:t>
            </w:r>
          </w:p>
        </w:tc>
        <w:tc>
          <w:tcPr>
            <w:tcW w:w="1648" w:type="dxa"/>
          </w:tcPr>
          <w:p w:rsidR="0065175E" w:rsidRDefault="0065175E" w:rsidP="0065175E">
            <w:pPr>
              <w:jc w:val="center"/>
            </w:pPr>
            <w:r>
              <w:t>-.255</w:t>
            </w:r>
          </w:p>
        </w:tc>
      </w:tr>
      <w:tr w:rsidR="009B24A4" w:rsidTr="00DA758E">
        <w:tc>
          <w:tcPr>
            <w:tcW w:w="1672" w:type="dxa"/>
            <w:vMerge/>
          </w:tcPr>
          <w:p w:rsidR="009B24A4" w:rsidRDefault="009B24A4" w:rsidP="00DA758E">
            <w:pPr>
              <w:jc w:val="center"/>
            </w:pPr>
          </w:p>
        </w:tc>
        <w:tc>
          <w:tcPr>
            <w:tcW w:w="2394" w:type="dxa"/>
          </w:tcPr>
          <w:p w:rsidR="009B24A4" w:rsidRPr="000D6E84" w:rsidRDefault="009B24A4" w:rsidP="00DA758E">
            <w:pP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r>
      <w:tr w:rsidR="009B24A4" w:rsidTr="00DA758E">
        <w:tc>
          <w:tcPr>
            <w:tcW w:w="1672" w:type="dxa"/>
            <w:vMerge w:val="restart"/>
          </w:tcPr>
          <w:p w:rsidR="009B24A4" w:rsidRDefault="009B24A4" w:rsidP="00DA758E">
            <w:pPr>
              <w:jc w:val="center"/>
            </w:pPr>
            <w:r>
              <w:t>1911-1915</w:t>
            </w:r>
          </w:p>
        </w:tc>
        <w:tc>
          <w:tcPr>
            <w:tcW w:w="2394" w:type="dxa"/>
          </w:tcPr>
          <w:p w:rsidR="009B24A4" w:rsidRPr="000D6E84" w:rsidRDefault="009B24A4" w:rsidP="00DA758E">
            <w:pPr>
              <w:rPr>
                <w:b/>
              </w:rPr>
            </w:pPr>
            <w:r w:rsidRPr="00B42791">
              <w:rPr>
                <w:b/>
              </w:rPr>
              <w:t>ln(earnings)</w:t>
            </w:r>
          </w:p>
        </w:tc>
        <w:tc>
          <w:tcPr>
            <w:tcW w:w="1648" w:type="dxa"/>
          </w:tcPr>
          <w:p w:rsidR="009B24A4" w:rsidRPr="000D6E84" w:rsidRDefault="009B24A4" w:rsidP="00DA758E">
            <w:pPr>
              <w:jc w:val="center"/>
              <w:rPr>
                <w:b/>
              </w:rPr>
            </w:pPr>
          </w:p>
        </w:tc>
        <w:tc>
          <w:tcPr>
            <w:tcW w:w="1648" w:type="dxa"/>
          </w:tcPr>
          <w:p w:rsidR="009B24A4" w:rsidRPr="000D6E84" w:rsidRDefault="009B24A4" w:rsidP="00DA758E">
            <w:pPr>
              <w:jc w:val="center"/>
              <w:rPr>
                <w:b/>
              </w:rPr>
            </w:pPr>
            <w:r w:rsidRPr="000D6E84">
              <w:rPr>
                <w:b/>
              </w:rPr>
              <w:t>-.177</w:t>
            </w:r>
          </w:p>
        </w:tc>
        <w:tc>
          <w:tcPr>
            <w:tcW w:w="1648" w:type="dxa"/>
          </w:tcPr>
          <w:p w:rsidR="009B24A4" w:rsidRPr="000D6E84" w:rsidRDefault="009B24A4" w:rsidP="00DA758E">
            <w:pPr>
              <w:jc w:val="center"/>
              <w:rPr>
                <w:b/>
              </w:rPr>
            </w:pPr>
            <w:r w:rsidRPr="000D6E84">
              <w:rPr>
                <w:b/>
              </w:rPr>
              <w:t>-.175</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ln(OCC) group adjusted</w:t>
            </w:r>
          </w:p>
        </w:tc>
        <w:tc>
          <w:tcPr>
            <w:tcW w:w="1648" w:type="dxa"/>
          </w:tcPr>
          <w:p w:rsidR="0065175E" w:rsidRDefault="0065175E" w:rsidP="0065175E">
            <w:pPr>
              <w:jc w:val="center"/>
            </w:pPr>
          </w:p>
        </w:tc>
        <w:tc>
          <w:tcPr>
            <w:tcW w:w="1648" w:type="dxa"/>
          </w:tcPr>
          <w:p w:rsidR="0065175E" w:rsidRDefault="0065175E" w:rsidP="0065175E">
            <w:pPr>
              <w:jc w:val="center"/>
            </w:pPr>
            <w:r>
              <w:t>-.223</w:t>
            </w:r>
          </w:p>
        </w:tc>
        <w:tc>
          <w:tcPr>
            <w:tcW w:w="1648" w:type="dxa"/>
          </w:tcPr>
          <w:p w:rsidR="0065175E" w:rsidRDefault="0065175E" w:rsidP="0065175E">
            <w:pPr>
              <w:jc w:val="center"/>
            </w:pPr>
            <w:r>
              <w:t>-.188</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 (OCC) year adjusted</w:t>
            </w:r>
          </w:p>
        </w:tc>
        <w:tc>
          <w:tcPr>
            <w:tcW w:w="1648" w:type="dxa"/>
          </w:tcPr>
          <w:p w:rsidR="0065175E" w:rsidRDefault="0065175E" w:rsidP="0065175E">
            <w:pPr>
              <w:jc w:val="center"/>
            </w:pPr>
          </w:p>
        </w:tc>
        <w:tc>
          <w:tcPr>
            <w:tcW w:w="1648" w:type="dxa"/>
          </w:tcPr>
          <w:p w:rsidR="0065175E" w:rsidRDefault="0065175E" w:rsidP="0065175E">
            <w:pPr>
              <w:jc w:val="center"/>
            </w:pPr>
            <w:r>
              <w:t>-.173</w:t>
            </w:r>
          </w:p>
        </w:tc>
        <w:tc>
          <w:tcPr>
            <w:tcW w:w="1648" w:type="dxa"/>
          </w:tcPr>
          <w:p w:rsidR="0065175E" w:rsidRDefault="0065175E" w:rsidP="0065175E">
            <w:pPr>
              <w:jc w:val="center"/>
            </w:pPr>
            <w:r>
              <w:t>-.192</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 (OCC) group/year adjusted</w:t>
            </w:r>
          </w:p>
        </w:tc>
        <w:tc>
          <w:tcPr>
            <w:tcW w:w="1648" w:type="dxa"/>
          </w:tcPr>
          <w:p w:rsidR="0065175E" w:rsidRDefault="0065175E" w:rsidP="0065175E">
            <w:pPr>
              <w:jc w:val="center"/>
            </w:pPr>
          </w:p>
        </w:tc>
        <w:tc>
          <w:tcPr>
            <w:tcW w:w="1648" w:type="dxa"/>
          </w:tcPr>
          <w:p w:rsidR="0065175E" w:rsidRDefault="0065175E" w:rsidP="0065175E">
            <w:pPr>
              <w:jc w:val="center"/>
            </w:pPr>
            <w:r>
              <w:t>-.233</w:t>
            </w:r>
          </w:p>
        </w:tc>
        <w:tc>
          <w:tcPr>
            <w:tcW w:w="1648" w:type="dxa"/>
          </w:tcPr>
          <w:p w:rsidR="0065175E" w:rsidRDefault="0065175E" w:rsidP="0065175E">
            <w:pPr>
              <w:jc w:val="center"/>
            </w:pPr>
            <w:r>
              <w:t>-.253</w:t>
            </w:r>
          </w:p>
        </w:tc>
      </w:tr>
      <w:tr w:rsidR="009B24A4" w:rsidTr="00DA758E">
        <w:tc>
          <w:tcPr>
            <w:tcW w:w="1672" w:type="dxa"/>
            <w:vMerge/>
          </w:tcPr>
          <w:p w:rsidR="009B24A4" w:rsidRDefault="009B24A4" w:rsidP="00DA758E">
            <w:pPr>
              <w:jc w:val="center"/>
            </w:pPr>
          </w:p>
        </w:tc>
        <w:tc>
          <w:tcPr>
            <w:tcW w:w="2394" w:type="dxa"/>
          </w:tcPr>
          <w:p w:rsidR="009B24A4" w:rsidRPr="000D6E84" w:rsidRDefault="009B24A4" w:rsidP="00DA758E">
            <w:pP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r>
      <w:tr w:rsidR="009B24A4" w:rsidTr="00DA758E">
        <w:tc>
          <w:tcPr>
            <w:tcW w:w="1672" w:type="dxa"/>
            <w:vMerge w:val="restart"/>
          </w:tcPr>
          <w:p w:rsidR="009B24A4" w:rsidRDefault="009B24A4" w:rsidP="00DA758E">
            <w:pPr>
              <w:jc w:val="center"/>
            </w:pPr>
            <w:r>
              <w:t>1916-1920</w:t>
            </w:r>
          </w:p>
        </w:tc>
        <w:tc>
          <w:tcPr>
            <w:tcW w:w="2394" w:type="dxa"/>
          </w:tcPr>
          <w:p w:rsidR="009B24A4" w:rsidRPr="000D6E84" w:rsidRDefault="009B24A4" w:rsidP="00DA758E">
            <w:pPr>
              <w:rPr>
                <w:b/>
              </w:rPr>
            </w:pPr>
            <w:r w:rsidRPr="00B42791">
              <w:rPr>
                <w:b/>
              </w:rPr>
              <w:t>ln(earnings)</w:t>
            </w:r>
          </w:p>
        </w:tc>
        <w:tc>
          <w:tcPr>
            <w:tcW w:w="1648" w:type="dxa"/>
          </w:tcPr>
          <w:p w:rsidR="009B24A4" w:rsidRPr="000D6E84" w:rsidRDefault="009B24A4" w:rsidP="00DA758E">
            <w:pPr>
              <w:jc w:val="center"/>
              <w:rPr>
                <w:b/>
              </w:rPr>
            </w:pPr>
          </w:p>
        </w:tc>
        <w:tc>
          <w:tcPr>
            <w:tcW w:w="1648" w:type="dxa"/>
          </w:tcPr>
          <w:p w:rsidR="009B24A4" w:rsidRPr="000D6E84" w:rsidRDefault="009B24A4" w:rsidP="00DA758E">
            <w:pPr>
              <w:jc w:val="center"/>
              <w:rPr>
                <w:b/>
              </w:rPr>
            </w:pPr>
            <w:r w:rsidRPr="000D6E84">
              <w:rPr>
                <w:b/>
              </w:rPr>
              <w:t>-.221</w:t>
            </w:r>
          </w:p>
        </w:tc>
        <w:tc>
          <w:tcPr>
            <w:tcW w:w="1648" w:type="dxa"/>
          </w:tcPr>
          <w:p w:rsidR="009B24A4" w:rsidRPr="000D6E84" w:rsidRDefault="009B24A4" w:rsidP="00DA758E">
            <w:pPr>
              <w:jc w:val="center"/>
              <w:rPr>
                <w:b/>
              </w:rPr>
            </w:pPr>
            <w:r w:rsidRPr="000D6E84">
              <w:rPr>
                <w:b/>
              </w:rPr>
              <w:t>-.190</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ln(OCC) group adjusted</w:t>
            </w:r>
          </w:p>
        </w:tc>
        <w:tc>
          <w:tcPr>
            <w:tcW w:w="1648" w:type="dxa"/>
          </w:tcPr>
          <w:p w:rsidR="0065175E" w:rsidRDefault="0065175E" w:rsidP="0065175E">
            <w:pPr>
              <w:jc w:val="center"/>
            </w:pPr>
          </w:p>
        </w:tc>
        <w:tc>
          <w:tcPr>
            <w:tcW w:w="1648" w:type="dxa"/>
          </w:tcPr>
          <w:p w:rsidR="0065175E" w:rsidRDefault="0065175E" w:rsidP="0065175E">
            <w:pPr>
              <w:jc w:val="center"/>
            </w:pPr>
            <w:r>
              <w:t>-.199</w:t>
            </w:r>
          </w:p>
        </w:tc>
        <w:tc>
          <w:tcPr>
            <w:tcW w:w="1648" w:type="dxa"/>
          </w:tcPr>
          <w:p w:rsidR="0065175E" w:rsidRDefault="0065175E" w:rsidP="0065175E">
            <w:pPr>
              <w:jc w:val="center"/>
            </w:pPr>
            <w:r>
              <w:t>-.199</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 (OCC) year adjusted</w:t>
            </w:r>
          </w:p>
        </w:tc>
        <w:tc>
          <w:tcPr>
            <w:tcW w:w="1648" w:type="dxa"/>
          </w:tcPr>
          <w:p w:rsidR="0065175E" w:rsidRDefault="0065175E" w:rsidP="0065175E">
            <w:pPr>
              <w:jc w:val="center"/>
            </w:pPr>
          </w:p>
        </w:tc>
        <w:tc>
          <w:tcPr>
            <w:tcW w:w="1648" w:type="dxa"/>
          </w:tcPr>
          <w:p w:rsidR="0065175E" w:rsidRDefault="0065175E" w:rsidP="0065175E">
            <w:pPr>
              <w:jc w:val="center"/>
            </w:pPr>
            <w:r>
              <w:t>-.150</w:t>
            </w:r>
          </w:p>
        </w:tc>
        <w:tc>
          <w:tcPr>
            <w:tcW w:w="1648" w:type="dxa"/>
          </w:tcPr>
          <w:p w:rsidR="0065175E" w:rsidRDefault="0065175E" w:rsidP="0065175E">
            <w:pPr>
              <w:jc w:val="center"/>
            </w:pPr>
            <w:r>
              <w:t>-.211</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 (OCC) group/year adjusted</w:t>
            </w:r>
          </w:p>
        </w:tc>
        <w:tc>
          <w:tcPr>
            <w:tcW w:w="1648" w:type="dxa"/>
          </w:tcPr>
          <w:p w:rsidR="0065175E" w:rsidRDefault="0065175E" w:rsidP="0065175E">
            <w:pPr>
              <w:jc w:val="center"/>
            </w:pPr>
          </w:p>
        </w:tc>
        <w:tc>
          <w:tcPr>
            <w:tcW w:w="1648" w:type="dxa"/>
          </w:tcPr>
          <w:p w:rsidR="0065175E" w:rsidRDefault="0065175E" w:rsidP="0065175E">
            <w:pPr>
              <w:jc w:val="center"/>
            </w:pPr>
            <w:r>
              <w:t>-.205</w:t>
            </w:r>
          </w:p>
        </w:tc>
        <w:tc>
          <w:tcPr>
            <w:tcW w:w="1648" w:type="dxa"/>
          </w:tcPr>
          <w:p w:rsidR="0065175E" w:rsidRDefault="0065175E" w:rsidP="0065175E">
            <w:pPr>
              <w:jc w:val="center"/>
            </w:pPr>
            <w:r>
              <w:t>-.265</w:t>
            </w:r>
          </w:p>
        </w:tc>
      </w:tr>
      <w:tr w:rsidR="009B24A4" w:rsidTr="00DA758E">
        <w:tc>
          <w:tcPr>
            <w:tcW w:w="1672" w:type="dxa"/>
            <w:vMerge/>
          </w:tcPr>
          <w:p w:rsidR="009B24A4" w:rsidRDefault="009B24A4" w:rsidP="00DA758E">
            <w:pPr>
              <w:jc w:val="center"/>
            </w:pPr>
          </w:p>
        </w:tc>
        <w:tc>
          <w:tcPr>
            <w:tcW w:w="2394" w:type="dxa"/>
          </w:tcPr>
          <w:p w:rsidR="009B24A4" w:rsidRPr="000D6E84" w:rsidRDefault="009B24A4" w:rsidP="00DA758E">
            <w:pP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r>
      <w:tr w:rsidR="009B24A4" w:rsidTr="00DA758E">
        <w:tc>
          <w:tcPr>
            <w:tcW w:w="1672" w:type="dxa"/>
            <w:vMerge w:val="restart"/>
          </w:tcPr>
          <w:p w:rsidR="009B24A4" w:rsidRDefault="009B24A4" w:rsidP="00DA758E">
            <w:pPr>
              <w:jc w:val="center"/>
            </w:pPr>
            <w:r>
              <w:t>1921-1925</w:t>
            </w:r>
          </w:p>
        </w:tc>
        <w:tc>
          <w:tcPr>
            <w:tcW w:w="2394" w:type="dxa"/>
          </w:tcPr>
          <w:p w:rsidR="009B24A4" w:rsidRPr="000D6E84" w:rsidRDefault="009B24A4" w:rsidP="00DA758E">
            <w:pPr>
              <w:rPr>
                <w:b/>
              </w:rPr>
            </w:pPr>
            <w:r w:rsidRPr="00B42791">
              <w:rPr>
                <w:b/>
              </w:rPr>
              <w:t>ln(earnings)</w:t>
            </w:r>
          </w:p>
        </w:tc>
        <w:tc>
          <w:tcPr>
            <w:tcW w:w="1648" w:type="dxa"/>
          </w:tcPr>
          <w:p w:rsidR="009B24A4" w:rsidRPr="000D6E84" w:rsidRDefault="009B24A4" w:rsidP="00DA758E">
            <w:pPr>
              <w:jc w:val="center"/>
              <w:rPr>
                <w:b/>
              </w:rPr>
            </w:pPr>
          </w:p>
        </w:tc>
        <w:tc>
          <w:tcPr>
            <w:tcW w:w="1648" w:type="dxa"/>
          </w:tcPr>
          <w:p w:rsidR="009B24A4" w:rsidRPr="000D6E84" w:rsidRDefault="009B24A4" w:rsidP="00DA758E">
            <w:pPr>
              <w:jc w:val="center"/>
              <w:rPr>
                <w:b/>
              </w:rPr>
            </w:pPr>
          </w:p>
        </w:tc>
        <w:tc>
          <w:tcPr>
            <w:tcW w:w="1648" w:type="dxa"/>
          </w:tcPr>
          <w:p w:rsidR="009B24A4" w:rsidRPr="000D6E84" w:rsidRDefault="009B24A4" w:rsidP="00DA758E">
            <w:pPr>
              <w:jc w:val="center"/>
              <w:rPr>
                <w:b/>
              </w:rPr>
            </w:pPr>
            <w:r w:rsidRPr="000D6E84">
              <w:rPr>
                <w:b/>
              </w:rPr>
              <w:t>-.384</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ln(OCC) group adjusted</w:t>
            </w:r>
          </w:p>
        </w:tc>
        <w:tc>
          <w:tcPr>
            <w:tcW w:w="1648" w:type="dxa"/>
          </w:tcPr>
          <w:p w:rsidR="0065175E" w:rsidRDefault="0065175E" w:rsidP="0065175E">
            <w:pPr>
              <w:jc w:val="center"/>
            </w:pPr>
          </w:p>
        </w:tc>
        <w:tc>
          <w:tcPr>
            <w:tcW w:w="1648" w:type="dxa"/>
          </w:tcPr>
          <w:p w:rsidR="0065175E" w:rsidRDefault="0065175E" w:rsidP="0065175E">
            <w:pPr>
              <w:jc w:val="center"/>
            </w:pPr>
          </w:p>
        </w:tc>
        <w:tc>
          <w:tcPr>
            <w:tcW w:w="1648" w:type="dxa"/>
          </w:tcPr>
          <w:p w:rsidR="0065175E" w:rsidRDefault="0065175E" w:rsidP="0065175E">
            <w:pPr>
              <w:jc w:val="center"/>
            </w:pPr>
            <w:r>
              <w:t>-.270</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 (OCC) year adjusted</w:t>
            </w:r>
          </w:p>
        </w:tc>
        <w:tc>
          <w:tcPr>
            <w:tcW w:w="1648" w:type="dxa"/>
          </w:tcPr>
          <w:p w:rsidR="0065175E" w:rsidRDefault="0065175E" w:rsidP="0065175E">
            <w:pPr>
              <w:jc w:val="center"/>
            </w:pPr>
          </w:p>
        </w:tc>
        <w:tc>
          <w:tcPr>
            <w:tcW w:w="1648" w:type="dxa"/>
          </w:tcPr>
          <w:p w:rsidR="0065175E" w:rsidRDefault="0065175E" w:rsidP="0065175E">
            <w:pPr>
              <w:jc w:val="center"/>
            </w:pPr>
          </w:p>
        </w:tc>
        <w:tc>
          <w:tcPr>
            <w:tcW w:w="1648" w:type="dxa"/>
          </w:tcPr>
          <w:p w:rsidR="0065175E" w:rsidRDefault="0065175E" w:rsidP="0065175E">
            <w:pPr>
              <w:jc w:val="center"/>
            </w:pPr>
            <w:r>
              <w:t>-.333</w:t>
            </w:r>
          </w:p>
        </w:tc>
      </w:tr>
      <w:tr w:rsidR="0065175E" w:rsidTr="00DA758E">
        <w:tc>
          <w:tcPr>
            <w:tcW w:w="1672" w:type="dxa"/>
            <w:vMerge/>
          </w:tcPr>
          <w:p w:rsidR="0065175E" w:rsidRDefault="0065175E" w:rsidP="0065175E">
            <w:pPr>
              <w:jc w:val="center"/>
            </w:pPr>
          </w:p>
        </w:tc>
        <w:tc>
          <w:tcPr>
            <w:tcW w:w="2394" w:type="dxa"/>
          </w:tcPr>
          <w:p w:rsidR="0065175E" w:rsidRDefault="0065175E" w:rsidP="0065175E">
            <w:r>
              <w:t>ln (OCC) group/year adjusted</w:t>
            </w:r>
          </w:p>
        </w:tc>
        <w:tc>
          <w:tcPr>
            <w:tcW w:w="1648" w:type="dxa"/>
          </w:tcPr>
          <w:p w:rsidR="0065175E" w:rsidRDefault="0065175E" w:rsidP="0065175E">
            <w:pPr>
              <w:jc w:val="center"/>
            </w:pPr>
          </w:p>
        </w:tc>
        <w:tc>
          <w:tcPr>
            <w:tcW w:w="1648" w:type="dxa"/>
          </w:tcPr>
          <w:p w:rsidR="0065175E" w:rsidRDefault="0065175E" w:rsidP="0065175E">
            <w:pPr>
              <w:jc w:val="center"/>
            </w:pPr>
          </w:p>
        </w:tc>
        <w:tc>
          <w:tcPr>
            <w:tcW w:w="1648" w:type="dxa"/>
          </w:tcPr>
          <w:p w:rsidR="0065175E" w:rsidRDefault="0065175E" w:rsidP="0065175E">
            <w:pPr>
              <w:jc w:val="center"/>
            </w:pPr>
            <w:r>
              <w:t>-.396</w:t>
            </w:r>
          </w:p>
        </w:tc>
      </w:tr>
      <w:tr w:rsidR="009B24A4" w:rsidTr="00DA758E">
        <w:tc>
          <w:tcPr>
            <w:tcW w:w="1672" w:type="dxa"/>
            <w:vMerge/>
          </w:tcPr>
          <w:p w:rsidR="009B24A4" w:rsidRDefault="009B24A4" w:rsidP="00DA758E">
            <w:pPr>
              <w:jc w:val="center"/>
            </w:pPr>
          </w:p>
        </w:tc>
        <w:tc>
          <w:tcPr>
            <w:tcW w:w="2394" w:type="dxa"/>
          </w:tcPr>
          <w:p w:rsidR="009B24A4" w:rsidRPr="000D6E84" w:rsidRDefault="009B24A4" w:rsidP="00DA758E">
            <w:pP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r>
      <w:tr w:rsidR="009B24A4" w:rsidTr="00DA758E">
        <w:tc>
          <w:tcPr>
            <w:tcW w:w="1672" w:type="dxa"/>
            <w:vMerge w:val="restart"/>
          </w:tcPr>
          <w:p w:rsidR="009B24A4" w:rsidRDefault="009B24A4" w:rsidP="00DA758E">
            <w:pPr>
              <w:jc w:val="center"/>
            </w:pPr>
            <w:r>
              <w:t>1926-1930</w:t>
            </w:r>
          </w:p>
        </w:tc>
        <w:tc>
          <w:tcPr>
            <w:tcW w:w="2394" w:type="dxa"/>
          </w:tcPr>
          <w:p w:rsidR="009B24A4" w:rsidRPr="000D6E84" w:rsidRDefault="009B24A4" w:rsidP="00DA758E">
            <w:pPr>
              <w:rPr>
                <w:b/>
              </w:rPr>
            </w:pPr>
            <w:r w:rsidRPr="00B42791">
              <w:rPr>
                <w:b/>
              </w:rPr>
              <w:t>ln(earnings)</w:t>
            </w:r>
          </w:p>
        </w:tc>
        <w:tc>
          <w:tcPr>
            <w:tcW w:w="1648" w:type="dxa"/>
          </w:tcPr>
          <w:p w:rsidR="009B24A4" w:rsidRPr="000D6E84" w:rsidRDefault="009B24A4" w:rsidP="00DA758E">
            <w:pPr>
              <w:jc w:val="center"/>
              <w:rPr>
                <w:b/>
              </w:rPr>
            </w:pPr>
          </w:p>
        </w:tc>
        <w:tc>
          <w:tcPr>
            <w:tcW w:w="1648" w:type="dxa"/>
          </w:tcPr>
          <w:p w:rsidR="009B24A4" w:rsidRPr="000D6E84" w:rsidRDefault="009B24A4" w:rsidP="00DA758E">
            <w:pPr>
              <w:jc w:val="center"/>
              <w:rPr>
                <w:b/>
              </w:rPr>
            </w:pPr>
          </w:p>
        </w:tc>
        <w:tc>
          <w:tcPr>
            <w:tcW w:w="1648" w:type="dxa"/>
          </w:tcPr>
          <w:p w:rsidR="009B24A4" w:rsidRPr="000D6E84" w:rsidRDefault="009B24A4" w:rsidP="00DA758E">
            <w:pPr>
              <w:jc w:val="center"/>
              <w:rPr>
                <w:b/>
              </w:rPr>
            </w:pPr>
            <w:r w:rsidRPr="000D6E84">
              <w:rPr>
                <w:b/>
              </w:rPr>
              <w:t>-.524</w:t>
            </w:r>
          </w:p>
        </w:tc>
      </w:tr>
      <w:tr w:rsidR="0065175E" w:rsidTr="00DA758E">
        <w:tc>
          <w:tcPr>
            <w:tcW w:w="1672" w:type="dxa"/>
            <w:vMerge/>
          </w:tcPr>
          <w:p w:rsidR="0065175E" w:rsidRDefault="0065175E" w:rsidP="0065175E"/>
        </w:tc>
        <w:tc>
          <w:tcPr>
            <w:tcW w:w="2394" w:type="dxa"/>
          </w:tcPr>
          <w:p w:rsidR="0065175E" w:rsidRDefault="0065175E" w:rsidP="0065175E">
            <w:r>
              <w:t>ln(OCC) group adjusted</w:t>
            </w:r>
          </w:p>
        </w:tc>
        <w:tc>
          <w:tcPr>
            <w:tcW w:w="1648" w:type="dxa"/>
          </w:tcPr>
          <w:p w:rsidR="0065175E" w:rsidRDefault="0065175E" w:rsidP="0065175E">
            <w:pPr>
              <w:jc w:val="center"/>
            </w:pPr>
          </w:p>
        </w:tc>
        <w:tc>
          <w:tcPr>
            <w:tcW w:w="1648" w:type="dxa"/>
          </w:tcPr>
          <w:p w:rsidR="0065175E" w:rsidRDefault="0065175E" w:rsidP="0065175E">
            <w:pPr>
              <w:jc w:val="center"/>
            </w:pPr>
          </w:p>
        </w:tc>
        <w:tc>
          <w:tcPr>
            <w:tcW w:w="1648" w:type="dxa"/>
          </w:tcPr>
          <w:p w:rsidR="0065175E" w:rsidRDefault="0065175E" w:rsidP="0065175E">
            <w:pPr>
              <w:jc w:val="center"/>
            </w:pPr>
            <w:r>
              <w:t>-.277</w:t>
            </w:r>
          </w:p>
        </w:tc>
      </w:tr>
      <w:tr w:rsidR="0065175E" w:rsidTr="00DA758E">
        <w:tc>
          <w:tcPr>
            <w:tcW w:w="1672" w:type="dxa"/>
            <w:vMerge/>
          </w:tcPr>
          <w:p w:rsidR="0065175E" w:rsidRDefault="0065175E" w:rsidP="0065175E"/>
        </w:tc>
        <w:tc>
          <w:tcPr>
            <w:tcW w:w="2394" w:type="dxa"/>
          </w:tcPr>
          <w:p w:rsidR="0065175E" w:rsidRDefault="0065175E" w:rsidP="0065175E">
            <w:r>
              <w:t>ln (OCC) year adjusted</w:t>
            </w:r>
          </w:p>
        </w:tc>
        <w:tc>
          <w:tcPr>
            <w:tcW w:w="1648" w:type="dxa"/>
          </w:tcPr>
          <w:p w:rsidR="0065175E" w:rsidRDefault="0065175E" w:rsidP="0065175E">
            <w:pPr>
              <w:jc w:val="center"/>
            </w:pPr>
          </w:p>
        </w:tc>
        <w:tc>
          <w:tcPr>
            <w:tcW w:w="1648" w:type="dxa"/>
          </w:tcPr>
          <w:p w:rsidR="0065175E" w:rsidRDefault="0065175E" w:rsidP="0065175E">
            <w:pPr>
              <w:jc w:val="center"/>
            </w:pPr>
          </w:p>
        </w:tc>
        <w:tc>
          <w:tcPr>
            <w:tcW w:w="1648" w:type="dxa"/>
          </w:tcPr>
          <w:p w:rsidR="0065175E" w:rsidRDefault="0065175E" w:rsidP="0065175E">
            <w:pPr>
              <w:jc w:val="center"/>
            </w:pPr>
            <w:r>
              <w:t>-.349</w:t>
            </w:r>
          </w:p>
        </w:tc>
      </w:tr>
      <w:tr w:rsidR="0065175E" w:rsidTr="00DA758E">
        <w:tc>
          <w:tcPr>
            <w:tcW w:w="1672" w:type="dxa"/>
            <w:vMerge/>
          </w:tcPr>
          <w:p w:rsidR="0065175E" w:rsidRDefault="0065175E" w:rsidP="0065175E"/>
        </w:tc>
        <w:tc>
          <w:tcPr>
            <w:tcW w:w="2394" w:type="dxa"/>
          </w:tcPr>
          <w:p w:rsidR="0065175E" w:rsidRDefault="0065175E" w:rsidP="0065175E">
            <w:r>
              <w:t>ln (OCC) group/year adjusted</w:t>
            </w:r>
          </w:p>
        </w:tc>
        <w:tc>
          <w:tcPr>
            <w:tcW w:w="1648" w:type="dxa"/>
          </w:tcPr>
          <w:p w:rsidR="0065175E" w:rsidRDefault="0065175E" w:rsidP="0065175E">
            <w:pPr>
              <w:jc w:val="center"/>
            </w:pPr>
          </w:p>
        </w:tc>
        <w:tc>
          <w:tcPr>
            <w:tcW w:w="1648" w:type="dxa"/>
          </w:tcPr>
          <w:p w:rsidR="0065175E" w:rsidRDefault="0065175E" w:rsidP="0065175E">
            <w:pPr>
              <w:jc w:val="center"/>
            </w:pPr>
          </w:p>
        </w:tc>
        <w:tc>
          <w:tcPr>
            <w:tcW w:w="1648" w:type="dxa"/>
          </w:tcPr>
          <w:p w:rsidR="0065175E" w:rsidRDefault="0065175E" w:rsidP="0065175E">
            <w:pPr>
              <w:jc w:val="center"/>
            </w:pPr>
            <w:r>
              <w:t>-.415</w:t>
            </w:r>
          </w:p>
        </w:tc>
      </w:tr>
      <w:tr w:rsidR="009B24A4" w:rsidTr="00DA758E">
        <w:tc>
          <w:tcPr>
            <w:tcW w:w="1672" w:type="dxa"/>
            <w:vMerge/>
          </w:tcPr>
          <w:p w:rsidR="009B24A4" w:rsidRDefault="009B24A4" w:rsidP="00DA758E"/>
        </w:tc>
        <w:tc>
          <w:tcPr>
            <w:tcW w:w="2394" w:type="dxa"/>
          </w:tcPr>
          <w:p w:rsidR="009B24A4" w:rsidRPr="000D6E84" w:rsidRDefault="009B24A4" w:rsidP="00DA758E">
            <w:pP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c>
          <w:tcPr>
            <w:tcW w:w="1648" w:type="dxa"/>
          </w:tcPr>
          <w:p w:rsidR="009B24A4" w:rsidRPr="000D6E84" w:rsidRDefault="009B24A4" w:rsidP="00DA758E">
            <w:pPr>
              <w:jc w:val="center"/>
              <w:rPr>
                <w:i/>
              </w:rPr>
            </w:pPr>
          </w:p>
        </w:tc>
      </w:tr>
    </w:tbl>
    <w:p w:rsidR="00A55D13" w:rsidRDefault="000336A2" w:rsidP="000336A2">
      <w:r w:rsidRPr="00BF4669">
        <w:rPr>
          <w:u w:val="single"/>
        </w:rPr>
        <w:t>Notes</w:t>
      </w:r>
      <w:r>
        <w:t xml:space="preserve">: Summary of immigrant arrival cohort regression coefficients </w:t>
      </w:r>
      <m:oMath>
        <m:r>
          <w:rPr>
            <w:rFonts w:ascii="Cambria Math" w:hAnsi="Cambria Math"/>
          </w:rPr>
          <m:t xml:space="preserve">δ </m:t>
        </m:r>
      </m:oMath>
      <w:r>
        <w:t xml:space="preserve">estimates from </w:t>
      </w:r>
      <w:r w:rsidR="00F567EB">
        <w:t>Appendix Tables A</w:t>
      </w:r>
      <w:r w:rsidR="00A52C45">
        <w:t>5</w:t>
      </w:r>
      <w:r w:rsidR="00F567EB">
        <w:t xml:space="preserve"> to A</w:t>
      </w:r>
      <w:r w:rsidR="00A52C45">
        <w:t>7</w:t>
      </w:r>
      <w:r>
        <w:t xml:space="preserve">.  </w:t>
      </w:r>
      <w:r w:rsidR="005F64F8">
        <w:t xml:space="preserve">Source data are urban males ages 16-65 reporting occupation and earnings from the Canadian Census 1911, 1921 and 1931.  </w:t>
      </w:r>
      <w:r w:rsidR="00F567EB">
        <w:t>The native born are the reference group.</w:t>
      </w:r>
      <w:r>
        <w:t xml:space="preserve">  Rows compare cohort effects as </w:t>
      </w:r>
      <w:r w:rsidR="000E1DA3">
        <w:t>t</w:t>
      </w:r>
      <w:r w:rsidR="00A52C45">
        <w:t xml:space="preserve">he </w:t>
      </w:r>
      <w:r>
        <w:t xml:space="preserve">dependent variable changes from </w:t>
      </w:r>
      <w:r w:rsidR="00A52C45">
        <w:t>the log of</w:t>
      </w:r>
      <w:r>
        <w:t xml:space="preserve"> real annual earnings</w:t>
      </w:r>
      <w:r w:rsidR="00A52C45">
        <w:t xml:space="preserve"> to </w:t>
      </w:r>
      <w:r>
        <w:t>three alternative income measures</w:t>
      </w:r>
      <w:r w:rsidR="0031658F">
        <w:t xml:space="preserve"> described in the text.</w:t>
      </w:r>
      <w:r>
        <w:t xml:space="preserve"> Columns compare </w:t>
      </w:r>
      <w:r w:rsidR="00A52C45">
        <w:t xml:space="preserve">across </w:t>
      </w:r>
      <w:r>
        <w:t xml:space="preserve">census years. </w:t>
      </w:r>
      <w:r w:rsidR="005F64F8">
        <w:t xml:space="preserve"> </w:t>
      </w:r>
    </w:p>
    <w:p w:rsidR="000336A2" w:rsidRDefault="000336A2" w:rsidP="000336A2">
      <w:r>
        <w:t xml:space="preserve">  </w:t>
      </w:r>
    </w:p>
    <w:p w:rsidR="009B24A4" w:rsidRDefault="009B24A4">
      <w:pPr>
        <w:rPr>
          <w:rFonts w:ascii="Calibri" w:eastAsia="Times New Roman" w:hAnsi="Calibri" w:cs="Times New Roman"/>
          <w:color w:val="000000"/>
          <w:sz w:val="24"/>
          <w:szCs w:val="24"/>
          <w:lang w:eastAsia="en-US"/>
        </w:rPr>
        <w:sectPr w:rsidR="009B24A4" w:rsidSect="00C96D15">
          <w:pgSz w:w="11900" w:h="16840"/>
          <w:pgMar w:top="1440" w:right="1440" w:bottom="1440" w:left="1440" w:header="708" w:footer="708" w:gutter="0"/>
          <w:cols w:space="708"/>
          <w:docGrid w:linePitch="360"/>
        </w:sectPr>
      </w:pPr>
    </w:p>
    <w:p w:rsidR="0007489E" w:rsidRPr="00390DBB" w:rsidRDefault="0007489E" w:rsidP="0007489E">
      <w:pPr>
        <w:jc w:val="center"/>
        <w:outlineLvl w:val="0"/>
      </w:pPr>
      <w:r w:rsidRPr="00390DBB">
        <w:lastRenderedPageBreak/>
        <w:t>Figure 1: Unconditional Age-earnings Profiles, Canada 1911-31</w:t>
      </w:r>
    </w:p>
    <w:p w:rsidR="001B5A20" w:rsidRPr="00390DBB" w:rsidRDefault="001B5A20" w:rsidP="00317FA4">
      <w:pPr>
        <w:pStyle w:val="ListParagraph"/>
        <w:ind w:left="2520" w:firstLine="360"/>
        <w:outlineLvl w:val="0"/>
      </w:pPr>
      <w:r w:rsidRPr="00390DBB">
        <w:t>(i) Native Born</w:t>
      </w:r>
      <w:r w:rsidRPr="00390DBB">
        <w:tab/>
      </w:r>
      <w:r w:rsidRPr="00390DBB">
        <w:tab/>
      </w:r>
      <w:r w:rsidRPr="00390DBB">
        <w:tab/>
      </w:r>
      <w:r w:rsidRPr="00390DBB">
        <w:tab/>
      </w:r>
      <w:r w:rsidRPr="00390DBB">
        <w:tab/>
      </w:r>
      <w:r w:rsidRPr="00390DBB">
        <w:tab/>
      </w:r>
      <w:r w:rsidRPr="00390DBB">
        <w:tab/>
      </w:r>
      <w:r w:rsidRPr="00390DBB">
        <w:tab/>
        <w:t xml:space="preserve">       (ii) Foreign Born</w:t>
      </w:r>
    </w:p>
    <w:p w:rsidR="0007489E" w:rsidRDefault="0007489E" w:rsidP="0007489E">
      <w:r w:rsidRPr="00390DBB">
        <w:t xml:space="preserve"> </w:t>
      </w:r>
      <w:r w:rsidRPr="00390DBB">
        <w:rPr>
          <w:noProof/>
        </w:rPr>
        <w:t xml:space="preserve"> </w:t>
      </w:r>
      <w:r w:rsidRPr="00390DBB">
        <w:rPr>
          <w:noProof/>
        </w:rPr>
        <w:drawing>
          <wp:inline distT="0" distB="0" distL="0" distR="0" wp14:anchorId="68AB89A3" wp14:editId="17CC295B">
            <wp:extent cx="4258440" cy="309489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0014" cy="3103303"/>
                    </a:xfrm>
                    <a:prstGeom prst="rect">
                      <a:avLst/>
                    </a:prstGeom>
                    <a:noFill/>
                    <a:ln>
                      <a:noFill/>
                    </a:ln>
                  </pic:spPr>
                </pic:pic>
              </a:graphicData>
            </a:graphic>
          </wp:inline>
        </w:drawing>
      </w:r>
      <w:r w:rsidRPr="00390DBB">
        <w:t xml:space="preserve"> </w:t>
      </w:r>
      <w:r w:rsidRPr="00390DBB">
        <w:rPr>
          <w:noProof/>
        </w:rPr>
        <w:drawing>
          <wp:inline distT="0" distB="0" distL="0" distR="0" wp14:anchorId="0E5B3432" wp14:editId="5BEE151D">
            <wp:extent cx="4304713" cy="312374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4713" cy="3123747"/>
                    </a:xfrm>
                    <a:prstGeom prst="rect">
                      <a:avLst/>
                    </a:prstGeom>
                    <a:noFill/>
                    <a:ln>
                      <a:noFill/>
                    </a:ln>
                  </pic:spPr>
                </pic:pic>
              </a:graphicData>
            </a:graphic>
          </wp:inline>
        </w:drawing>
      </w:r>
    </w:p>
    <w:p w:rsidR="0007489E" w:rsidRPr="00773B37" w:rsidRDefault="0007489E" w:rsidP="0007489E">
      <w:r w:rsidRPr="00BF4669">
        <w:rPr>
          <w:rFonts w:cs="Times"/>
          <w:color w:val="000000"/>
          <w:szCs w:val="26"/>
          <w:u w:val="single"/>
          <w:lang w:val="en-US"/>
        </w:rPr>
        <w:t>Notes</w:t>
      </w:r>
      <w:r>
        <w:rPr>
          <w:rFonts w:cs="Times"/>
          <w:color w:val="000000"/>
          <w:szCs w:val="26"/>
          <w:lang w:val="en-US"/>
        </w:rPr>
        <w:t>: Means of log earnings measures by individual age from pooled Canadian Census data, 1911, 1921 and 1931. Data restricted to urban males with b</w:t>
      </w:r>
      <w:r w:rsidRPr="00773B37">
        <w:rPr>
          <w:rFonts w:cs="Times"/>
          <w:color w:val="000000"/>
          <w:szCs w:val="26"/>
          <w:lang w:val="en-US"/>
        </w:rPr>
        <w:t xml:space="preserve">irth years 1866-1985. </w:t>
      </w:r>
      <w:r>
        <w:rPr>
          <w:rFonts w:cs="Times"/>
          <w:color w:val="000000"/>
          <w:szCs w:val="26"/>
          <w:lang w:val="en-US"/>
        </w:rPr>
        <w:t>ln(Earnings) is real annual earnings reported in the data. ln(OCC)</w:t>
      </w:r>
      <w:r w:rsidRPr="00773B37">
        <w:rPr>
          <w:rFonts w:cs="Times"/>
          <w:color w:val="000000"/>
          <w:szCs w:val="26"/>
          <w:lang w:val="en-US"/>
        </w:rPr>
        <w:t xml:space="preserve"> is the 3-digit </w:t>
      </w:r>
      <w:r>
        <w:rPr>
          <w:rFonts w:cs="Times"/>
          <w:color w:val="000000"/>
          <w:szCs w:val="26"/>
          <w:lang w:val="en-US"/>
        </w:rPr>
        <w:t xml:space="preserve">1911 </w:t>
      </w:r>
      <w:r w:rsidRPr="00773B37">
        <w:rPr>
          <w:rFonts w:cs="Times"/>
          <w:color w:val="000000"/>
          <w:szCs w:val="26"/>
          <w:lang w:val="en-US"/>
        </w:rPr>
        <w:t>occupation</w:t>
      </w:r>
      <w:r>
        <w:rPr>
          <w:rFonts w:cs="Times"/>
          <w:color w:val="000000"/>
          <w:szCs w:val="26"/>
          <w:lang w:val="en-US"/>
        </w:rPr>
        <w:t>al average earnings, imposed on the full pooled sample.  Shading indicates</w:t>
      </w:r>
      <w:r w:rsidRPr="00773B37">
        <w:rPr>
          <w:rFonts w:cs="Times"/>
          <w:color w:val="000000"/>
          <w:szCs w:val="26"/>
          <w:lang w:val="en-US"/>
        </w:rPr>
        <w:t xml:space="preserve"> 95% confidence interval. </w:t>
      </w:r>
    </w:p>
    <w:p w:rsidR="0007489E" w:rsidRDefault="0007489E" w:rsidP="00D477E0">
      <w:pPr>
        <w:jc w:val="center"/>
        <w:outlineLvl w:val="0"/>
        <w:sectPr w:rsidR="0007489E" w:rsidSect="00317FA4">
          <w:pgSz w:w="16840" w:h="11900" w:orient="landscape"/>
          <w:pgMar w:top="1440" w:right="1440" w:bottom="1440" w:left="1440" w:header="708" w:footer="708" w:gutter="0"/>
          <w:cols w:space="708"/>
          <w:docGrid w:linePitch="360"/>
        </w:sectPr>
      </w:pPr>
    </w:p>
    <w:p w:rsidR="006B3264" w:rsidRDefault="006B3264">
      <w:pPr>
        <w:jc w:val="center"/>
        <w:outlineLvl w:val="0"/>
      </w:pPr>
      <w:r>
        <w:lastRenderedPageBreak/>
        <w:t xml:space="preserve">Figure </w:t>
      </w:r>
      <w:r w:rsidR="000C3299">
        <w:t>3</w:t>
      </w:r>
      <w:r>
        <w:t>: Earnings by occupation and nativity group, 1931</w:t>
      </w:r>
    </w:p>
    <w:p w:rsidR="007A7654" w:rsidRDefault="00AC6B36" w:rsidP="00773B37">
      <w:pPr>
        <w:jc w:val="center"/>
      </w:pPr>
      <w:r>
        <w:rPr>
          <w:noProof/>
        </w:rPr>
        <w:drawing>
          <wp:inline distT="0" distB="0" distL="0" distR="0" wp14:anchorId="4BF675C3" wp14:editId="49109840">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S_06_11_18_figure_3.eps"/>
                    <pic:cNvPicPr/>
                  </pic:nvPicPr>
                  <pic:blipFill>
                    <a:blip r:embed="rId14">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387E56" w:rsidRDefault="00317E25" w:rsidP="00AD7D04">
      <w:pPr>
        <w:spacing w:after="0" w:line="240" w:lineRule="auto"/>
        <w:contextualSpacing/>
      </w:pPr>
      <w:r w:rsidRPr="00BF4669">
        <w:rPr>
          <w:u w:val="single"/>
        </w:rPr>
        <w:t>Notes</w:t>
      </w:r>
      <w:r>
        <w:t xml:space="preserve">: Bars plot the log of actual real annual earnings of </w:t>
      </w:r>
      <w:r w:rsidR="009F66DC">
        <w:t xml:space="preserve">immigrants and </w:t>
      </w:r>
      <w:r>
        <w:t xml:space="preserve">the native-born in </w:t>
      </w:r>
      <w:r w:rsidR="009F66DC">
        <w:t xml:space="preserve">(1-digit) major occupation groups in </w:t>
      </w:r>
      <w:r>
        <w:t>the 1931 Canadian Census.  Data restricted to urban males born 1886-1895.  Whiskers indicate 2 standard deviations in earnings.</w:t>
      </w:r>
    </w:p>
    <w:p w:rsidR="00387E56" w:rsidRDefault="00387E56">
      <w:pPr>
        <w:spacing w:after="0" w:line="360" w:lineRule="auto"/>
      </w:pPr>
    </w:p>
    <w:p w:rsidR="006B3264" w:rsidRDefault="006B3264">
      <w:pPr>
        <w:spacing w:after="0" w:line="360" w:lineRule="auto"/>
      </w:pPr>
    </w:p>
    <w:p w:rsidR="00CC184D" w:rsidRDefault="00CC184D"/>
    <w:p w:rsidR="00377A84" w:rsidRDefault="00377A84"/>
    <w:p w:rsidR="00377A84" w:rsidRDefault="00377A84"/>
    <w:p w:rsidR="00377A84" w:rsidRDefault="00377A84"/>
    <w:p w:rsidR="00377A84" w:rsidRDefault="00377A84"/>
    <w:p w:rsidR="00377A84" w:rsidRDefault="00377A84"/>
    <w:p w:rsidR="00377A84" w:rsidRDefault="00377A84"/>
    <w:p w:rsidR="00377A84" w:rsidRDefault="00377A84"/>
    <w:p w:rsidR="003E5CE4" w:rsidRDefault="003E5CE4" w:rsidP="00AD7D04">
      <w:pPr>
        <w:rPr>
          <w:rFonts w:cs="Times New Roman"/>
          <w:b/>
          <w:color w:val="000000" w:themeColor="text1"/>
        </w:rPr>
      </w:pPr>
    </w:p>
    <w:p w:rsidR="00BD3353" w:rsidRDefault="00BD3353" w:rsidP="00AD7D04">
      <w:pPr>
        <w:rPr>
          <w:rFonts w:cs="Times New Roman"/>
          <w:color w:val="000000" w:themeColor="text1"/>
        </w:rPr>
      </w:pPr>
    </w:p>
    <w:p w:rsidR="00F54B1A" w:rsidRPr="00BD3353" w:rsidRDefault="00F54B1A" w:rsidP="00AD7D04">
      <w:pPr>
        <w:rPr>
          <w:rFonts w:cs="Times New Roman"/>
          <w:color w:val="000000" w:themeColor="text1"/>
        </w:rPr>
      </w:pPr>
    </w:p>
    <w:sectPr w:rsidR="00F54B1A" w:rsidRPr="00BD3353" w:rsidSect="00AC17D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19" w:rsidRDefault="00242319" w:rsidP="00E6549A">
      <w:pPr>
        <w:spacing w:after="0" w:line="240" w:lineRule="auto"/>
      </w:pPr>
      <w:r>
        <w:separator/>
      </w:r>
    </w:p>
  </w:endnote>
  <w:endnote w:type="continuationSeparator" w:id="0">
    <w:p w:rsidR="00242319" w:rsidRDefault="00242319" w:rsidP="00E6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de">
    <w:altName w:val="Code"/>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qirockvoohlnqszjocenjxixin">
    <w:altName w:val="Calibri"/>
    <w:panose1 w:val="00000000000000000000"/>
    <w:charset w:val="00"/>
    <w:family w:val="auto"/>
    <w:notTrueType/>
    <w:pitch w:val="default"/>
    <w:sig w:usb0="00000003" w:usb1="00000000" w:usb2="00000000" w:usb3="00000000" w:csb0="00000001" w:csb1="00000000"/>
  </w:font>
  <w:font w:name="font000000001e889311">
    <w:altName w:val="Calibri"/>
    <w:panose1 w:val="00000000000000000000"/>
    <w:charset w:val="00"/>
    <w:family w:val="auto"/>
    <w:notTrueType/>
    <w:pitch w:val="default"/>
    <w:sig w:usb0="00000003" w:usb1="00000000" w:usb2="00000000" w:usb3="00000000" w:csb0="00000001" w:csb1="00000000"/>
  </w:font>
  <w:font w:name="font000000001e872684">
    <w:altName w:val="Calibri"/>
    <w:panose1 w:val="00000000000000000000"/>
    <w:charset w:val="00"/>
    <w:family w:val="auto"/>
    <w:notTrueType/>
    <w:pitch w:val="default"/>
    <w:sig w:usb0="00000003" w:usb1="00000000" w:usb2="00000000" w:usb3="00000000" w:csb0="00000001" w:csb1="00000000"/>
  </w:font>
  <w:font w:name="NexusSansWebPr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466837"/>
      <w:docPartObj>
        <w:docPartGallery w:val="Page Numbers (Bottom of Page)"/>
        <w:docPartUnique/>
      </w:docPartObj>
    </w:sdtPr>
    <w:sdtEndPr>
      <w:rPr>
        <w:noProof/>
      </w:rPr>
    </w:sdtEndPr>
    <w:sdtContent>
      <w:p w:rsidR="00D13082" w:rsidRDefault="00D13082">
        <w:pPr>
          <w:pStyle w:val="Footer"/>
          <w:jc w:val="right"/>
        </w:pPr>
        <w:r>
          <w:fldChar w:fldCharType="begin"/>
        </w:r>
        <w:r>
          <w:instrText xml:space="preserve"> PAGE   \* MERGEFORMAT </w:instrText>
        </w:r>
        <w:r>
          <w:fldChar w:fldCharType="separate"/>
        </w:r>
        <w:r w:rsidR="00BB5AE3">
          <w:rPr>
            <w:noProof/>
          </w:rPr>
          <w:t>1</w:t>
        </w:r>
        <w:r>
          <w:rPr>
            <w:noProof/>
          </w:rPr>
          <w:fldChar w:fldCharType="end"/>
        </w:r>
      </w:p>
    </w:sdtContent>
  </w:sdt>
  <w:p w:rsidR="00D13082" w:rsidRDefault="00D13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19" w:rsidRDefault="00242319" w:rsidP="00E6549A">
      <w:pPr>
        <w:spacing w:after="0" w:line="240" w:lineRule="auto"/>
      </w:pPr>
      <w:r>
        <w:separator/>
      </w:r>
    </w:p>
  </w:footnote>
  <w:footnote w:type="continuationSeparator" w:id="0">
    <w:p w:rsidR="00242319" w:rsidRDefault="00242319" w:rsidP="00E6549A">
      <w:pPr>
        <w:spacing w:after="0" w:line="240" w:lineRule="auto"/>
      </w:pPr>
      <w:r>
        <w:continuationSeparator/>
      </w:r>
    </w:p>
  </w:footnote>
  <w:footnote w:id="1">
    <w:p w:rsidR="00D13082" w:rsidRDefault="00D13082" w:rsidP="00D13B6E">
      <w:pPr>
        <w:rPr>
          <w:rFonts w:eastAsia="Times New Roman"/>
        </w:rPr>
      </w:pPr>
      <w:r>
        <w:rPr>
          <w:rStyle w:val="FootnoteReference"/>
        </w:rPr>
        <w:footnoteRef/>
      </w:r>
      <w:r>
        <w:t xml:space="preserve"> </w:t>
      </w:r>
      <w:r w:rsidRPr="00BF4669">
        <w:rPr>
          <w:rFonts w:cstheme="minorHAnsi"/>
          <w:sz w:val="20"/>
          <w:szCs w:val="20"/>
        </w:rPr>
        <w:t>We thank</w:t>
      </w:r>
      <w:r>
        <w:rPr>
          <w:rFonts w:cstheme="minorHAnsi"/>
          <w:sz w:val="20"/>
          <w:szCs w:val="20"/>
        </w:rPr>
        <w:t xml:space="preserve"> </w:t>
      </w:r>
      <w:r w:rsidRPr="00BF4669">
        <w:rPr>
          <w:rFonts w:cstheme="minorHAnsi"/>
          <w:sz w:val="20"/>
          <w:szCs w:val="20"/>
        </w:rPr>
        <w:t>Ian Keay, Ariel Zimran, seminar participants at LSE</w:t>
      </w:r>
      <w:r>
        <w:rPr>
          <w:rFonts w:cstheme="minorHAnsi"/>
          <w:sz w:val="20"/>
          <w:szCs w:val="20"/>
        </w:rPr>
        <w:t xml:space="preserve"> and</w:t>
      </w:r>
      <w:r w:rsidRPr="00BF4669">
        <w:rPr>
          <w:rFonts w:cstheme="minorHAnsi"/>
          <w:sz w:val="20"/>
          <w:szCs w:val="20"/>
        </w:rPr>
        <w:t xml:space="preserve"> Lakehead</w:t>
      </w:r>
      <w:r>
        <w:rPr>
          <w:rFonts w:cstheme="minorHAnsi"/>
          <w:sz w:val="20"/>
          <w:szCs w:val="20"/>
        </w:rPr>
        <w:t xml:space="preserve"> University,</w:t>
      </w:r>
      <w:r w:rsidRPr="00BF4669">
        <w:rPr>
          <w:rFonts w:cstheme="minorHAnsi"/>
          <w:sz w:val="20"/>
          <w:szCs w:val="20"/>
        </w:rPr>
        <w:t xml:space="preserve"> and conference participants at the 2015 Canadian Economics Association</w:t>
      </w:r>
      <w:r>
        <w:rPr>
          <w:rFonts w:cstheme="minorHAnsi"/>
          <w:sz w:val="20"/>
          <w:szCs w:val="20"/>
        </w:rPr>
        <w:t xml:space="preserve">, the 2015 </w:t>
      </w:r>
      <w:r w:rsidRPr="00BF4669">
        <w:rPr>
          <w:rFonts w:cstheme="minorHAnsi"/>
          <w:sz w:val="20"/>
          <w:szCs w:val="20"/>
        </w:rPr>
        <w:t>European Historical Economics Society meetings</w:t>
      </w:r>
      <w:r>
        <w:rPr>
          <w:rFonts w:cstheme="minorHAnsi"/>
          <w:sz w:val="20"/>
          <w:szCs w:val="20"/>
        </w:rPr>
        <w:t xml:space="preserve">, and </w:t>
      </w:r>
      <w:r w:rsidRPr="00BF4669">
        <w:rPr>
          <w:rFonts w:cstheme="minorHAnsi"/>
          <w:sz w:val="20"/>
          <w:szCs w:val="20"/>
        </w:rPr>
        <w:t xml:space="preserve">the 2016 Social Science History Association for helpful comments.  </w:t>
      </w:r>
      <w:r>
        <w:rPr>
          <w:rFonts w:cstheme="minorHAnsi"/>
          <w:sz w:val="20"/>
          <w:szCs w:val="20"/>
        </w:rPr>
        <w:t xml:space="preserve">We have also benefitted from advice from the editor of this journal and two anonymous referees.  </w:t>
      </w:r>
      <w:r w:rsidRPr="00BF4669">
        <w:rPr>
          <w:rFonts w:cstheme="minorHAnsi"/>
          <w:sz w:val="20"/>
          <w:szCs w:val="20"/>
        </w:rPr>
        <w:t>This research was supported by funds to the Canadian Research Data Centre Network (CRDCN) from the Social Sciences and Humanities Research Council (SSHRC), the Canadian Institute for Health Research (CIHR), the Canadian Foundation for Innovation (CFI), and Statistics Canada. Although the research and analysis are based on data from Statistics Canada, the opinions expressed do not represent the views of Statistics Canada.</w:t>
      </w:r>
      <w:r>
        <w:rPr>
          <w:rFonts w:cstheme="minorHAnsi"/>
          <w:sz w:val="20"/>
          <w:szCs w:val="20"/>
        </w:rPr>
        <w:t xml:space="preserve">  A full Appendix is available on-line at </w:t>
      </w:r>
      <w:hyperlink r:id="rId1" w:history="1">
        <w:r w:rsidRPr="00432616">
          <w:rPr>
            <w:rStyle w:val="Hyperlink"/>
            <w:rFonts w:cstheme="minorHAnsi"/>
            <w:sz w:val="20"/>
            <w:szCs w:val="20"/>
          </w:rPr>
          <w:t>http://www.lse.ac.uk/Economic-History/Assets/Documents/WorkingPapers/Economic-History/2018/WP292.pdf</w:t>
        </w:r>
      </w:hyperlink>
      <w:r>
        <w:rPr>
          <w:rFonts w:cstheme="minorHAnsi"/>
          <w:sz w:val="20"/>
          <w:szCs w:val="20"/>
        </w:rPr>
        <w:t>.   Stata codes and instructions on how to access CCRI data are posted in Open-IC</w:t>
      </w:r>
      <w:r w:rsidRPr="00D13B6E">
        <w:rPr>
          <w:rFonts w:cstheme="minorHAnsi"/>
          <w:sz w:val="20"/>
          <w:szCs w:val="20"/>
        </w:rPr>
        <w:t xml:space="preserve">PSR at </w:t>
      </w:r>
      <w:hyperlink r:id="rId2" w:history="1">
        <w:r w:rsidRPr="00D13B6E">
          <w:rPr>
            <w:rStyle w:val="Hyperlink"/>
            <w:rFonts w:eastAsia="Times New Roman" w:cstheme="minorHAnsi"/>
            <w:sz w:val="20"/>
            <w:szCs w:val="20"/>
            <w:shd w:val="clear" w:color="auto" w:fill="F5F5F5"/>
          </w:rPr>
          <w:t>http://doi.org/10.3886/E107288V1</w:t>
        </w:r>
      </w:hyperlink>
      <w:r>
        <w:rPr>
          <w:rFonts w:eastAsia="Times New Roman" w:cstheme="minorHAnsi"/>
          <w:color w:val="333333"/>
          <w:sz w:val="20"/>
          <w:szCs w:val="20"/>
          <w:shd w:val="clear" w:color="auto" w:fill="F5F5F5"/>
        </w:rPr>
        <w:t>.</w:t>
      </w:r>
    </w:p>
    <w:p w:rsidR="00D13082" w:rsidRPr="00BF4669" w:rsidRDefault="00D13082" w:rsidP="00C96D15">
      <w:pPr>
        <w:ind w:right="855"/>
        <w:rPr>
          <w:rFonts w:cstheme="minorHAnsi"/>
          <w:sz w:val="20"/>
          <w:szCs w:val="20"/>
        </w:rPr>
      </w:pPr>
    </w:p>
    <w:p w:rsidR="00D13082" w:rsidRPr="0071617E" w:rsidRDefault="00D13082" w:rsidP="001638B9">
      <w:pPr>
        <w:pStyle w:val="FootnoteText"/>
      </w:pPr>
    </w:p>
  </w:footnote>
  <w:footnote w:id="2">
    <w:p w:rsidR="00D13082" w:rsidRDefault="00D13082">
      <w:pPr>
        <w:pStyle w:val="FootnoteText"/>
      </w:pPr>
      <w:r>
        <w:rPr>
          <w:rStyle w:val="FootnoteReference"/>
        </w:rPr>
        <w:footnoteRef/>
      </w:r>
      <w:r>
        <w:t xml:space="preserve"> </w:t>
      </w:r>
      <w:r w:rsidRPr="00390DBB">
        <w:t>A comprehensive list of studies using occupational income scores is listed in an accompanying on-line appendix (</w:t>
      </w:r>
      <w:r w:rsidRPr="00163A97">
        <w:t>http://www.lse.ac.uk/Economic-History/Assets/Documents/WorkingPapers/Economic-History/2018/WP292.pdf</w:t>
      </w:r>
      <w:r w:rsidRPr="0056284A">
        <w:t>)</w:t>
      </w:r>
      <w:r w:rsidRPr="00390DBB">
        <w:t>.</w:t>
      </w:r>
    </w:p>
  </w:footnote>
  <w:footnote w:id="3">
    <w:p w:rsidR="00D13082" w:rsidRDefault="00D13082">
      <w:pPr>
        <w:pStyle w:val="FootnoteText"/>
      </w:pPr>
      <w:r w:rsidRPr="00390DBB">
        <w:rPr>
          <w:rStyle w:val="FootnoteReference"/>
        </w:rPr>
        <w:footnoteRef/>
      </w:r>
      <w:r w:rsidRPr="00390DBB">
        <w:t xml:space="preserve"> The performance of income scores has been examined in more detail when estimating intergenerational economic mobility.  Feigenbaum (2015) argues that income scores perform reasonably well as compared to individual earnings, while Saavedra and Twinam (2018) propose characteristics-adjusted income scores that yield plausible results.  In a different literature, Modalsli (2915) attempts to correct for missing within-group variation in calculating historical income inequality.</w:t>
      </w:r>
    </w:p>
  </w:footnote>
  <w:footnote w:id="4">
    <w:p w:rsidR="00D13082" w:rsidRDefault="00D13082">
      <w:pPr>
        <w:pStyle w:val="FootnoteText"/>
      </w:pPr>
      <w:r>
        <w:rPr>
          <w:rStyle w:val="FootnoteReference"/>
        </w:rPr>
        <w:footnoteRef/>
      </w:r>
      <w:r>
        <w:t xml:space="preserve"> More detail on immigrant assimilation in early 20</w:t>
      </w:r>
      <w:r w:rsidRPr="00D91045">
        <w:rPr>
          <w:vertAlign w:val="superscript"/>
        </w:rPr>
        <w:t>th</w:t>
      </w:r>
      <w:r>
        <w:t xml:space="preserve"> century Canada is available in Inwood, Minns, and Summerfield (2016).</w:t>
      </w:r>
    </w:p>
  </w:footnote>
  <w:footnote w:id="5">
    <w:p w:rsidR="00D13082" w:rsidRDefault="00D13082" w:rsidP="00E85BE4">
      <w:pPr>
        <w:pStyle w:val="FootnoteText"/>
      </w:pPr>
      <w:r>
        <w:rPr>
          <w:rStyle w:val="FootnoteReference"/>
        </w:rPr>
        <w:footnoteRef/>
      </w:r>
      <w:r>
        <w:t xml:space="preserve"> </w:t>
      </w:r>
      <w:r w:rsidRPr="00730A1B">
        <w:rPr>
          <w:rFonts w:cstheme="minorHAnsi"/>
        </w:rPr>
        <w:t xml:space="preserve">Even if panel data are available, fixed-effects estimates will </w:t>
      </w:r>
      <w:r>
        <w:rPr>
          <w:rFonts w:cstheme="minorHAnsi"/>
        </w:rPr>
        <w:t>not account for any time-varying</w:t>
      </w:r>
      <w:r w:rsidRPr="00730A1B">
        <w:rPr>
          <w:rFonts w:cstheme="minorHAnsi"/>
        </w:rPr>
        <w:t xml:space="preserve"> components of </w:t>
      </w:r>
      <w:r w:rsidRPr="00730A1B">
        <w:rPr>
          <w:rFonts w:cstheme="minorHAnsi"/>
          <w:i/>
        </w:rPr>
        <w:t>e</w:t>
      </w:r>
      <w:r w:rsidRPr="00AD7D04">
        <w:rPr>
          <w:rFonts w:cstheme="minorHAnsi"/>
          <w:i/>
          <w:vertAlign w:val="subscript"/>
        </w:rPr>
        <w:t>io</w:t>
      </w:r>
      <w:r w:rsidRPr="004F3B23">
        <w:rPr>
          <w:rFonts w:cstheme="minorHAnsi"/>
        </w:rPr>
        <w:t xml:space="preserve">. </w:t>
      </w:r>
      <w:r w:rsidRPr="00730A1B">
        <w:rPr>
          <w:rFonts w:cstheme="minorHAnsi"/>
        </w:rPr>
        <w:t xml:space="preserve"> Because fixed-effect is a within-estimator, </w:t>
      </w:r>
      <w:r>
        <w:rPr>
          <w:rFonts w:cstheme="minorHAnsi"/>
        </w:rPr>
        <w:t>the variation used in estimation will come only from individuals</w:t>
      </w:r>
      <w:r w:rsidRPr="00730A1B">
        <w:rPr>
          <w:rFonts w:cstheme="minorHAnsi"/>
        </w:rPr>
        <w:t xml:space="preserve"> </w:t>
      </w:r>
      <w:r>
        <w:rPr>
          <w:rFonts w:cstheme="minorHAnsi"/>
        </w:rPr>
        <w:t>for whom</w:t>
      </w:r>
      <w:r w:rsidRPr="00730A1B">
        <w:rPr>
          <w:rFonts w:cstheme="minorHAnsi"/>
        </w:rPr>
        <w:t xml:space="preserve"> the dependent variable </w:t>
      </w:r>
      <w:r>
        <w:rPr>
          <w:rFonts w:cstheme="minorHAnsi"/>
        </w:rPr>
        <w:t xml:space="preserve">changes </w:t>
      </w:r>
      <w:r w:rsidRPr="00730A1B">
        <w:rPr>
          <w:rFonts w:cstheme="minorHAnsi"/>
        </w:rPr>
        <w:t xml:space="preserve">over time, in this case occupation switchers.  Thus </w:t>
      </w:r>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β</m:t>
                </m:r>
              </m:e>
            </m:acc>
          </m:e>
          <m:sub>
            <m:r>
              <w:rPr>
                <w:rFonts w:ascii="Cambria Math" w:hAnsi="Cambria Math" w:cstheme="minorHAnsi"/>
              </w:rPr>
              <m:t>k</m:t>
            </m:r>
          </m:sub>
        </m:sSub>
      </m:oMath>
      <w:r w:rsidRPr="00730A1B">
        <w:rPr>
          <w:rFonts w:cstheme="minorHAnsi"/>
        </w:rPr>
        <w:t xml:space="preserve"> will be a good estimate for </w:t>
      </w:r>
      <w:r>
        <w:rPr>
          <w:rFonts w:cstheme="minorHAnsi"/>
        </w:rPr>
        <w:t>the</w:t>
      </w:r>
      <w:r w:rsidRPr="00730A1B">
        <w:rPr>
          <w:rFonts w:cstheme="minorHAnsi"/>
        </w:rPr>
        <w:t xml:space="preserve"> select group of individuals who change occupation </w:t>
      </w:r>
      <w:r>
        <w:rPr>
          <w:rFonts w:cstheme="minorHAnsi"/>
        </w:rPr>
        <w:t>while remaining at the same relative location</w:t>
      </w:r>
      <w:r w:rsidRPr="00730A1B">
        <w:rPr>
          <w:rFonts w:cstheme="minorHAnsi"/>
        </w:rPr>
        <w:t xml:space="preserve"> within </w:t>
      </w:r>
      <w:r>
        <w:rPr>
          <w:rFonts w:cstheme="minorHAnsi"/>
        </w:rPr>
        <w:t xml:space="preserve">the </w:t>
      </w:r>
      <w:r w:rsidRPr="00730A1B">
        <w:rPr>
          <w:rFonts w:cstheme="minorHAnsi"/>
        </w:rPr>
        <w:t>earnings distribution</w:t>
      </w:r>
      <w:r>
        <w:rPr>
          <w:rFonts w:cstheme="minorHAnsi"/>
        </w:rPr>
        <w:t xml:space="preserve"> of their new occupation, </w:t>
      </w:r>
      <w:r w:rsidRPr="00730A1B">
        <w:rPr>
          <w:rFonts w:cstheme="minorHAnsi"/>
        </w:rPr>
        <w:t xml:space="preserve">so as to make </w:t>
      </w:r>
      <w:r w:rsidRPr="002D5AFA">
        <w:rPr>
          <w:rFonts w:cstheme="minorHAnsi"/>
          <w:i/>
          <w:iCs/>
        </w:rPr>
        <w:t>e</w:t>
      </w:r>
      <w:r w:rsidRPr="00AD7D04">
        <w:rPr>
          <w:rFonts w:cstheme="minorHAnsi"/>
          <w:i/>
          <w:iCs/>
          <w:vertAlign w:val="subscript"/>
        </w:rPr>
        <w:t>io</w:t>
      </w:r>
      <w:r w:rsidRPr="00730A1B">
        <w:rPr>
          <w:rFonts w:cstheme="minorHAnsi"/>
        </w:rPr>
        <w:t xml:space="preserve"> time invariant.</w:t>
      </w:r>
    </w:p>
  </w:footnote>
  <w:footnote w:id="6">
    <w:p w:rsidR="00D13082" w:rsidRDefault="00D13082">
      <w:pPr>
        <w:pStyle w:val="FootnoteText"/>
      </w:pPr>
      <w:r>
        <w:rPr>
          <w:rStyle w:val="FootnoteReference"/>
        </w:rPr>
        <w:footnoteRef/>
      </w:r>
      <w:r>
        <w:t xml:space="preserve"> Over 80 percent of workers we would normally think of as employees reported earnings in all three censuses, but less than 20 percent of farmers, and only 50 to 60 percent of professionals and proprietors.</w:t>
      </w:r>
    </w:p>
  </w:footnote>
  <w:footnote w:id="7">
    <w:p w:rsidR="00D13082" w:rsidRPr="003B7E79" w:rsidRDefault="00D13082" w:rsidP="008D0EA3">
      <w:pPr>
        <w:pStyle w:val="FootnoteText"/>
        <w:rPr>
          <w:sz w:val="22"/>
          <w:szCs w:val="22"/>
        </w:rPr>
      </w:pPr>
      <w:r w:rsidRPr="00E44BDE">
        <w:rPr>
          <w:rStyle w:val="FootnoteReference"/>
          <w:sz w:val="22"/>
          <w:szCs w:val="22"/>
        </w:rPr>
        <w:footnoteRef/>
      </w:r>
      <w:r w:rsidRPr="00E44BDE">
        <w:rPr>
          <w:sz w:val="22"/>
          <w:szCs w:val="22"/>
        </w:rPr>
        <w:t xml:space="preserve"> </w:t>
      </w:r>
      <w:r w:rsidRPr="00BF4669">
        <w:t xml:space="preserve">“Farmer” is probably the most difficult occupation </w:t>
      </w:r>
      <w:r>
        <w:t xml:space="preserve">to </w:t>
      </w:r>
      <w:r w:rsidRPr="00BF4669">
        <w:t>represent with an occupation score (see Minns, 2000).</w:t>
      </w:r>
      <w:r w:rsidRPr="00E44BDE">
        <w:rPr>
          <w:sz w:val="22"/>
          <w:szCs w:val="22"/>
        </w:rPr>
        <w:t xml:space="preserve">   </w:t>
      </w:r>
    </w:p>
  </w:footnote>
  <w:footnote w:id="8">
    <w:p w:rsidR="00D13082" w:rsidRDefault="00D13082">
      <w:pPr>
        <w:pStyle w:val="FootnoteText"/>
      </w:pPr>
      <w:r>
        <w:rPr>
          <w:rStyle w:val="FootnoteReference"/>
        </w:rPr>
        <w:footnoteRef/>
      </w:r>
      <w:r>
        <w:t xml:space="preserve"> More detailed results that break the foreign-born population into “free” migrants arriving from English-speaking countries with few policy restrictions (United States, United Kingdom, and Ireland) and “other” migrants arriving mostly from continental Europe.  These results are available from the authors on request.  </w:t>
      </w:r>
    </w:p>
  </w:footnote>
  <w:footnote w:id="9">
    <w:p w:rsidR="00D13082" w:rsidRDefault="00D13082">
      <w:pPr>
        <w:pStyle w:val="FootnoteText"/>
      </w:pPr>
      <w:r>
        <w:rPr>
          <w:rStyle w:val="FootnoteReference"/>
        </w:rPr>
        <w:footnoteRef/>
      </w:r>
      <w:r>
        <w:t xml:space="preserve"> Similar figures for 1911 and 1921 are available on request.</w:t>
      </w:r>
    </w:p>
  </w:footnote>
  <w:footnote w:id="10">
    <w:p w:rsidR="00D13082" w:rsidRDefault="00D13082">
      <w:pPr>
        <w:pStyle w:val="FootnoteText"/>
      </w:pPr>
      <w:r>
        <w:rPr>
          <w:rStyle w:val="FootnoteReference"/>
        </w:rPr>
        <w:footnoteRef/>
      </w:r>
      <w:r>
        <w:t xml:space="preserve"> Difference in log earnings are much larger between the native-born and immigrants from continental Europe.</w:t>
      </w:r>
    </w:p>
  </w:footnote>
  <w:footnote w:id="11">
    <w:p w:rsidR="00D13082" w:rsidRPr="003B7E79" w:rsidRDefault="00D13082" w:rsidP="00F965F5">
      <w:pPr>
        <w:pStyle w:val="FootnoteText"/>
        <w:rPr>
          <w:sz w:val="22"/>
          <w:szCs w:val="22"/>
        </w:rPr>
      </w:pPr>
      <w:r w:rsidRPr="00E44BDE">
        <w:rPr>
          <w:rStyle w:val="FootnoteReference"/>
          <w:sz w:val="22"/>
          <w:szCs w:val="22"/>
        </w:rPr>
        <w:footnoteRef/>
      </w:r>
      <w:r w:rsidRPr="00E44BDE">
        <w:rPr>
          <w:sz w:val="22"/>
          <w:szCs w:val="22"/>
        </w:rPr>
        <w:t xml:space="preserve"> </w:t>
      </w:r>
      <w:r w:rsidRPr="00BF4669">
        <w:t>Experimentation with higher order polynomials in previous research did not change the overall pattern of results in our sample.</w:t>
      </w:r>
    </w:p>
  </w:footnote>
  <w:footnote w:id="12">
    <w:p w:rsidR="00D13082" w:rsidRPr="003B7E79" w:rsidRDefault="00D13082" w:rsidP="00F965F5">
      <w:pPr>
        <w:pStyle w:val="FootnoteText"/>
        <w:rPr>
          <w:sz w:val="22"/>
          <w:szCs w:val="22"/>
        </w:rPr>
      </w:pPr>
      <w:r w:rsidRPr="00E44BDE">
        <w:rPr>
          <w:rStyle w:val="FootnoteReference"/>
          <w:sz w:val="22"/>
          <w:szCs w:val="22"/>
        </w:rPr>
        <w:footnoteRef/>
      </w:r>
      <w:r w:rsidRPr="00E44BDE">
        <w:rPr>
          <w:sz w:val="22"/>
          <w:szCs w:val="22"/>
        </w:rPr>
        <w:t xml:space="preserve"> </w:t>
      </w:r>
      <w:r w:rsidRPr="00BF4669">
        <w:t>We combine Nova Scotia, New Brunswick, and Prince Edward Island into one Maritime region, and present-day Saskatchewan and Alberta into one Northwest Region.</w:t>
      </w:r>
    </w:p>
  </w:footnote>
  <w:footnote w:id="13">
    <w:p w:rsidR="00D13082" w:rsidRPr="003B7E79" w:rsidRDefault="00D13082">
      <w:pPr>
        <w:pStyle w:val="FootnoteText"/>
        <w:rPr>
          <w:sz w:val="22"/>
          <w:szCs w:val="22"/>
          <w:lang w:val="en-US"/>
        </w:rPr>
      </w:pPr>
      <w:r w:rsidRPr="00E44BDE">
        <w:rPr>
          <w:rStyle w:val="FootnoteReference"/>
          <w:sz w:val="22"/>
          <w:szCs w:val="22"/>
        </w:rPr>
        <w:footnoteRef/>
      </w:r>
      <w:r w:rsidRPr="00E44BDE">
        <w:rPr>
          <w:sz w:val="22"/>
          <w:szCs w:val="22"/>
        </w:rPr>
        <w:t xml:space="preserve"> </w:t>
      </w:r>
      <w:r w:rsidRPr="00E44BDE">
        <w:rPr>
          <w:sz w:val="22"/>
          <w:szCs w:val="22"/>
          <w:lang w:val="en-US"/>
        </w:rPr>
        <w:t xml:space="preserve"> </w:t>
      </w:r>
      <w:r w:rsidRPr="00BF4669">
        <w:rPr>
          <w:lang w:val="en-US"/>
        </w:rPr>
        <w:t>Real earnings measures derived using a price index from the appendix of Inwood, Minns, and Summerfield (201</w:t>
      </w:r>
      <w:r>
        <w:rPr>
          <w:lang w:val="en-US"/>
        </w:rPr>
        <w:t>6</w:t>
      </w:r>
      <w:r w:rsidRPr="00BF4669">
        <w:rPr>
          <w:lang w:val="en-US"/>
        </w:rPr>
        <w:t>)</w:t>
      </w:r>
    </w:p>
  </w:footnote>
  <w:footnote w:id="14">
    <w:p w:rsidR="00D13082" w:rsidRPr="00161753" w:rsidRDefault="00D13082" w:rsidP="000176FC">
      <w:pPr>
        <w:pStyle w:val="FootnoteText"/>
        <w:rPr>
          <w:lang w:val="en-US"/>
        </w:rPr>
      </w:pPr>
      <w:r>
        <w:rPr>
          <w:rStyle w:val="FootnoteReference"/>
        </w:rPr>
        <w:footnoteRef/>
      </w:r>
      <w:r>
        <w:t xml:space="preserve"> </w:t>
      </w:r>
      <w:r>
        <w:rPr>
          <w:lang w:val="en-US"/>
        </w:rPr>
        <w:t>In 1911, OCC is therefore the same as OCC-Y.</w:t>
      </w:r>
    </w:p>
  </w:footnote>
  <w:footnote w:id="15">
    <w:p w:rsidR="00D13082" w:rsidRPr="00AD7D04" w:rsidRDefault="00D13082">
      <w:pPr>
        <w:pStyle w:val="FootnoteText"/>
        <w:rPr>
          <w:lang w:val="en-CA"/>
        </w:rPr>
      </w:pPr>
      <w:r>
        <w:rPr>
          <w:rStyle w:val="FootnoteReference"/>
        </w:rPr>
        <w:footnoteRef/>
      </w:r>
      <w:r>
        <w:t xml:space="preserve"> </w:t>
      </w:r>
      <w:r w:rsidRPr="00390DBB">
        <w:rPr>
          <w:lang w:val="en-CA"/>
        </w:rPr>
        <w:t>We do not estimate a model with separate coefficients for the two immigrant groups because the main consequences for occupational income scores are evident in simpler specifications.  Alternative models that illustrate separate wage penalties for the two immigrant groups are available on request</w:t>
      </w:r>
      <w:r w:rsidRPr="00163A97">
        <w:rPr>
          <w:lang w:val="en-CA"/>
        </w:rPr>
        <w:t>.</w:t>
      </w:r>
    </w:p>
  </w:footnote>
  <w:footnote w:id="16">
    <w:p w:rsidR="00D13082" w:rsidRDefault="00D13082" w:rsidP="000176FC">
      <w:pPr>
        <w:pStyle w:val="FootnoteText"/>
      </w:pPr>
      <w:r>
        <w:rPr>
          <w:rStyle w:val="FootnoteReference"/>
        </w:rPr>
        <w:footnoteRef/>
      </w:r>
      <w:r>
        <w:t xml:space="preserve"> IPUMS variable name “OCCSCORE”.  See documentation at the Minnesota Population Center for the construction of 1950 occupation scores: </w:t>
      </w:r>
      <w:hyperlink r:id="rId3" w:anchor="description_section" w:history="1">
        <w:r w:rsidRPr="005D7F54">
          <w:rPr>
            <w:rStyle w:val="Hyperlink"/>
          </w:rPr>
          <w:t>https://usa.ipums.org/usa-action/variables/OCCSCORE#description_section</w:t>
        </w:r>
      </w:hyperlink>
      <w:r>
        <w:t>. An additional score, specific to province and census year, was also generated but did not provide any novel results</w:t>
      </w:r>
    </w:p>
  </w:footnote>
  <w:footnote w:id="17">
    <w:p w:rsidR="00D13082" w:rsidRDefault="00D13082">
      <w:pPr>
        <w:pStyle w:val="FootnoteText"/>
      </w:pPr>
      <w:r>
        <w:rPr>
          <w:rStyle w:val="FootnoteReference"/>
        </w:rPr>
        <w:footnoteRef/>
      </w:r>
      <w:r>
        <w:t xml:space="preserve"> </w:t>
      </w:r>
      <w:r w:rsidRPr="00390DBB">
        <w:t xml:space="preserve">Please see tables A2 to A4 at </w:t>
      </w:r>
      <w:r w:rsidRPr="00163A97">
        <w:t>http://www.lse.ac.uk/Economic-History/Assets/Documents/WorkingPapers/Economic-History/2018/WP292.pdf</w:t>
      </w:r>
      <w:r w:rsidRPr="00390DBB">
        <w:t>.</w:t>
      </w:r>
    </w:p>
  </w:footnote>
  <w:footnote w:id="18">
    <w:p w:rsidR="00D13082" w:rsidRDefault="00D13082">
      <w:pPr>
        <w:pStyle w:val="FootnoteText"/>
      </w:pPr>
      <w:r w:rsidRPr="00390DBB">
        <w:rPr>
          <w:rStyle w:val="FootnoteReference"/>
        </w:rPr>
        <w:footnoteRef/>
      </w:r>
      <w:r w:rsidRPr="00390DBB">
        <w:t xml:space="preserve"> The full set of coefficients for these models are presented in Tables A2 to A4 in the on-line appendix at </w:t>
      </w:r>
      <w:r w:rsidRPr="00163A97">
        <w:t>http://www.lse.ac.uk/Economic-History/Assets/Documents/WorkingPapers/Economic-History/2018/WP292.pdf</w:t>
      </w:r>
      <w:r w:rsidRPr="00390DBB">
        <w:t>.</w:t>
      </w:r>
    </w:p>
  </w:footnote>
  <w:footnote w:id="19">
    <w:p w:rsidR="00D13082" w:rsidRDefault="00D13082">
      <w:pPr>
        <w:pStyle w:val="FootnoteText"/>
      </w:pPr>
      <w:r w:rsidRPr="00390DBB">
        <w:rPr>
          <w:rStyle w:val="FootnoteReference"/>
        </w:rPr>
        <w:footnoteRef/>
      </w:r>
      <w:r w:rsidRPr="00390DBB">
        <w:t xml:space="preserve"> See appendix tables A5 to A7 at </w:t>
      </w:r>
      <w:r w:rsidRPr="00163A97">
        <w:t>http://www.lse.ac.uk/Economic-History/Assets/Documents/WorkingPapers/Economic-History/2018/WP292.pdf</w:t>
      </w:r>
      <w:r w:rsidRPr="00390DBB">
        <w:t>.</w:t>
      </w:r>
    </w:p>
  </w:footnote>
  <w:footnote w:id="20">
    <w:p w:rsidR="00D13082" w:rsidRPr="003B7E79" w:rsidRDefault="00D13082" w:rsidP="00BB0A7C">
      <w:pPr>
        <w:pStyle w:val="FootnoteText"/>
        <w:rPr>
          <w:sz w:val="22"/>
          <w:szCs w:val="22"/>
        </w:rPr>
      </w:pPr>
      <w:r w:rsidRPr="00E44BDE">
        <w:rPr>
          <w:rStyle w:val="FootnoteReference"/>
          <w:sz w:val="22"/>
          <w:szCs w:val="22"/>
        </w:rPr>
        <w:footnoteRef/>
      </w:r>
      <w:r w:rsidRPr="00E44BDE">
        <w:rPr>
          <w:sz w:val="22"/>
          <w:szCs w:val="22"/>
        </w:rPr>
        <w:t xml:space="preserve"> </w:t>
      </w:r>
      <w:r w:rsidRPr="00BF4669">
        <w:t>Solon (1992) argues that occupational earnings are less likely to be tainted by measurement error than individual earnings that reflect transitory shocks.</w:t>
      </w:r>
      <w:r w:rsidRPr="00E44BDE">
        <w:rPr>
          <w:sz w:val="22"/>
          <w:szCs w:val="22"/>
        </w:rPr>
        <w:t xml:space="preserve">  </w:t>
      </w:r>
    </w:p>
  </w:footnote>
  <w:footnote w:id="21">
    <w:p w:rsidR="00D13082" w:rsidRDefault="00D13082" w:rsidP="004C5653">
      <w:pPr>
        <w:pStyle w:val="FootnoteText"/>
      </w:pPr>
      <w:r w:rsidRPr="00390DBB">
        <w:rPr>
          <w:rStyle w:val="FootnoteReference"/>
        </w:rPr>
        <w:footnoteRef/>
      </w:r>
      <w:r w:rsidRPr="00390DBB">
        <w:t xml:space="preserve"> Table 3 of Green and Green (2016) lists differences in average (log) wages by occupation and 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7771C"/>
    <w:multiLevelType w:val="hybridMultilevel"/>
    <w:tmpl w:val="93664B3A"/>
    <w:lvl w:ilvl="0" w:tplc="1B389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B7003"/>
    <w:multiLevelType w:val="hybridMultilevel"/>
    <w:tmpl w:val="69820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8457E"/>
    <w:multiLevelType w:val="hybridMultilevel"/>
    <w:tmpl w:val="CEA6523E"/>
    <w:lvl w:ilvl="0" w:tplc="9F5642F2">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1332FB"/>
    <w:multiLevelType w:val="hybridMultilevel"/>
    <w:tmpl w:val="2742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8336F"/>
    <w:multiLevelType w:val="hybridMultilevel"/>
    <w:tmpl w:val="0D14307C"/>
    <w:lvl w:ilvl="0" w:tplc="242E74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2F568F"/>
    <w:multiLevelType w:val="hybridMultilevel"/>
    <w:tmpl w:val="CEA6523E"/>
    <w:lvl w:ilvl="0" w:tplc="9F5642F2">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4D7E8C"/>
    <w:multiLevelType w:val="hybridMultilevel"/>
    <w:tmpl w:val="2A7432EE"/>
    <w:lvl w:ilvl="0" w:tplc="1A4E65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FF5959"/>
    <w:multiLevelType w:val="hybridMultilevel"/>
    <w:tmpl w:val="85C43104"/>
    <w:lvl w:ilvl="0" w:tplc="67B2A9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B8"/>
    <w:rsid w:val="000005F7"/>
    <w:rsid w:val="00002BD7"/>
    <w:rsid w:val="000058F0"/>
    <w:rsid w:val="00005E84"/>
    <w:rsid w:val="00010C33"/>
    <w:rsid w:val="00011CD8"/>
    <w:rsid w:val="00015CC3"/>
    <w:rsid w:val="00016CF6"/>
    <w:rsid w:val="000176FC"/>
    <w:rsid w:val="00022766"/>
    <w:rsid w:val="00022E2B"/>
    <w:rsid w:val="00023EEF"/>
    <w:rsid w:val="00031281"/>
    <w:rsid w:val="00031ED2"/>
    <w:rsid w:val="000336A2"/>
    <w:rsid w:val="0004027F"/>
    <w:rsid w:val="00046A43"/>
    <w:rsid w:val="00047C72"/>
    <w:rsid w:val="00054A80"/>
    <w:rsid w:val="000561BF"/>
    <w:rsid w:val="000567B9"/>
    <w:rsid w:val="000643E9"/>
    <w:rsid w:val="000732D0"/>
    <w:rsid w:val="0007489E"/>
    <w:rsid w:val="00082698"/>
    <w:rsid w:val="00086C4E"/>
    <w:rsid w:val="00094424"/>
    <w:rsid w:val="00094C62"/>
    <w:rsid w:val="000A0601"/>
    <w:rsid w:val="000A2642"/>
    <w:rsid w:val="000A389F"/>
    <w:rsid w:val="000A6D65"/>
    <w:rsid w:val="000B28E4"/>
    <w:rsid w:val="000C2209"/>
    <w:rsid w:val="000C3299"/>
    <w:rsid w:val="000C39A6"/>
    <w:rsid w:val="000C56A5"/>
    <w:rsid w:val="000C6E8A"/>
    <w:rsid w:val="000D01B0"/>
    <w:rsid w:val="000D58E2"/>
    <w:rsid w:val="000D5C67"/>
    <w:rsid w:val="000D63EC"/>
    <w:rsid w:val="000E1DA3"/>
    <w:rsid w:val="000E2019"/>
    <w:rsid w:val="000E2C54"/>
    <w:rsid w:val="000F0791"/>
    <w:rsid w:val="000F2121"/>
    <w:rsid w:val="000F43FE"/>
    <w:rsid w:val="000F50AA"/>
    <w:rsid w:val="00102057"/>
    <w:rsid w:val="001040A7"/>
    <w:rsid w:val="00105535"/>
    <w:rsid w:val="00105895"/>
    <w:rsid w:val="001129D7"/>
    <w:rsid w:val="00122371"/>
    <w:rsid w:val="00125A52"/>
    <w:rsid w:val="00126A24"/>
    <w:rsid w:val="00141090"/>
    <w:rsid w:val="00141DD5"/>
    <w:rsid w:val="001425A4"/>
    <w:rsid w:val="0014389F"/>
    <w:rsid w:val="00144538"/>
    <w:rsid w:val="00153BCE"/>
    <w:rsid w:val="0015418E"/>
    <w:rsid w:val="00155998"/>
    <w:rsid w:val="0015681C"/>
    <w:rsid w:val="00156E33"/>
    <w:rsid w:val="00157252"/>
    <w:rsid w:val="001605B5"/>
    <w:rsid w:val="00161673"/>
    <w:rsid w:val="00161753"/>
    <w:rsid w:val="00163040"/>
    <w:rsid w:val="001638B9"/>
    <w:rsid w:val="00163A97"/>
    <w:rsid w:val="001670CC"/>
    <w:rsid w:val="00170684"/>
    <w:rsid w:val="001730A0"/>
    <w:rsid w:val="00174EFF"/>
    <w:rsid w:val="00175898"/>
    <w:rsid w:val="001835A8"/>
    <w:rsid w:val="0019233F"/>
    <w:rsid w:val="00192918"/>
    <w:rsid w:val="00194A7F"/>
    <w:rsid w:val="00195F88"/>
    <w:rsid w:val="00197591"/>
    <w:rsid w:val="001A4098"/>
    <w:rsid w:val="001B181B"/>
    <w:rsid w:val="001B4FDD"/>
    <w:rsid w:val="001B5A20"/>
    <w:rsid w:val="001B6134"/>
    <w:rsid w:val="001C0872"/>
    <w:rsid w:val="001C2D6F"/>
    <w:rsid w:val="001D3F49"/>
    <w:rsid w:val="001E5375"/>
    <w:rsid w:val="001E7775"/>
    <w:rsid w:val="001F54FA"/>
    <w:rsid w:val="001F6F05"/>
    <w:rsid w:val="00200A2E"/>
    <w:rsid w:val="002062ED"/>
    <w:rsid w:val="002079D5"/>
    <w:rsid w:val="002139B3"/>
    <w:rsid w:val="0022761F"/>
    <w:rsid w:val="0022784B"/>
    <w:rsid w:val="00232043"/>
    <w:rsid w:val="002330A3"/>
    <w:rsid w:val="00234870"/>
    <w:rsid w:val="00236F60"/>
    <w:rsid w:val="00242319"/>
    <w:rsid w:val="0024347E"/>
    <w:rsid w:val="00244F23"/>
    <w:rsid w:val="00246AB9"/>
    <w:rsid w:val="00250BF3"/>
    <w:rsid w:val="00254910"/>
    <w:rsid w:val="002575C6"/>
    <w:rsid w:val="002609B6"/>
    <w:rsid w:val="00260BA7"/>
    <w:rsid w:val="00263711"/>
    <w:rsid w:val="00264E6F"/>
    <w:rsid w:val="0026544B"/>
    <w:rsid w:val="002750CB"/>
    <w:rsid w:val="00276B1D"/>
    <w:rsid w:val="00276F82"/>
    <w:rsid w:val="0028243C"/>
    <w:rsid w:val="002847CF"/>
    <w:rsid w:val="00291D08"/>
    <w:rsid w:val="002961A7"/>
    <w:rsid w:val="00297594"/>
    <w:rsid w:val="002A0227"/>
    <w:rsid w:val="002B0D24"/>
    <w:rsid w:val="002B17BA"/>
    <w:rsid w:val="002B2723"/>
    <w:rsid w:val="002B4919"/>
    <w:rsid w:val="002B690F"/>
    <w:rsid w:val="002B6FD0"/>
    <w:rsid w:val="002C1BDA"/>
    <w:rsid w:val="002C59D6"/>
    <w:rsid w:val="002C75B1"/>
    <w:rsid w:val="002D00A0"/>
    <w:rsid w:val="002D5AFA"/>
    <w:rsid w:val="002D6CDA"/>
    <w:rsid w:val="002D6D8F"/>
    <w:rsid w:val="002E3A06"/>
    <w:rsid w:val="002E7C2F"/>
    <w:rsid w:val="002F01C8"/>
    <w:rsid w:val="002F3777"/>
    <w:rsid w:val="00300CE1"/>
    <w:rsid w:val="0030258C"/>
    <w:rsid w:val="003124D7"/>
    <w:rsid w:val="0031658F"/>
    <w:rsid w:val="00317E25"/>
    <w:rsid w:val="00317FA4"/>
    <w:rsid w:val="0032047B"/>
    <w:rsid w:val="003211D4"/>
    <w:rsid w:val="0032186B"/>
    <w:rsid w:val="00323E93"/>
    <w:rsid w:val="003255CF"/>
    <w:rsid w:val="00326F42"/>
    <w:rsid w:val="003275FB"/>
    <w:rsid w:val="00333A21"/>
    <w:rsid w:val="00335BB4"/>
    <w:rsid w:val="0033724D"/>
    <w:rsid w:val="00337AFA"/>
    <w:rsid w:val="00354501"/>
    <w:rsid w:val="00354666"/>
    <w:rsid w:val="00364E0F"/>
    <w:rsid w:val="003651AE"/>
    <w:rsid w:val="00365B2C"/>
    <w:rsid w:val="00366521"/>
    <w:rsid w:val="00372C0A"/>
    <w:rsid w:val="0037651C"/>
    <w:rsid w:val="00377A82"/>
    <w:rsid w:val="00377A84"/>
    <w:rsid w:val="003819BA"/>
    <w:rsid w:val="00381EA0"/>
    <w:rsid w:val="003833DF"/>
    <w:rsid w:val="00383621"/>
    <w:rsid w:val="00386814"/>
    <w:rsid w:val="00387E56"/>
    <w:rsid w:val="00390DBB"/>
    <w:rsid w:val="00391DEC"/>
    <w:rsid w:val="003A4548"/>
    <w:rsid w:val="003A5461"/>
    <w:rsid w:val="003A7548"/>
    <w:rsid w:val="003B123D"/>
    <w:rsid w:val="003B3078"/>
    <w:rsid w:val="003B7E79"/>
    <w:rsid w:val="003C02AE"/>
    <w:rsid w:val="003C150A"/>
    <w:rsid w:val="003C3200"/>
    <w:rsid w:val="003C609B"/>
    <w:rsid w:val="003C641A"/>
    <w:rsid w:val="003D02BE"/>
    <w:rsid w:val="003D02F2"/>
    <w:rsid w:val="003D5E4A"/>
    <w:rsid w:val="003E5CE4"/>
    <w:rsid w:val="003F3194"/>
    <w:rsid w:val="003F3F99"/>
    <w:rsid w:val="003F4240"/>
    <w:rsid w:val="003F5439"/>
    <w:rsid w:val="003F7294"/>
    <w:rsid w:val="00402C73"/>
    <w:rsid w:val="00405AF1"/>
    <w:rsid w:val="00406231"/>
    <w:rsid w:val="00415142"/>
    <w:rsid w:val="00424AD3"/>
    <w:rsid w:val="00430185"/>
    <w:rsid w:val="0043116B"/>
    <w:rsid w:val="00432900"/>
    <w:rsid w:val="00437FB5"/>
    <w:rsid w:val="00440EC7"/>
    <w:rsid w:val="0044635A"/>
    <w:rsid w:val="0044688E"/>
    <w:rsid w:val="004520AD"/>
    <w:rsid w:val="00452209"/>
    <w:rsid w:val="00472423"/>
    <w:rsid w:val="004818F4"/>
    <w:rsid w:val="00482FD0"/>
    <w:rsid w:val="00484B5E"/>
    <w:rsid w:val="00484EC2"/>
    <w:rsid w:val="00486A8D"/>
    <w:rsid w:val="00490122"/>
    <w:rsid w:val="004937C1"/>
    <w:rsid w:val="00493B71"/>
    <w:rsid w:val="004951DA"/>
    <w:rsid w:val="00497788"/>
    <w:rsid w:val="004A3106"/>
    <w:rsid w:val="004A4B11"/>
    <w:rsid w:val="004B098D"/>
    <w:rsid w:val="004C0084"/>
    <w:rsid w:val="004C0819"/>
    <w:rsid w:val="004C1404"/>
    <w:rsid w:val="004C1488"/>
    <w:rsid w:val="004C2573"/>
    <w:rsid w:val="004C36C5"/>
    <w:rsid w:val="004C5653"/>
    <w:rsid w:val="004D03D2"/>
    <w:rsid w:val="004D1B22"/>
    <w:rsid w:val="004D3045"/>
    <w:rsid w:val="004D6D6B"/>
    <w:rsid w:val="004E4293"/>
    <w:rsid w:val="004E6545"/>
    <w:rsid w:val="004F2371"/>
    <w:rsid w:val="004F29AC"/>
    <w:rsid w:val="004F3B93"/>
    <w:rsid w:val="004F4CE0"/>
    <w:rsid w:val="004F5746"/>
    <w:rsid w:val="004F5CF0"/>
    <w:rsid w:val="005003B1"/>
    <w:rsid w:val="0050206F"/>
    <w:rsid w:val="00505A5C"/>
    <w:rsid w:val="00513066"/>
    <w:rsid w:val="0051312A"/>
    <w:rsid w:val="00515947"/>
    <w:rsid w:val="005161DA"/>
    <w:rsid w:val="00523289"/>
    <w:rsid w:val="005241CB"/>
    <w:rsid w:val="00527B3F"/>
    <w:rsid w:val="00532665"/>
    <w:rsid w:val="00533BE5"/>
    <w:rsid w:val="005341B6"/>
    <w:rsid w:val="00536405"/>
    <w:rsid w:val="005368FC"/>
    <w:rsid w:val="00536CA9"/>
    <w:rsid w:val="0053729A"/>
    <w:rsid w:val="005450F2"/>
    <w:rsid w:val="00545E5A"/>
    <w:rsid w:val="00551242"/>
    <w:rsid w:val="00561746"/>
    <w:rsid w:val="0056284A"/>
    <w:rsid w:val="00565356"/>
    <w:rsid w:val="00567298"/>
    <w:rsid w:val="005701B8"/>
    <w:rsid w:val="00573916"/>
    <w:rsid w:val="005752A3"/>
    <w:rsid w:val="00577EB5"/>
    <w:rsid w:val="0058060F"/>
    <w:rsid w:val="00592816"/>
    <w:rsid w:val="00594C90"/>
    <w:rsid w:val="005A234A"/>
    <w:rsid w:val="005A5028"/>
    <w:rsid w:val="005A7444"/>
    <w:rsid w:val="005C00AC"/>
    <w:rsid w:val="005C32EB"/>
    <w:rsid w:val="005C3940"/>
    <w:rsid w:val="005C403E"/>
    <w:rsid w:val="005C6F07"/>
    <w:rsid w:val="005D1D85"/>
    <w:rsid w:val="005D374F"/>
    <w:rsid w:val="005D5E5F"/>
    <w:rsid w:val="005E1C1E"/>
    <w:rsid w:val="005E42E1"/>
    <w:rsid w:val="005E6204"/>
    <w:rsid w:val="005F13A6"/>
    <w:rsid w:val="005F3589"/>
    <w:rsid w:val="005F64F8"/>
    <w:rsid w:val="00600A13"/>
    <w:rsid w:val="00600ED0"/>
    <w:rsid w:val="00620548"/>
    <w:rsid w:val="0062286F"/>
    <w:rsid w:val="00626705"/>
    <w:rsid w:val="006313FD"/>
    <w:rsid w:val="00631404"/>
    <w:rsid w:val="00632436"/>
    <w:rsid w:val="00641F2D"/>
    <w:rsid w:val="0064259A"/>
    <w:rsid w:val="00642934"/>
    <w:rsid w:val="0065175E"/>
    <w:rsid w:val="00654F83"/>
    <w:rsid w:val="006600E3"/>
    <w:rsid w:val="0066547A"/>
    <w:rsid w:val="00671AF0"/>
    <w:rsid w:val="006755FF"/>
    <w:rsid w:val="00675CEC"/>
    <w:rsid w:val="00682858"/>
    <w:rsid w:val="00682E69"/>
    <w:rsid w:val="00691FD3"/>
    <w:rsid w:val="00692316"/>
    <w:rsid w:val="006959CF"/>
    <w:rsid w:val="006A0688"/>
    <w:rsid w:val="006A49C3"/>
    <w:rsid w:val="006A528B"/>
    <w:rsid w:val="006B0104"/>
    <w:rsid w:val="006B0341"/>
    <w:rsid w:val="006B1058"/>
    <w:rsid w:val="006B28ED"/>
    <w:rsid w:val="006B3264"/>
    <w:rsid w:val="006C1C04"/>
    <w:rsid w:val="006D179C"/>
    <w:rsid w:val="006D2731"/>
    <w:rsid w:val="006D729A"/>
    <w:rsid w:val="006E223C"/>
    <w:rsid w:val="006E3D3B"/>
    <w:rsid w:val="006E3F84"/>
    <w:rsid w:val="0070045F"/>
    <w:rsid w:val="00710681"/>
    <w:rsid w:val="00713D1B"/>
    <w:rsid w:val="00714404"/>
    <w:rsid w:val="0071617E"/>
    <w:rsid w:val="00717414"/>
    <w:rsid w:val="0073618B"/>
    <w:rsid w:val="007373B8"/>
    <w:rsid w:val="00741DE1"/>
    <w:rsid w:val="00746493"/>
    <w:rsid w:val="0074775A"/>
    <w:rsid w:val="00747C31"/>
    <w:rsid w:val="00747DA0"/>
    <w:rsid w:val="00750464"/>
    <w:rsid w:val="00752202"/>
    <w:rsid w:val="007547D0"/>
    <w:rsid w:val="00760F58"/>
    <w:rsid w:val="00763398"/>
    <w:rsid w:val="00765B49"/>
    <w:rsid w:val="00765D70"/>
    <w:rsid w:val="00767D2D"/>
    <w:rsid w:val="0077035E"/>
    <w:rsid w:val="00773B37"/>
    <w:rsid w:val="00777776"/>
    <w:rsid w:val="0078410F"/>
    <w:rsid w:val="007851AA"/>
    <w:rsid w:val="00785D98"/>
    <w:rsid w:val="007870CA"/>
    <w:rsid w:val="007A2AF7"/>
    <w:rsid w:val="007A3271"/>
    <w:rsid w:val="007A3670"/>
    <w:rsid w:val="007A7654"/>
    <w:rsid w:val="007B2303"/>
    <w:rsid w:val="007B4759"/>
    <w:rsid w:val="007B531B"/>
    <w:rsid w:val="007C0ED8"/>
    <w:rsid w:val="007C10CF"/>
    <w:rsid w:val="007C1D04"/>
    <w:rsid w:val="007C1E5F"/>
    <w:rsid w:val="007C2913"/>
    <w:rsid w:val="007C3A00"/>
    <w:rsid w:val="007E00EB"/>
    <w:rsid w:val="007E2487"/>
    <w:rsid w:val="007E36E8"/>
    <w:rsid w:val="007E43B0"/>
    <w:rsid w:val="007E790D"/>
    <w:rsid w:val="007F14B8"/>
    <w:rsid w:val="007F4C6B"/>
    <w:rsid w:val="007F6D57"/>
    <w:rsid w:val="007F7024"/>
    <w:rsid w:val="007F79FD"/>
    <w:rsid w:val="008011F1"/>
    <w:rsid w:val="00803B0A"/>
    <w:rsid w:val="00810A73"/>
    <w:rsid w:val="00812289"/>
    <w:rsid w:val="00816845"/>
    <w:rsid w:val="00822996"/>
    <w:rsid w:val="00822BC2"/>
    <w:rsid w:val="00823005"/>
    <w:rsid w:val="00823210"/>
    <w:rsid w:val="00833F03"/>
    <w:rsid w:val="008352F2"/>
    <w:rsid w:val="0083657A"/>
    <w:rsid w:val="008372A1"/>
    <w:rsid w:val="0084315F"/>
    <w:rsid w:val="00843AFF"/>
    <w:rsid w:val="00850D61"/>
    <w:rsid w:val="00862641"/>
    <w:rsid w:val="00862E02"/>
    <w:rsid w:val="008656A5"/>
    <w:rsid w:val="0087076C"/>
    <w:rsid w:val="00875628"/>
    <w:rsid w:val="008777F2"/>
    <w:rsid w:val="00882F9B"/>
    <w:rsid w:val="00887F5A"/>
    <w:rsid w:val="00890285"/>
    <w:rsid w:val="008929F6"/>
    <w:rsid w:val="008A64F4"/>
    <w:rsid w:val="008B289F"/>
    <w:rsid w:val="008B49C7"/>
    <w:rsid w:val="008B67B9"/>
    <w:rsid w:val="008B6960"/>
    <w:rsid w:val="008C5CCC"/>
    <w:rsid w:val="008C6AAA"/>
    <w:rsid w:val="008D0EA3"/>
    <w:rsid w:val="008D64D6"/>
    <w:rsid w:val="008F25B3"/>
    <w:rsid w:val="008F2789"/>
    <w:rsid w:val="008F6A1A"/>
    <w:rsid w:val="00902D72"/>
    <w:rsid w:val="00905F2B"/>
    <w:rsid w:val="009105CE"/>
    <w:rsid w:val="009124B0"/>
    <w:rsid w:val="00913D53"/>
    <w:rsid w:val="00914326"/>
    <w:rsid w:val="00915215"/>
    <w:rsid w:val="0091527B"/>
    <w:rsid w:val="009231FC"/>
    <w:rsid w:val="00923BA8"/>
    <w:rsid w:val="009323C3"/>
    <w:rsid w:val="00940769"/>
    <w:rsid w:val="0094213B"/>
    <w:rsid w:val="009453FE"/>
    <w:rsid w:val="00945B85"/>
    <w:rsid w:val="00945E57"/>
    <w:rsid w:val="00946221"/>
    <w:rsid w:val="0094655D"/>
    <w:rsid w:val="00953311"/>
    <w:rsid w:val="00956B73"/>
    <w:rsid w:val="009571E8"/>
    <w:rsid w:val="009573D1"/>
    <w:rsid w:val="00960D25"/>
    <w:rsid w:val="0096381F"/>
    <w:rsid w:val="00965011"/>
    <w:rsid w:val="009655C0"/>
    <w:rsid w:val="00966130"/>
    <w:rsid w:val="00971672"/>
    <w:rsid w:val="00971DB8"/>
    <w:rsid w:val="0097404D"/>
    <w:rsid w:val="0097587C"/>
    <w:rsid w:val="00976CF4"/>
    <w:rsid w:val="009800E3"/>
    <w:rsid w:val="00980D7F"/>
    <w:rsid w:val="00981306"/>
    <w:rsid w:val="0098321D"/>
    <w:rsid w:val="0098383E"/>
    <w:rsid w:val="009848A2"/>
    <w:rsid w:val="00987039"/>
    <w:rsid w:val="00987D6F"/>
    <w:rsid w:val="00990C50"/>
    <w:rsid w:val="00992B43"/>
    <w:rsid w:val="00993BFF"/>
    <w:rsid w:val="00993D94"/>
    <w:rsid w:val="00995B46"/>
    <w:rsid w:val="009A14F9"/>
    <w:rsid w:val="009A28B4"/>
    <w:rsid w:val="009A36B4"/>
    <w:rsid w:val="009A5D1B"/>
    <w:rsid w:val="009B1EAE"/>
    <w:rsid w:val="009B24A4"/>
    <w:rsid w:val="009B50E6"/>
    <w:rsid w:val="009B5322"/>
    <w:rsid w:val="009B5EC2"/>
    <w:rsid w:val="009B7BB3"/>
    <w:rsid w:val="009C29D4"/>
    <w:rsid w:val="009C4E3A"/>
    <w:rsid w:val="009C5BBD"/>
    <w:rsid w:val="009D2129"/>
    <w:rsid w:val="009D3820"/>
    <w:rsid w:val="009D3C59"/>
    <w:rsid w:val="009D59A6"/>
    <w:rsid w:val="009E6619"/>
    <w:rsid w:val="009F1E91"/>
    <w:rsid w:val="009F66DC"/>
    <w:rsid w:val="00A006AE"/>
    <w:rsid w:val="00A0186F"/>
    <w:rsid w:val="00A02B30"/>
    <w:rsid w:val="00A02D55"/>
    <w:rsid w:val="00A03687"/>
    <w:rsid w:val="00A053E6"/>
    <w:rsid w:val="00A077BA"/>
    <w:rsid w:val="00A10E93"/>
    <w:rsid w:val="00A1135B"/>
    <w:rsid w:val="00A11A27"/>
    <w:rsid w:val="00A12096"/>
    <w:rsid w:val="00A142A8"/>
    <w:rsid w:val="00A20212"/>
    <w:rsid w:val="00A21976"/>
    <w:rsid w:val="00A22FBE"/>
    <w:rsid w:val="00A25A3B"/>
    <w:rsid w:val="00A268BE"/>
    <w:rsid w:val="00A3053F"/>
    <w:rsid w:val="00A35E5C"/>
    <w:rsid w:val="00A37BCB"/>
    <w:rsid w:val="00A43C35"/>
    <w:rsid w:val="00A4704B"/>
    <w:rsid w:val="00A5230F"/>
    <w:rsid w:val="00A52A01"/>
    <w:rsid w:val="00A52C45"/>
    <w:rsid w:val="00A53AD2"/>
    <w:rsid w:val="00A557CF"/>
    <w:rsid w:val="00A55D13"/>
    <w:rsid w:val="00A62BD7"/>
    <w:rsid w:val="00A62D50"/>
    <w:rsid w:val="00A64122"/>
    <w:rsid w:val="00A65C0B"/>
    <w:rsid w:val="00A678B5"/>
    <w:rsid w:val="00A67968"/>
    <w:rsid w:val="00A67AE6"/>
    <w:rsid w:val="00A7409D"/>
    <w:rsid w:val="00A749F3"/>
    <w:rsid w:val="00A75C6B"/>
    <w:rsid w:val="00A77788"/>
    <w:rsid w:val="00A86D2F"/>
    <w:rsid w:val="00A87809"/>
    <w:rsid w:val="00A91FD6"/>
    <w:rsid w:val="00AA004B"/>
    <w:rsid w:val="00AA0A74"/>
    <w:rsid w:val="00AA44CF"/>
    <w:rsid w:val="00AA6365"/>
    <w:rsid w:val="00AB003C"/>
    <w:rsid w:val="00AB02A7"/>
    <w:rsid w:val="00AB3FBC"/>
    <w:rsid w:val="00AC1756"/>
    <w:rsid w:val="00AC17D2"/>
    <w:rsid w:val="00AC41B7"/>
    <w:rsid w:val="00AC5259"/>
    <w:rsid w:val="00AC5AA4"/>
    <w:rsid w:val="00AC6B36"/>
    <w:rsid w:val="00AD0E11"/>
    <w:rsid w:val="00AD1229"/>
    <w:rsid w:val="00AD3C40"/>
    <w:rsid w:val="00AD7D04"/>
    <w:rsid w:val="00AE185C"/>
    <w:rsid w:val="00AE1F9F"/>
    <w:rsid w:val="00AE256B"/>
    <w:rsid w:val="00AE3077"/>
    <w:rsid w:val="00AE362E"/>
    <w:rsid w:val="00AF08D6"/>
    <w:rsid w:val="00AF5B1E"/>
    <w:rsid w:val="00AF5C9C"/>
    <w:rsid w:val="00AF69D8"/>
    <w:rsid w:val="00B03620"/>
    <w:rsid w:val="00B1155B"/>
    <w:rsid w:val="00B145C2"/>
    <w:rsid w:val="00B152C8"/>
    <w:rsid w:val="00B257C6"/>
    <w:rsid w:val="00B3033D"/>
    <w:rsid w:val="00B325F9"/>
    <w:rsid w:val="00B32EE8"/>
    <w:rsid w:val="00B40CEA"/>
    <w:rsid w:val="00B51AB5"/>
    <w:rsid w:val="00B54989"/>
    <w:rsid w:val="00B558E1"/>
    <w:rsid w:val="00B56139"/>
    <w:rsid w:val="00B631B9"/>
    <w:rsid w:val="00B645FD"/>
    <w:rsid w:val="00B648AA"/>
    <w:rsid w:val="00B67FE3"/>
    <w:rsid w:val="00B72763"/>
    <w:rsid w:val="00B74061"/>
    <w:rsid w:val="00B74A19"/>
    <w:rsid w:val="00B82388"/>
    <w:rsid w:val="00B940D2"/>
    <w:rsid w:val="00B9519E"/>
    <w:rsid w:val="00BA2AEE"/>
    <w:rsid w:val="00BA4205"/>
    <w:rsid w:val="00BA79E0"/>
    <w:rsid w:val="00BB0A7C"/>
    <w:rsid w:val="00BB5AE3"/>
    <w:rsid w:val="00BC1994"/>
    <w:rsid w:val="00BC2497"/>
    <w:rsid w:val="00BC4F2B"/>
    <w:rsid w:val="00BD3353"/>
    <w:rsid w:val="00BD7E72"/>
    <w:rsid w:val="00BE2DEA"/>
    <w:rsid w:val="00BE562E"/>
    <w:rsid w:val="00BE5D4C"/>
    <w:rsid w:val="00BF24D5"/>
    <w:rsid w:val="00BF2A49"/>
    <w:rsid w:val="00BF4669"/>
    <w:rsid w:val="00BF5930"/>
    <w:rsid w:val="00BF7F4C"/>
    <w:rsid w:val="00C026CB"/>
    <w:rsid w:val="00C050A9"/>
    <w:rsid w:val="00C060EE"/>
    <w:rsid w:val="00C06A18"/>
    <w:rsid w:val="00C105E8"/>
    <w:rsid w:val="00C210EA"/>
    <w:rsid w:val="00C22AEA"/>
    <w:rsid w:val="00C2335F"/>
    <w:rsid w:val="00C2612A"/>
    <w:rsid w:val="00C40CBA"/>
    <w:rsid w:val="00C40CF4"/>
    <w:rsid w:val="00C41B90"/>
    <w:rsid w:val="00C42C90"/>
    <w:rsid w:val="00C46260"/>
    <w:rsid w:val="00C52222"/>
    <w:rsid w:val="00C6054D"/>
    <w:rsid w:val="00C622E0"/>
    <w:rsid w:val="00C632FD"/>
    <w:rsid w:val="00C6354B"/>
    <w:rsid w:val="00C64449"/>
    <w:rsid w:val="00C66DAB"/>
    <w:rsid w:val="00C67605"/>
    <w:rsid w:val="00C7022B"/>
    <w:rsid w:val="00C77C5D"/>
    <w:rsid w:val="00C80BAF"/>
    <w:rsid w:val="00C813F6"/>
    <w:rsid w:val="00C85ADC"/>
    <w:rsid w:val="00C8612D"/>
    <w:rsid w:val="00C9082F"/>
    <w:rsid w:val="00C96D15"/>
    <w:rsid w:val="00CA23A3"/>
    <w:rsid w:val="00CA4812"/>
    <w:rsid w:val="00CB2E27"/>
    <w:rsid w:val="00CB5C01"/>
    <w:rsid w:val="00CC184D"/>
    <w:rsid w:val="00CC32DB"/>
    <w:rsid w:val="00CC535A"/>
    <w:rsid w:val="00CC5C22"/>
    <w:rsid w:val="00CC7B46"/>
    <w:rsid w:val="00CD5CC5"/>
    <w:rsid w:val="00CD739E"/>
    <w:rsid w:val="00CE1855"/>
    <w:rsid w:val="00CE191D"/>
    <w:rsid w:val="00CF01E7"/>
    <w:rsid w:val="00CF178C"/>
    <w:rsid w:val="00CF1F52"/>
    <w:rsid w:val="00CF4F42"/>
    <w:rsid w:val="00CF582D"/>
    <w:rsid w:val="00CF59FD"/>
    <w:rsid w:val="00D049D4"/>
    <w:rsid w:val="00D12559"/>
    <w:rsid w:val="00D125E8"/>
    <w:rsid w:val="00D13082"/>
    <w:rsid w:val="00D1388B"/>
    <w:rsid w:val="00D13B6E"/>
    <w:rsid w:val="00D13E27"/>
    <w:rsid w:val="00D21389"/>
    <w:rsid w:val="00D21BCA"/>
    <w:rsid w:val="00D25AF6"/>
    <w:rsid w:val="00D32DB3"/>
    <w:rsid w:val="00D3496E"/>
    <w:rsid w:val="00D36EE2"/>
    <w:rsid w:val="00D409EF"/>
    <w:rsid w:val="00D4136A"/>
    <w:rsid w:val="00D477C0"/>
    <w:rsid w:val="00D477E0"/>
    <w:rsid w:val="00D50CCE"/>
    <w:rsid w:val="00D54ED2"/>
    <w:rsid w:val="00D5681A"/>
    <w:rsid w:val="00D604A9"/>
    <w:rsid w:val="00D611FE"/>
    <w:rsid w:val="00D63750"/>
    <w:rsid w:val="00D65CD7"/>
    <w:rsid w:val="00D67310"/>
    <w:rsid w:val="00D724FD"/>
    <w:rsid w:val="00D80663"/>
    <w:rsid w:val="00D91045"/>
    <w:rsid w:val="00D9461A"/>
    <w:rsid w:val="00D9474B"/>
    <w:rsid w:val="00D965A4"/>
    <w:rsid w:val="00DA221B"/>
    <w:rsid w:val="00DA758E"/>
    <w:rsid w:val="00DB0072"/>
    <w:rsid w:val="00DB5CC4"/>
    <w:rsid w:val="00DB5E08"/>
    <w:rsid w:val="00DB618B"/>
    <w:rsid w:val="00DC319B"/>
    <w:rsid w:val="00DC5FCF"/>
    <w:rsid w:val="00DC60AC"/>
    <w:rsid w:val="00DF2D14"/>
    <w:rsid w:val="00DF3D4D"/>
    <w:rsid w:val="00DF4475"/>
    <w:rsid w:val="00DF5756"/>
    <w:rsid w:val="00DF66A9"/>
    <w:rsid w:val="00E075D5"/>
    <w:rsid w:val="00E07A5B"/>
    <w:rsid w:val="00E10859"/>
    <w:rsid w:val="00E10C75"/>
    <w:rsid w:val="00E12F5F"/>
    <w:rsid w:val="00E22A24"/>
    <w:rsid w:val="00E23E6B"/>
    <w:rsid w:val="00E25DC5"/>
    <w:rsid w:val="00E25F62"/>
    <w:rsid w:val="00E25FEF"/>
    <w:rsid w:val="00E27304"/>
    <w:rsid w:val="00E33D02"/>
    <w:rsid w:val="00E3483E"/>
    <w:rsid w:val="00E40FC5"/>
    <w:rsid w:val="00E44BDE"/>
    <w:rsid w:val="00E472CE"/>
    <w:rsid w:val="00E47B20"/>
    <w:rsid w:val="00E544D8"/>
    <w:rsid w:val="00E551AC"/>
    <w:rsid w:val="00E57137"/>
    <w:rsid w:val="00E61308"/>
    <w:rsid w:val="00E62B57"/>
    <w:rsid w:val="00E637EF"/>
    <w:rsid w:val="00E6414A"/>
    <w:rsid w:val="00E6549A"/>
    <w:rsid w:val="00E67896"/>
    <w:rsid w:val="00E76A3E"/>
    <w:rsid w:val="00E76ED2"/>
    <w:rsid w:val="00E80208"/>
    <w:rsid w:val="00E85BE4"/>
    <w:rsid w:val="00E93438"/>
    <w:rsid w:val="00E94467"/>
    <w:rsid w:val="00E95011"/>
    <w:rsid w:val="00E951DF"/>
    <w:rsid w:val="00E9753F"/>
    <w:rsid w:val="00EA0162"/>
    <w:rsid w:val="00EA194D"/>
    <w:rsid w:val="00EA4A58"/>
    <w:rsid w:val="00EA509C"/>
    <w:rsid w:val="00EA67B2"/>
    <w:rsid w:val="00EA727A"/>
    <w:rsid w:val="00EB6454"/>
    <w:rsid w:val="00EC374D"/>
    <w:rsid w:val="00EC6BE2"/>
    <w:rsid w:val="00EC6D25"/>
    <w:rsid w:val="00ED18BE"/>
    <w:rsid w:val="00ED3163"/>
    <w:rsid w:val="00ED50BC"/>
    <w:rsid w:val="00ED5D38"/>
    <w:rsid w:val="00EE0F02"/>
    <w:rsid w:val="00EE1FBB"/>
    <w:rsid w:val="00EE3DC3"/>
    <w:rsid w:val="00EE5663"/>
    <w:rsid w:val="00EF48B4"/>
    <w:rsid w:val="00EF5EF5"/>
    <w:rsid w:val="00F00372"/>
    <w:rsid w:val="00F04A89"/>
    <w:rsid w:val="00F135C7"/>
    <w:rsid w:val="00F14594"/>
    <w:rsid w:val="00F14598"/>
    <w:rsid w:val="00F14911"/>
    <w:rsid w:val="00F162B6"/>
    <w:rsid w:val="00F20E42"/>
    <w:rsid w:val="00F21515"/>
    <w:rsid w:val="00F25D40"/>
    <w:rsid w:val="00F2782B"/>
    <w:rsid w:val="00F3111F"/>
    <w:rsid w:val="00F329CE"/>
    <w:rsid w:val="00F43799"/>
    <w:rsid w:val="00F45857"/>
    <w:rsid w:val="00F47E37"/>
    <w:rsid w:val="00F50167"/>
    <w:rsid w:val="00F50F4C"/>
    <w:rsid w:val="00F54B1A"/>
    <w:rsid w:val="00F567EB"/>
    <w:rsid w:val="00F625F0"/>
    <w:rsid w:val="00F64596"/>
    <w:rsid w:val="00F64864"/>
    <w:rsid w:val="00F65620"/>
    <w:rsid w:val="00F81EC6"/>
    <w:rsid w:val="00F83ABB"/>
    <w:rsid w:val="00F8485C"/>
    <w:rsid w:val="00F8567B"/>
    <w:rsid w:val="00F863C7"/>
    <w:rsid w:val="00F9280B"/>
    <w:rsid w:val="00F965F5"/>
    <w:rsid w:val="00F97CA9"/>
    <w:rsid w:val="00FA4B2E"/>
    <w:rsid w:val="00FB2BFA"/>
    <w:rsid w:val="00FB35DE"/>
    <w:rsid w:val="00FB3C33"/>
    <w:rsid w:val="00FC0159"/>
    <w:rsid w:val="00FC34C0"/>
    <w:rsid w:val="00FC4EA2"/>
    <w:rsid w:val="00FC5481"/>
    <w:rsid w:val="00FD2D2F"/>
    <w:rsid w:val="00FD34A3"/>
    <w:rsid w:val="00FD6A9F"/>
    <w:rsid w:val="00FE13AD"/>
    <w:rsid w:val="00FE7CF4"/>
    <w:rsid w:val="00FE7F5F"/>
    <w:rsid w:val="00FF4E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2CD64CB-65D5-B84D-8CEF-4747FA7A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6549A"/>
    <w:pPr>
      <w:spacing w:after="0" w:line="240" w:lineRule="auto"/>
    </w:pPr>
    <w:rPr>
      <w:sz w:val="20"/>
      <w:szCs w:val="20"/>
    </w:rPr>
  </w:style>
  <w:style w:type="character" w:customStyle="1" w:styleId="FootnoteTextChar">
    <w:name w:val="Footnote Text Char"/>
    <w:basedOn w:val="DefaultParagraphFont"/>
    <w:link w:val="FootnoteText"/>
    <w:uiPriority w:val="99"/>
    <w:rsid w:val="00E6549A"/>
    <w:rPr>
      <w:sz w:val="20"/>
      <w:szCs w:val="20"/>
    </w:rPr>
  </w:style>
  <w:style w:type="character" w:styleId="FootnoteReference">
    <w:name w:val="footnote reference"/>
    <w:basedOn w:val="DefaultParagraphFont"/>
    <w:uiPriority w:val="99"/>
    <w:unhideWhenUsed/>
    <w:rsid w:val="00E6549A"/>
    <w:rPr>
      <w:vertAlign w:val="superscript"/>
    </w:rPr>
  </w:style>
  <w:style w:type="paragraph" w:styleId="BalloonText">
    <w:name w:val="Balloon Text"/>
    <w:basedOn w:val="Normal"/>
    <w:link w:val="BalloonTextChar"/>
    <w:uiPriority w:val="99"/>
    <w:semiHidden/>
    <w:unhideWhenUsed/>
    <w:rsid w:val="00AC5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59"/>
    <w:rPr>
      <w:rFonts w:ascii="Tahoma" w:hAnsi="Tahoma" w:cs="Tahoma"/>
      <w:sz w:val="16"/>
      <w:szCs w:val="16"/>
    </w:rPr>
  </w:style>
  <w:style w:type="table" w:styleId="TableGrid">
    <w:name w:val="Table Grid"/>
    <w:basedOn w:val="TableNormal"/>
    <w:uiPriority w:val="39"/>
    <w:rsid w:val="00AC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B325F9"/>
  </w:style>
  <w:style w:type="character" w:styleId="CommentReference">
    <w:name w:val="annotation reference"/>
    <w:basedOn w:val="DefaultParagraphFont"/>
    <w:uiPriority w:val="99"/>
    <w:semiHidden/>
    <w:unhideWhenUsed/>
    <w:rsid w:val="00713D1B"/>
    <w:rPr>
      <w:sz w:val="16"/>
      <w:szCs w:val="16"/>
    </w:rPr>
  </w:style>
  <w:style w:type="paragraph" w:styleId="CommentText">
    <w:name w:val="annotation text"/>
    <w:basedOn w:val="Normal"/>
    <w:link w:val="CommentTextChar"/>
    <w:uiPriority w:val="99"/>
    <w:semiHidden/>
    <w:unhideWhenUsed/>
    <w:rsid w:val="00713D1B"/>
    <w:pPr>
      <w:spacing w:line="240" w:lineRule="auto"/>
    </w:pPr>
    <w:rPr>
      <w:sz w:val="20"/>
      <w:szCs w:val="20"/>
    </w:rPr>
  </w:style>
  <w:style w:type="character" w:customStyle="1" w:styleId="CommentTextChar">
    <w:name w:val="Comment Text Char"/>
    <w:basedOn w:val="DefaultParagraphFont"/>
    <w:link w:val="CommentText"/>
    <w:uiPriority w:val="99"/>
    <w:semiHidden/>
    <w:rsid w:val="00713D1B"/>
    <w:rPr>
      <w:sz w:val="20"/>
      <w:szCs w:val="20"/>
    </w:rPr>
  </w:style>
  <w:style w:type="paragraph" w:styleId="CommentSubject">
    <w:name w:val="annotation subject"/>
    <w:basedOn w:val="CommentText"/>
    <w:next w:val="CommentText"/>
    <w:link w:val="CommentSubjectChar"/>
    <w:uiPriority w:val="99"/>
    <w:semiHidden/>
    <w:unhideWhenUsed/>
    <w:rsid w:val="00713D1B"/>
    <w:rPr>
      <w:b/>
      <w:bCs/>
    </w:rPr>
  </w:style>
  <w:style w:type="character" w:customStyle="1" w:styleId="CommentSubjectChar">
    <w:name w:val="Comment Subject Char"/>
    <w:basedOn w:val="CommentTextChar"/>
    <w:link w:val="CommentSubject"/>
    <w:uiPriority w:val="99"/>
    <w:semiHidden/>
    <w:rsid w:val="00713D1B"/>
    <w:rPr>
      <w:b/>
      <w:bCs/>
      <w:sz w:val="20"/>
      <w:szCs w:val="20"/>
    </w:rPr>
  </w:style>
  <w:style w:type="paragraph" w:customStyle="1" w:styleId="western">
    <w:name w:val="western"/>
    <w:basedOn w:val="Normal"/>
    <w:rsid w:val="003B7E79"/>
    <w:pPr>
      <w:spacing w:before="100" w:beforeAutospacing="1" w:after="119" w:line="240" w:lineRule="auto"/>
    </w:pPr>
    <w:rPr>
      <w:rFonts w:ascii="Times" w:hAnsi="Times"/>
      <w:sz w:val="20"/>
      <w:szCs w:val="20"/>
      <w:lang w:val="en-US" w:eastAsia="en-US"/>
    </w:rPr>
  </w:style>
  <w:style w:type="paragraph" w:styleId="Revision">
    <w:name w:val="Revision"/>
    <w:hidden/>
    <w:uiPriority w:val="99"/>
    <w:semiHidden/>
    <w:rsid w:val="0032047B"/>
    <w:pPr>
      <w:spacing w:after="0" w:line="240" w:lineRule="auto"/>
    </w:pPr>
  </w:style>
  <w:style w:type="character" w:styleId="PlaceholderText">
    <w:name w:val="Placeholder Text"/>
    <w:basedOn w:val="DefaultParagraphFont"/>
    <w:uiPriority w:val="99"/>
    <w:semiHidden/>
    <w:rsid w:val="00A557CF"/>
    <w:rPr>
      <w:color w:val="808080"/>
    </w:rPr>
  </w:style>
  <w:style w:type="character" w:customStyle="1" w:styleId="author">
    <w:name w:val="author"/>
    <w:basedOn w:val="DefaultParagraphFont"/>
    <w:rsid w:val="00AF69D8"/>
  </w:style>
  <w:style w:type="character" w:customStyle="1" w:styleId="apple-converted-space">
    <w:name w:val="apple-converted-space"/>
    <w:basedOn w:val="DefaultParagraphFont"/>
    <w:rsid w:val="00AF69D8"/>
  </w:style>
  <w:style w:type="character" w:customStyle="1" w:styleId="year">
    <w:name w:val="year"/>
    <w:basedOn w:val="DefaultParagraphFont"/>
    <w:rsid w:val="00AF69D8"/>
  </w:style>
  <w:style w:type="character" w:customStyle="1" w:styleId="Title1">
    <w:name w:val="Title1"/>
    <w:basedOn w:val="DefaultParagraphFont"/>
    <w:rsid w:val="00AF69D8"/>
  </w:style>
  <w:style w:type="character" w:customStyle="1" w:styleId="journal">
    <w:name w:val="journal"/>
    <w:basedOn w:val="DefaultParagraphFont"/>
    <w:rsid w:val="00AF69D8"/>
  </w:style>
  <w:style w:type="character" w:customStyle="1" w:styleId="vol">
    <w:name w:val="vol"/>
    <w:basedOn w:val="DefaultParagraphFont"/>
    <w:rsid w:val="00AF69D8"/>
  </w:style>
  <w:style w:type="character" w:styleId="Hyperlink">
    <w:name w:val="Hyperlink"/>
    <w:basedOn w:val="DefaultParagraphFont"/>
    <w:uiPriority w:val="99"/>
    <w:unhideWhenUsed/>
    <w:rsid w:val="00AF69D8"/>
    <w:rPr>
      <w:color w:val="0000FF"/>
      <w:u w:val="single"/>
    </w:rPr>
  </w:style>
  <w:style w:type="paragraph" w:styleId="ListParagraph">
    <w:name w:val="List Paragraph"/>
    <w:basedOn w:val="Normal"/>
    <w:uiPriority w:val="34"/>
    <w:qFormat/>
    <w:rsid w:val="00E23E6B"/>
    <w:pPr>
      <w:ind w:left="720"/>
      <w:contextualSpacing/>
    </w:pPr>
  </w:style>
  <w:style w:type="paragraph" w:customStyle="1" w:styleId="Default">
    <w:name w:val="Default"/>
    <w:rsid w:val="001670CC"/>
    <w:pPr>
      <w:widowControl w:val="0"/>
      <w:autoSpaceDE w:val="0"/>
      <w:autoSpaceDN w:val="0"/>
      <w:adjustRightInd w:val="0"/>
      <w:spacing w:after="0" w:line="240" w:lineRule="auto"/>
    </w:pPr>
    <w:rPr>
      <w:rFonts w:ascii="Code" w:eastAsiaTheme="minorHAnsi" w:hAnsi="Code" w:cs="Code"/>
      <w:color w:val="000000"/>
      <w:sz w:val="24"/>
      <w:szCs w:val="24"/>
      <w:lang w:val="en-US" w:eastAsia="en-US"/>
    </w:rPr>
  </w:style>
  <w:style w:type="paragraph" w:styleId="NormalWeb">
    <w:name w:val="Normal (Web)"/>
    <w:basedOn w:val="Normal"/>
    <w:uiPriority w:val="99"/>
    <w:unhideWhenUsed/>
    <w:rsid w:val="00E76A3E"/>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styleId="Header">
    <w:name w:val="header"/>
    <w:basedOn w:val="Normal"/>
    <w:link w:val="HeaderChar"/>
    <w:uiPriority w:val="99"/>
    <w:unhideWhenUsed/>
    <w:rsid w:val="00AD7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04"/>
  </w:style>
  <w:style w:type="paragraph" w:styleId="Footer">
    <w:name w:val="footer"/>
    <w:basedOn w:val="Normal"/>
    <w:link w:val="FooterChar"/>
    <w:uiPriority w:val="99"/>
    <w:unhideWhenUsed/>
    <w:rsid w:val="00AD7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04"/>
  </w:style>
  <w:style w:type="character" w:styleId="FollowedHyperlink">
    <w:name w:val="FollowedHyperlink"/>
    <w:basedOn w:val="DefaultParagraphFont"/>
    <w:uiPriority w:val="99"/>
    <w:semiHidden/>
    <w:unhideWhenUsed/>
    <w:rsid w:val="002B0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208">
      <w:bodyDiv w:val="1"/>
      <w:marLeft w:val="0"/>
      <w:marRight w:val="0"/>
      <w:marTop w:val="0"/>
      <w:marBottom w:val="0"/>
      <w:divBdr>
        <w:top w:val="none" w:sz="0" w:space="0" w:color="auto"/>
        <w:left w:val="none" w:sz="0" w:space="0" w:color="auto"/>
        <w:bottom w:val="none" w:sz="0" w:space="0" w:color="auto"/>
        <w:right w:val="none" w:sz="0" w:space="0" w:color="auto"/>
      </w:divBdr>
    </w:div>
    <w:div w:id="101845225">
      <w:bodyDiv w:val="1"/>
      <w:marLeft w:val="0"/>
      <w:marRight w:val="0"/>
      <w:marTop w:val="0"/>
      <w:marBottom w:val="0"/>
      <w:divBdr>
        <w:top w:val="none" w:sz="0" w:space="0" w:color="auto"/>
        <w:left w:val="none" w:sz="0" w:space="0" w:color="auto"/>
        <w:bottom w:val="none" w:sz="0" w:space="0" w:color="auto"/>
        <w:right w:val="none" w:sz="0" w:space="0" w:color="auto"/>
      </w:divBdr>
    </w:div>
    <w:div w:id="237902411">
      <w:bodyDiv w:val="1"/>
      <w:marLeft w:val="0"/>
      <w:marRight w:val="0"/>
      <w:marTop w:val="0"/>
      <w:marBottom w:val="0"/>
      <w:divBdr>
        <w:top w:val="none" w:sz="0" w:space="0" w:color="auto"/>
        <w:left w:val="none" w:sz="0" w:space="0" w:color="auto"/>
        <w:bottom w:val="none" w:sz="0" w:space="0" w:color="auto"/>
        <w:right w:val="none" w:sz="0" w:space="0" w:color="auto"/>
      </w:divBdr>
    </w:div>
    <w:div w:id="361707849">
      <w:bodyDiv w:val="1"/>
      <w:marLeft w:val="0"/>
      <w:marRight w:val="0"/>
      <w:marTop w:val="0"/>
      <w:marBottom w:val="0"/>
      <w:divBdr>
        <w:top w:val="none" w:sz="0" w:space="0" w:color="auto"/>
        <w:left w:val="none" w:sz="0" w:space="0" w:color="auto"/>
        <w:bottom w:val="none" w:sz="0" w:space="0" w:color="auto"/>
        <w:right w:val="none" w:sz="0" w:space="0" w:color="auto"/>
      </w:divBdr>
    </w:div>
    <w:div w:id="409085658">
      <w:bodyDiv w:val="1"/>
      <w:marLeft w:val="0"/>
      <w:marRight w:val="0"/>
      <w:marTop w:val="0"/>
      <w:marBottom w:val="0"/>
      <w:divBdr>
        <w:top w:val="none" w:sz="0" w:space="0" w:color="auto"/>
        <w:left w:val="none" w:sz="0" w:space="0" w:color="auto"/>
        <w:bottom w:val="none" w:sz="0" w:space="0" w:color="auto"/>
        <w:right w:val="none" w:sz="0" w:space="0" w:color="auto"/>
      </w:divBdr>
    </w:div>
    <w:div w:id="746851887">
      <w:bodyDiv w:val="1"/>
      <w:marLeft w:val="0"/>
      <w:marRight w:val="0"/>
      <w:marTop w:val="0"/>
      <w:marBottom w:val="0"/>
      <w:divBdr>
        <w:top w:val="none" w:sz="0" w:space="0" w:color="auto"/>
        <w:left w:val="none" w:sz="0" w:space="0" w:color="auto"/>
        <w:bottom w:val="none" w:sz="0" w:space="0" w:color="auto"/>
        <w:right w:val="none" w:sz="0" w:space="0" w:color="auto"/>
      </w:divBdr>
    </w:div>
    <w:div w:id="847674391">
      <w:bodyDiv w:val="1"/>
      <w:marLeft w:val="0"/>
      <w:marRight w:val="0"/>
      <w:marTop w:val="0"/>
      <w:marBottom w:val="0"/>
      <w:divBdr>
        <w:top w:val="none" w:sz="0" w:space="0" w:color="auto"/>
        <w:left w:val="none" w:sz="0" w:space="0" w:color="auto"/>
        <w:bottom w:val="none" w:sz="0" w:space="0" w:color="auto"/>
        <w:right w:val="none" w:sz="0" w:space="0" w:color="auto"/>
      </w:divBdr>
    </w:div>
    <w:div w:id="889608379">
      <w:bodyDiv w:val="1"/>
      <w:marLeft w:val="0"/>
      <w:marRight w:val="0"/>
      <w:marTop w:val="0"/>
      <w:marBottom w:val="0"/>
      <w:divBdr>
        <w:top w:val="none" w:sz="0" w:space="0" w:color="auto"/>
        <w:left w:val="none" w:sz="0" w:space="0" w:color="auto"/>
        <w:bottom w:val="none" w:sz="0" w:space="0" w:color="auto"/>
        <w:right w:val="none" w:sz="0" w:space="0" w:color="auto"/>
      </w:divBdr>
    </w:div>
    <w:div w:id="924875049">
      <w:bodyDiv w:val="1"/>
      <w:marLeft w:val="0"/>
      <w:marRight w:val="0"/>
      <w:marTop w:val="0"/>
      <w:marBottom w:val="0"/>
      <w:divBdr>
        <w:top w:val="none" w:sz="0" w:space="0" w:color="auto"/>
        <w:left w:val="none" w:sz="0" w:space="0" w:color="auto"/>
        <w:bottom w:val="none" w:sz="0" w:space="0" w:color="auto"/>
        <w:right w:val="none" w:sz="0" w:space="0" w:color="auto"/>
      </w:divBdr>
    </w:div>
    <w:div w:id="956563687">
      <w:bodyDiv w:val="1"/>
      <w:marLeft w:val="0"/>
      <w:marRight w:val="0"/>
      <w:marTop w:val="0"/>
      <w:marBottom w:val="0"/>
      <w:divBdr>
        <w:top w:val="none" w:sz="0" w:space="0" w:color="auto"/>
        <w:left w:val="none" w:sz="0" w:space="0" w:color="auto"/>
        <w:bottom w:val="none" w:sz="0" w:space="0" w:color="auto"/>
        <w:right w:val="none" w:sz="0" w:space="0" w:color="auto"/>
      </w:divBdr>
    </w:div>
    <w:div w:id="1002663756">
      <w:bodyDiv w:val="1"/>
      <w:marLeft w:val="0"/>
      <w:marRight w:val="0"/>
      <w:marTop w:val="0"/>
      <w:marBottom w:val="0"/>
      <w:divBdr>
        <w:top w:val="none" w:sz="0" w:space="0" w:color="auto"/>
        <w:left w:val="none" w:sz="0" w:space="0" w:color="auto"/>
        <w:bottom w:val="none" w:sz="0" w:space="0" w:color="auto"/>
        <w:right w:val="none" w:sz="0" w:space="0" w:color="auto"/>
      </w:divBdr>
    </w:div>
    <w:div w:id="1063522499">
      <w:bodyDiv w:val="1"/>
      <w:marLeft w:val="0"/>
      <w:marRight w:val="0"/>
      <w:marTop w:val="0"/>
      <w:marBottom w:val="0"/>
      <w:divBdr>
        <w:top w:val="none" w:sz="0" w:space="0" w:color="auto"/>
        <w:left w:val="none" w:sz="0" w:space="0" w:color="auto"/>
        <w:bottom w:val="none" w:sz="0" w:space="0" w:color="auto"/>
        <w:right w:val="none" w:sz="0" w:space="0" w:color="auto"/>
      </w:divBdr>
    </w:div>
    <w:div w:id="1084761286">
      <w:bodyDiv w:val="1"/>
      <w:marLeft w:val="0"/>
      <w:marRight w:val="0"/>
      <w:marTop w:val="0"/>
      <w:marBottom w:val="0"/>
      <w:divBdr>
        <w:top w:val="none" w:sz="0" w:space="0" w:color="auto"/>
        <w:left w:val="none" w:sz="0" w:space="0" w:color="auto"/>
        <w:bottom w:val="none" w:sz="0" w:space="0" w:color="auto"/>
        <w:right w:val="none" w:sz="0" w:space="0" w:color="auto"/>
      </w:divBdr>
    </w:div>
    <w:div w:id="1282760194">
      <w:bodyDiv w:val="1"/>
      <w:marLeft w:val="0"/>
      <w:marRight w:val="0"/>
      <w:marTop w:val="0"/>
      <w:marBottom w:val="0"/>
      <w:divBdr>
        <w:top w:val="none" w:sz="0" w:space="0" w:color="auto"/>
        <w:left w:val="none" w:sz="0" w:space="0" w:color="auto"/>
        <w:bottom w:val="none" w:sz="0" w:space="0" w:color="auto"/>
        <w:right w:val="none" w:sz="0" w:space="0" w:color="auto"/>
      </w:divBdr>
    </w:div>
    <w:div w:id="1291281611">
      <w:bodyDiv w:val="1"/>
      <w:marLeft w:val="0"/>
      <w:marRight w:val="0"/>
      <w:marTop w:val="0"/>
      <w:marBottom w:val="0"/>
      <w:divBdr>
        <w:top w:val="none" w:sz="0" w:space="0" w:color="auto"/>
        <w:left w:val="none" w:sz="0" w:space="0" w:color="auto"/>
        <w:bottom w:val="none" w:sz="0" w:space="0" w:color="auto"/>
        <w:right w:val="none" w:sz="0" w:space="0" w:color="auto"/>
      </w:divBdr>
    </w:div>
    <w:div w:id="1487018457">
      <w:bodyDiv w:val="1"/>
      <w:marLeft w:val="0"/>
      <w:marRight w:val="0"/>
      <w:marTop w:val="0"/>
      <w:marBottom w:val="0"/>
      <w:divBdr>
        <w:top w:val="none" w:sz="0" w:space="0" w:color="auto"/>
        <w:left w:val="none" w:sz="0" w:space="0" w:color="auto"/>
        <w:bottom w:val="none" w:sz="0" w:space="0" w:color="auto"/>
        <w:right w:val="none" w:sz="0" w:space="0" w:color="auto"/>
      </w:divBdr>
    </w:div>
    <w:div w:id="1627278428">
      <w:bodyDiv w:val="1"/>
      <w:marLeft w:val="0"/>
      <w:marRight w:val="0"/>
      <w:marTop w:val="0"/>
      <w:marBottom w:val="0"/>
      <w:divBdr>
        <w:top w:val="none" w:sz="0" w:space="0" w:color="auto"/>
        <w:left w:val="none" w:sz="0" w:space="0" w:color="auto"/>
        <w:bottom w:val="none" w:sz="0" w:space="0" w:color="auto"/>
        <w:right w:val="none" w:sz="0" w:space="0" w:color="auto"/>
      </w:divBdr>
    </w:div>
    <w:div w:id="1711564118">
      <w:bodyDiv w:val="1"/>
      <w:marLeft w:val="0"/>
      <w:marRight w:val="0"/>
      <w:marTop w:val="0"/>
      <w:marBottom w:val="0"/>
      <w:divBdr>
        <w:top w:val="none" w:sz="0" w:space="0" w:color="auto"/>
        <w:left w:val="none" w:sz="0" w:space="0" w:color="auto"/>
        <w:bottom w:val="none" w:sz="0" w:space="0" w:color="auto"/>
        <w:right w:val="none" w:sz="0" w:space="0" w:color="auto"/>
      </w:divBdr>
    </w:div>
    <w:div w:id="1782795862">
      <w:bodyDiv w:val="1"/>
      <w:marLeft w:val="0"/>
      <w:marRight w:val="0"/>
      <w:marTop w:val="0"/>
      <w:marBottom w:val="0"/>
      <w:divBdr>
        <w:top w:val="none" w:sz="0" w:space="0" w:color="auto"/>
        <w:left w:val="none" w:sz="0" w:space="0" w:color="auto"/>
        <w:bottom w:val="none" w:sz="0" w:space="0" w:color="auto"/>
        <w:right w:val="none" w:sz="0" w:space="0" w:color="auto"/>
      </w:divBdr>
    </w:div>
    <w:div w:id="1815293812">
      <w:bodyDiv w:val="1"/>
      <w:marLeft w:val="0"/>
      <w:marRight w:val="0"/>
      <w:marTop w:val="0"/>
      <w:marBottom w:val="0"/>
      <w:divBdr>
        <w:top w:val="none" w:sz="0" w:space="0" w:color="auto"/>
        <w:left w:val="none" w:sz="0" w:space="0" w:color="auto"/>
        <w:bottom w:val="none" w:sz="0" w:space="0" w:color="auto"/>
        <w:right w:val="none" w:sz="0" w:space="0" w:color="auto"/>
      </w:divBdr>
    </w:div>
    <w:div w:id="1952392099">
      <w:bodyDiv w:val="1"/>
      <w:marLeft w:val="0"/>
      <w:marRight w:val="0"/>
      <w:marTop w:val="0"/>
      <w:marBottom w:val="0"/>
      <w:divBdr>
        <w:top w:val="none" w:sz="0" w:space="0" w:color="auto"/>
        <w:left w:val="none" w:sz="0" w:space="0" w:color="auto"/>
        <w:bottom w:val="none" w:sz="0" w:space="0" w:color="auto"/>
        <w:right w:val="none" w:sz="0" w:space="0" w:color="auto"/>
      </w:divBdr>
    </w:div>
    <w:div w:id="2013288199">
      <w:bodyDiv w:val="1"/>
      <w:marLeft w:val="0"/>
      <w:marRight w:val="0"/>
      <w:marTop w:val="0"/>
      <w:marBottom w:val="0"/>
      <w:divBdr>
        <w:top w:val="none" w:sz="0" w:space="0" w:color="auto"/>
        <w:left w:val="none" w:sz="0" w:space="0" w:color="auto"/>
        <w:bottom w:val="none" w:sz="0" w:space="0" w:color="auto"/>
        <w:right w:val="none" w:sz="0" w:space="0" w:color="auto"/>
      </w:divBdr>
    </w:div>
    <w:div w:id="2043705034">
      <w:bodyDiv w:val="1"/>
      <w:marLeft w:val="0"/>
      <w:marRight w:val="0"/>
      <w:marTop w:val="0"/>
      <w:marBottom w:val="0"/>
      <w:divBdr>
        <w:top w:val="none" w:sz="0" w:space="0" w:color="auto"/>
        <w:left w:val="none" w:sz="0" w:space="0" w:color="auto"/>
        <w:bottom w:val="none" w:sz="0" w:space="0" w:color="auto"/>
        <w:right w:val="none" w:sz="0" w:space="0" w:color="auto"/>
      </w:divBdr>
      <w:divsChild>
        <w:div w:id="1898976704">
          <w:marLeft w:val="0"/>
          <w:marRight w:val="0"/>
          <w:marTop w:val="0"/>
          <w:marBottom w:val="0"/>
          <w:divBdr>
            <w:top w:val="none" w:sz="0" w:space="0" w:color="auto"/>
            <w:left w:val="none" w:sz="0" w:space="0" w:color="auto"/>
            <w:bottom w:val="none" w:sz="0" w:space="0" w:color="auto"/>
            <w:right w:val="none" w:sz="0" w:space="0" w:color="auto"/>
          </w:divBdr>
          <w:divsChild>
            <w:div w:id="962230670">
              <w:marLeft w:val="0"/>
              <w:marRight w:val="0"/>
              <w:marTop w:val="0"/>
              <w:marBottom w:val="0"/>
              <w:divBdr>
                <w:top w:val="none" w:sz="0" w:space="0" w:color="auto"/>
                <w:left w:val="none" w:sz="0" w:space="0" w:color="auto"/>
                <w:bottom w:val="none" w:sz="0" w:space="0" w:color="auto"/>
                <w:right w:val="none" w:sz="0" w:space="0" w:color="auto"/>
              </w:divBdr>
              <w:divsChild>
                <w:div w:id="19151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6504">
      <w:bodyDiv w:val="1"/>
      <w:marLeft w:val="0"/>
      <w:marRight w:val="0"/>
      <w:marTop w:val="0"/>
      <w:marBottom w:val="0"/>
      <w:divBdr>
        <w:top w:val="none" w:sz="0" w:space="0" w:color="auto"/>
        <w:left w:val="none" w:sz="0" w:space="0" w:color="auto"/>
        <w:bottom w:val="none" w:sz="0" w:space="0" w:color="auto"/>
        <w:right w:val="none" w:sz="0" w:space="0" w:color="auto"/>
      </w:divBdr>
    </w:div>
    <w:div w:id="20894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139/ssrn.29448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016/j.eeh.2017.01.003" TargetMode="External"/><Relationship Id="rId4" Type="http://schemas.openxmlformats.org/officeDocument/2006/relationships/settings" Target="settings.xml"/><Relationship Id="rId9" Type="http://schemas.openxmlformats.org/officeDocument/2006/relationships/hyperlink" Target="http://doi.org/10.3886/E107288V1" TargetMode="External"/><Relationship Id="rId14" Type="http://schemas.openxmlformats.org/officeDocument/2006/relationships/image" Target="media/image3.wmf"/></Relationships>
</file>

<file path=word/_rels/footnotes.xml.rels><?xml version="1.0" encoding="UTF-8" standalone="yes"?>
<Relationships xmlns="http://schemas.openxmlformats.org/package/2006/relationships"><Relationship Id="rId3" Type="http://schemas.openxmlformats.org/officeDocument/2006/relationships/hyperlink" Target="https://usa.ipums.org/usa-action/variables/OCCSCORE" TargetMode="External"/><Relationship Id="rId2" Type="http://schemas.openxmlformats.org/officeDocument/2006/relationships/hyperlink" Target="http://doi.org/10.3886/E107288V1" TargetMode="External"/><Relationship Id="rId1" Type="http://schemas.openxmlformats.org/officeDocument/2006/relationships/hyperlink" Target="http://www.lse.ac.uk/Economic-History/Assets/Documents/WorkingPapers/Economic-History/2018/WP2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ECE43-95CC-44CD-A49A-A504A9D8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6023</Words>
  <Characters>34335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40278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cp:lastPrinted>2018-11-02T10:48:00Z</cp:lastPrinted>
  <dcterms:created xsi:type="dcterms:W3CDTF">2019-04-24T10:39:00Z</dcterms:created>
  <dcterms:modified xsi:type="dcterms:W3CDTF">2019-04-24T10:39:00Z</dcterms:modified>
</cp:coreProperties>
</file>