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CB6" w:rsidRPr="008567C3" w:rsidRDefault="003E2F14">
      <w:pPr>
        <w:rPr>
          <w:b/>
          <w:sz w:val="28"/>
          <w:szCs w:val="28"/>
        </w:rPr>
      </w:pPr>
      <w:bookmarkStart w:id="0" w:name="_GoBack"/>
      <w:bookmarkEnd w:id="0"/>
      <w:r>
        <w:rPr>
          <w:b/>
          <w:sz w:val="28"/>
          <w:szCs w:val="28"/>
        </w:rPr>
        <w:t>‘</w:t>
      </w:r>
      <w:r w:rsidR="008567C3" w:rsidRPr="008567C3">
        <w:rPr>
          <w:b/>
          <w:sz w:val="28"/>
          <w:szCs w:val="28"/>
        </w:rPr>
        <w:t>The Bureaucracy</w:t>
      </w:r>
      <w:r>
        <w:rPr>
          <w:b/>
          <w:sz w:val="28"/>
          <w:szCs w:val="28"/>
        </w:rPr>
        <w:t>’</w:t>
      </w:r>
      <w:r w:rsidR="008567C3" w:rsidRPr="008567C3">
        <w:rPr>
          <w:b/>
          <w:sz w:val="28"/>
          <w:szCs w:val="28"/>
        </w:rPr>
        <w:t xml:space="preserve"> as an Interest Group</w:t>
      </w:r>
    </w:p>
    <w:p w:rsidR="008567C3" w:rsidRDefault="008567C3"/>
    <w:p w:rsidR="008567C3" w:rsidRPr="00872B26" w:rsidRDefault="008567C3">
      <w:pPr>
        <w:rPr>
          <w:sz w:val="24"/>
          <w:szCs w:val="24"/>
        </w:rPr>
      </w:pPr>
    </w:p>
    <w:p w:rsidR="008567C3" w:rsidRPr="00872B26" w:rsidRDefault="008567C3">
      <w:pPr>
        <w:rPr>
          <w:b/>
          <w:sz w:val="24"/>
          <w:szCs w:val="24"/>
        </w:rPr>
      </w:pPr>
      <w:r w:rsidRPr="00872B26">
        <w:rPr>
          <w:b/>
          <w:sz w:val="24"/>
          <w:szCs w:val="24"/>
        </w:rPr>
        <w:t>Patrick Dunleavy</w:t>
      </w:r>
    </w:p>
    <w:p w:rsidR="008567C3" w:rsidRPr="00872B26" w:rsidRDefault="008567C3">
      <w:pPr>
        <w:rPr>
          <w:sz w:val="24"/>
          <w:szCs w:val="24"/>
        </w:rPr>
      </w:pPr>
      <w:r w:rsidRPr="00872B26">
        <w:rPr>
          <w:sz w:val="24"/>
          <w:szCs w:val="24"/>
        </w:rPr>
        <w:t>London School of Economics and Political Science (LSE)</w:t>
      </w:r>
    </w:p>
    <w:p w:rsidR="008567C3" w:rsidRDefault="008567C3"/>
    <w:p w:rsidR="008567C3" w:rsidRDefault="008567C3"/>
    <w:p w:rsidR="008567C3" w:rsidRPr="00872B26" w:rsidRDefault="00872B26">
      <w:pPr>
        <w:rPr>
          <w:sz w:val="24"/>
          <w:szCs w:val="24"/>
        </w:rPr>
      </w:pPr>
      <w:r w:rsidRPr="00872B26">
        <w:rPr>
          <w:sz w:val="24"/>
          <w:szCs w:val="24"/>
        </w:rPr>
        <w:t>Chapter 29 in R</w:t>
      </w:r>
      <w:r w:rsidR="00824F3C" w:rsidRPr="00872B26">
        <w:rPr>
          <w:sz w:val="24"/>
          <w:szCs w:val="24"/>
        </w:rPr>
        <w:t xml:space="preserve">oger Congleton, </w:t>
      </w:r>
      <w:r w:rsidR="008567C3" w:rsidRPr="00872B26">
        <w:rPr>
          <w:sz w:val="24"/>
          <w:szCs w:val="24"/>
        </w:rPr>
        <w:t>Ber</w:t>
      </w:r>
      <w:r w:rsidR="00824F3C" w:rsidRPr="00872B26">
        <w:rPr>
          <w:sz w:val="24"/>
          <w:szCs w:val="24"/>
        </w:rPr>
        <w:t xml:space="preserve">nie </w:t>
      </w:r>
      <w:proofErr w:type="spellStart"/>
      <w:r w:rsidR="00824F3C" w:rsidRPr="00872B26">
        <w:rPr>
          <w:sz w:val="24"/>
          <w:szCs w:val="24"/>
        </w:rPr>
        <w:t>Grofman</w:t>
      </w:r>
      <w:proofErr w:type="spellEnd"/>
      <w:r w:rsidR="00824F3C" w:rsidRPr="00872B26">
        <w:rPr>
          <w:sz w:val="24"/>
          <w:szCs w:val="24"/>
        </w:rPr>
        <w:t xml:space="preserve"> and</w:t>
      </w:r>
      <w:r w:rsidR="008567C3" w:rsidRPr="00872B26">
        <w:rPr>
          <w:sz w:val="24"/>
          <w:szCs w:val="24"/>
        </w:rPr>
        <w:t xml:space="preserve"> Stefan Voigt, (eds) </w:t>
      </w:r>
      <w:r w:rsidR="008567C3" w:rsidRPr="00872B26">
        <w:rPr>
          <w:i/>
          <w:sz w:val="24"/>
          <w:szCs w:val="24"/>
        </w:rPr>
        <w:t>The Oxford Handbook of Public Choice</w:t>
      </w:r>
      <w:r w:rsidR="008567C3" w:rsidRPr="00872B26">
        <w:rPr>
          <w:sz w:val="24"/>
          <w:szCs w:val="24"/>
        </w:rPr>
        <w:t xml:space="preserve"> (Oxford: Oxford University Press, 201</w:t>
      </w:r>
      <w:r w:rsidRPr="00872B26">
        <w:rPr>
          <w:sz w:val="24"/>
          <w:szCs w:val="24"/>
        </w:rPr>
        <w:t>8</w:t>
      </w:r>
      <w:r w:rsidR="008567C3" w:rsidRPr="00872B26">
        <w:rPr>
          <w:sz w:val="24"/>
          <w:szCs w:val="24"/>
        </w:rPr>
        <w:t>).</w:t>
      </w:r>
    </w:p>
    <w:p w:rsidR="008567C3" w:rsidRDefault="008567C3">
      <w:pPr>
        <w:pBdr>
          <w:bottom w:val="single" w:sz="6" w:space="1" w:color="auto"/>
        </w:pBdr>
      </w:pPr>
    </w:p>
    <w:p w:rsidR="008567C3" w:rsidRDefault="008567C3"/>
    <w:p w:rsidR="008567C3" w:rsidRDefault="008567C3"/>
    <w:p w:rsidR="00E758C6" w:rsidRDefault="00C75C77" w:rsidP="00C75C77">
      <w:pPr>
        <w:spacing w:line="360" w:lineRule="auto"/>
      </w:pPr>
      <w:r>
        <w:t>Just as the theory of the firm started with simple propositions about what firms maximize</w:t>
      </w:r>
      <w:r w:rsidR="00794E24">
        <w:t xml:space="preserve"> (profits, sales, </w:t>
      </w:r>
      <w:r w:rsidR="002972E4">
        <w:t>etc.</w:t>
      </w:r>
      <w:r w:rsidR="00794E24">
        <w:t>)</w:t>
      </w:r>
      <w:r>
        <w:t xml:space="preserve">, that were subsequently pluralized by alternative theories and empirical research, so the public choice theory of bureaucracy began with ultra-simple ‘classical’ models </w:t>
      </w:r>
      <w:r w:rsidR="00A43FEE">
        <w:t xml:space="preserve">in the early 1970s, </w:t>
      </w:r>
      <w:r>
        <w:t xml:space="preserve">and </w:t>
      </w:r>
      <w:r w:rsidR="00A43FEE">
        <w:t xml:space="preserve">since then </w:t>
      </w:r>
      <w:r>
        <w:t>has moved towards more behaviourally realistic and complex models.</w:t>
      </w:r>
      <w:r w:rsidR="00A43FEE">
        <w:t xml:space="preserve"> </w:t>
      </w:r>
      <w:r w:rsidR="002972E4">
        <w:t xml:space="preserve">To assess this contribution I briefly establish the precursor views of public administration that prevailed until the 1970s. </w:t>
      </w:r>
      <w:r w:rsidR="009812D5">
        <w:t>Next I examine seven main public choice explanations of the bureaucracy as an interest group, beginning with the classical mod</w:t>
      </w:r>
      <w:r w:rsidR="00824F3C">
        <w:t>els that long-defined the field;</w:t>
      </w:r>
      <w:r w:rsidR="009812D5">
        <w:t xml:space="preserve"> moving on to revisionist models from th</w:t>
      </w:r>
      <w:r w:rsidR="00824F3C">
        <w:t>e 1990s and 2000s;</w:t>
      </w:r>
      <w:r w:rsidR="009812D5">
        <w:t xml:space="preserve"> and </w:t>
      </w:r>
      <w:r w:rsidR="00824F3C">
        <w:t xml:space="preserve">then covering </w:t>
      </w:r>
      <w:r w:rsidR="009812D5">
        <w:t>two delegation model</w:t>
      </w:r>
      <w:r w:rsidR="00824F3C">
        <w:t xml:space="preserve">s of </w:t>
      </w:r>
      <w:r w:rsidR="009812D5">
        <w:t xml:space="preserve">the political imperatives for entrusting issues to bureaucracies. Classical public choice and economic models have been enormously influential, especially in creating </w:t>
      </w:r>
      <w:r w:rsidR="004B6FE4">
        <w:t xml:space="preserve">intellectual foundations for </w:t>
      </w:r>
      <w:r w:rsidR="009812D5">
        <w:t xml:space="preserve">a ‘new public management’ (NPM) </w:t>
      </w:r>
      <w:r w:rsidR="004B6FE4">
        <w:t xml:space="preserve">quasi-paradigm </w:t>
      </w:r>
      <w:r w:rsidR="009812D5">
        <w:t>that was importa</w:t>
      </w:r>
      <w:r w:rsidR="004B6FE4">
        <w:t>nt from 1985 to 2005. The final</w:t>
      </w:r>
      <w:r w:rsidR="009812D5">
        <w:t xml:space="preserve"> sections explore</w:t>
      </w:r>
      <w:r w:rsidR="004B6FE4">
        <w:t>s</w:t>
      </w:r>
      <w:r w:rsidR="009812D5">
        <w:t xml:space="preserve"> </w:t>
      </w:r>
      <w:r w:rsidR="004B6FE4">
        <w:t xml:space="preserve">why the classical models did not anticipate </w:t>
      </w:r>
      <w:r w:rsidR="009812D5">
        <w:t>NPM’s failure</w:t>
      </w:r>
      <w:r w:rsidR="004B6FE4">
        <w:t xml:space="preserve">s and ill-adaptation to the </w:t>
      </w:r>
      <w:r w:rsidR="009812D5">
        <w:t>large-scale government austerity measures in many liberal democracies</w:t>
      </w:r>
      <w:r w:rsidR="004B6FE4">
        <w:t xml:space="preserve"> after 2008</w:t>
      </w:r>
      <w:r w:rsidR="009812D5">
        <w:t xml:space="preserve">. </w:t>
      </w:r>
      <w:r w:rsidR="00824F3C">
        <w:t>Revisionist models, by contrast, anticipated or highlighted many NPM failings.</w:t>
      </w:r>
    </w:p>
    <w:p w:rsidR="00E758C6" w:rsidRDefault="00E758C6" w:rsidP="00C75C77">
      <w:pPr>
        <w:spacing w:line="360" w:lineRule="auto"/>
      </w:pPr>
    </w:p>
    <w:p w:rsidR="00E758C6" w:rsidRPr="00E758C6" w:rsidRDefault="00E758C6" w:rsidP="00C75C77">
      <w:pPr>
        <w:spacing w:line="360" w:lineRule="auto"/>
        <w:rPr>
          <w:b/>
        </w:rPr>
      </w:pPr>
      <w:r w:rsidRPr="00E758C6">
        <w:rPr>
          <w:b/>
        </w:rPr>
        <w:t>Precursors</w:t>
      </w:r>
    </w:p>
    <w:p w:rsidR="00E758C6" w:rsidRDefault="00A43FEE" w:rsidP="00E758C6">
      <w:pPr>
        <w:spacing w:line="360" w:lineRule="auto"/>
      </w:pPr>
      <w:r>
        <w:t xml:space="preserve">Before public choice </w:t>
      </w:r>
      <w:r w:rsidR="00E758C6">
        <w:t xml:space="preserve">arrived on the scene, </w:t>
      </w:r>
      <w:r w:rsidR="004B6FE4">
        <w:t xml:space="preserve">academic </w:t>
      </w:r>
      <w:r>
        <w:t xml:space="preserve">public administration was dominated by Weberian theories of meritocratic bureaucracy organized in </w:t>
      </w:r>
      <w:r w:rsidR="00824F3C">
        <w:t xml:space="preserve">large, </w:t>
      </w:r>
      <w:r>
        <w:t>pyramidal hierarchies as a rationally superior form of organization</w:t>
      </w:r>
      <w:r w:rsidR="00E758C6">
        <w:t>,</w:t>
      </w:r>
      <w:r>
        <w:t xml:space="preserve"> </w:t>
      </w:r>
      <w:r w:rsidR="00794E24">
        <w:t>both in government and</w:t>
      </w:r>
      <w:r>
        <w:t xml:space="preserve"> large cor</w:t>
      </w:r>
      <w:r w:rsidR="00794E24">
        <w:t>p</w:t>
      </w:r>
      <w:r>
        <w:t>orations.</w:t>
      </w:r>
      <w:r w:rsidR="00794E24">
        <w:t xml:space="preserve"> In the post 1945 period American pluralist thought married with Weberian ideas </w:t>
      </w:r>
      <w:r w:rsidR="009F40DD">
        <w:t xml:space="preserve">the twin </w:t>
      </w:r>
      <w:r w:rsidR="00794E24">
        <w:t xml:space="preserve">themes of </w:t>
      </w:r>
      <w:r w:rsidR="00E758C6">
        <w:t xml:space="preserve">public bureaucracies </w:t>
      </w:r>
      <w:r w:rsidR="00794E24">
        <w:t xml:space="preserve">securing political control by elected leaders and socializing public officials into detailed responsiveness to interest groups, electoral signals and public opinion </w:t>
      </w:r>
      <w:r w:rsidR="009F40DD">
        <w:t>– a hybrid that Hood (19</w:t>
      </w:r>
      <w:r w:rsidR="00A818D4">
        <w:t>95</w:t>
      </w:r>
      <w:r w:rsidR="009F40DD">
        <w:t xml:space="preserve">) termed ‘progressive public administration’ (PPA). </w:t>
      </w:r>
      <w:r w:rsidR="00E758C6">
        <w:t>The PPA model was strongest in t</w:t>
      </w:r>
      <w:r w:rsidR="00824F3C">
        <w:t xml:space="preserve">he Anglo-American countries. It </w:t>
      </w:r>
      <w:r w:rsidR="00E758C6">
        <w:t>defended lifetime career civil services, both ‘generalist’ and ‘specialist’/professional patterns of organization, a</w:t>
      </w:r>
      <w:r w:rsidR="00824F3C">
        <w:t>nd integrated agencies both identify</w:t>
      </w:r>
      <w:r w:rsidR="00E758C6">
        <w:t>ing policy needs and then supplying services to meet them</w:t>
      </w:r>
      <w:r w:rsidR="00824F3C">
        <w:t xml:space="preserve"> in monopsonistic fashion</w:t>
      </w:r>
      <w:r w:rsidR="00E758C6">
        <w:t xml:space="preserve">. Over time other themes </w:t>
      </w:r>
      <w:r w:rsidR="00E758C6">
        <w:lastRenderedPageBreak/>
        <w:t xml:space="preserve">were added to this conventional wisdom, such as a strong faith in rational comprehensive planning, and across most of western Europe a </w:t>
      </w:r>
      <w:r w:rsidR="00824F3C">
        <w:t xml:space="preserve">1960s and ‘70s </w:t>
      </w:r>
      <w:r w:rsidR="00E758C6">
        <w:t xml:space="preserve">drive to ‘modernize’ regional and local governments into larger </w:t>
      </w:r>
      <w:r w:rsidR="006C2F78">
        <w:t xml:space="preserve">metropolitan </w:t>
      </w:r>
      <w:r w:rsidR="00E758C6">
        <w:t xml:space="preserve">units. </w:t>
      </w:r>
      <w:r w:rsidR="002972E4">
        <w:t xml:space="preserve">This was resisted only in the USA, where Charles Tiebout’s (1956) defence of hyper-fragmented local governments as competing to attract residents was influential in preserving suburban fragmentation. </w:t>
      </w:r>
      <w:r w:rsidR="00E758C6">
        <w:t xml:space="preserve">In the Samuelson-era economics of the 1950s, when analysts identified a market failure, it was often implicitly assumed that government intervention </w:t>
      </w:r>
      <w:r w:rsidR="006C2F78">
        <w:t xml:space="preserve">(whether by regulations or via service provision) </w:t>
      </w:r>
      <w:r w:rsidR="00E758C6">
        <w:t xml:space="preserve">could </w:t>
      </w:r>
      <w:r w:rsidR="00824F3C">
        <w:t xml:space="preserve">secure public goods provision in </w:t>
      </w:r>
      <w:r w:rsidR="006C2F78">
        <w:t>a frictionless</w:t>
      </w:r>
      <w:r w:rsidR="004B6FE4">
        <w:t xml:space="preserve">, </w:t>
      </w:r>
      <w:r w:rsidR="006C2F78">
        <w:t>optimal way</w:t>
      </w:r>
      <w:r w:rsidR="00E758C6">
        <w:t>.</w:t>
      </w:r>
    </w:p>
    <w:p w:rsidR="00824F3C" w:rsidRDefault="00E758C6" w:rsidP="009F40DD">
      <w:pPr>
        <w:spacing w:line="360" w:lineRule="auto"/>
        <w:ind w:firstLine="567"/>
      </w:pPr>
      <w:r>
        <w:t>Of course, pluralist authors noted that government bureaucracies actually varied a lot across countri</w:t>
      </w:r>
      <w:r w:rsidR="006C2F78">
        <w:t>es, but</w:t>
      </w:r>
      <w:r w:rsidR="00824F3C">
        <w:t xml:space="preserve"> they</w:t>
      </w:r>
      <w:r w:rsidR="006C2F78">
        <w:t xml:space="preserve"> gave political explanati</w:t>
      </w:r>
      <w:r>
        <w:t xml:space="preserve">ons of this. </w:t>
      </w:r>
      <w:r w:rsidR="009F40DD">
        <w:t>Silberman (19</w:t>
      </w:r>
      <w:r w:rsidR="00002FFA">
        <w:t>93</w:t>
      </w:r>
      <w:r w:rsidR="009F40DD">
        <w:t>) famously argued that the Weberian administrative traditio</w:t>
      </w:r>
      <w:r w:rsidR="00824F3C">
        <w:t>n split into two streams. C</w:t>
      </w:r>
      <w:r w:rsidR="009F40DD">
        <w:t>ountries where political elites succeeded early on in organizing peaceful leadership transiti</w:t>
      </w:r>
      <w:r w:rsidR="00824F3C">
        <w:t>ons (like the USA and UK) opted</w:t>
      </w:r>
      <w:r w:rsidR="009F40DD">
        <w:t xml:space="preserve"> for a low-key, ‘professional’ mode of socializing public servants into respect for the public interest. Meanwhile in countries where political elites long proved unable to master peaceful political succession (such as France and Japan), far stronger central bureaucracies were developed to act as pillars of the state, preserving </w:t>
      </w:r>
      <w:r w:rsidR="006C2F78">
        <w:t xml:space="preserve">government </w:t>
      </w:r>
      <w:r w:rsidR="004B6FE4">
        <w:t xml:space="preserve">continuity through </w:t>
      </w:r>
      <w:r w:rsidR="006C2F78">
        <w:t xml:space="preserve">periods of strong </w:t>
      </w:r>
      <w:r w:rsidR="009F40DD">
        <w:t>political turbulence.</w:t>
      </w:r>
    </w:p>
    <w:p w:rsidR="00824F3C" w:rsidRDefault="006F451C" w:rsidP="009F40DD">
      <w:pPr>
        <w:spacing w:line="360" w:lineRule="auto"/>
        <w:ind w:firstLine="567"/>
      </w:pPr>
      <w:r>
        <w:t>Before public choice then, theories of public administration were mainly uncritical, assuming a general organizational functionality and responsiveness. Many economi</w:t>
      </w:r>
      <w:r w:rsidR="006C2F78">
        <w:t>sts and right-wing critics</w:t>
      </w:r>
      <w:r>
        <w:t xml:space="preserve"> argued that they essentially treated public servants as ‘sai</w:t>
      </w:r>
      <w:r w:rsidR="00002FFA">
        <w:t>nts’ or ‘knights’ (LeGrand, 2007</w:t>
      </w:r>
      <w:r>
        <w:t>), whose interests were fully aligned by institutional controls and by internal civil service culture and socialization processes with</w:t>
      </w:r>
      <w:r w:rsidR="006C2F78">
        <w:t xml:space="preserve"> those of the public at large. And indeed to this day t</w:t>
      </w:r>
      <w:r>
        <w:t xml:space="preserve">his article of faith still recurs in influential modern work (Moore, 1995). </w:t>
      </w:r>
    </w:p>
    <w:p w:rsidR="00E758C6" w:rsidRDefault="006F451C" w:rsidP="009F40DD">
      <w:pPr>
        <w:spacing w:line="360" w:lineRule="auto"/>
        <w:ind w:firstLine="567"/>
      </w:pPr>
      <w:r>
        <w:t xml:space="preserve">However, pluralist </w:t>
      </w:r>
      <w:r w:rsidR="00D72DFF">
        <w:t xml:space="preserve">political science </w:t>
      </w:r>
      <w:r>
        <w:t xml:space="preserve">theories did recognize </w:t>
      </w:r>
      <w:r w:rsidR="00D72DFF">
        <w:t xml:space="preserve">two ways </w:t>
      </w:r>
      <w:r>
        <w:t xml:space="preserve">in which </w:t>
      </w:r>
      <w:r w:rsidR="00824F3C">
        <w:t xml:space="preserve">officials </w:t>
      </w:r>
      <w:r>
        <w:t>could be</w:t>
      </w:r>
      <w:r w:rsidR="00E758C6">
        <w:t xml:space="preserve">have </w:t>
      </w:r>
      <w:r>
        <w:t>self-interest</w:t>
      </w:r>
      <w:r w:rsidR="00E758C6">
        <w:t>edly</w:t>
      </w:r>
      <w:r>
        <w:t xml:space="preserve">. </w:t>
      </w:r>
      <w:r w:rsidR="00824F3C">
        <w:t>First, bureaucracie</w:t>
      </w:r>
      <w:r w:rsidR="00D72DFF">
        <w:t xml:space="preserve">s (and political decision-making) </w:t>
      </w:r>
      <w:r w:rsidR="00E758C6">
        <w:t xml:space="preserve">are </w:t>
      </w:r>
      <w:r w:rsidR="00D72DFF">
        <w:t xml:space="preserve">generally </w:t>
      </w:r>
      <w:r w:rsidR="00E758C6">
        <w:t>conservative</w:t>
      </w:r>
      <w:r w:rsidR="00824F3C">
        <w:t>, creating incremental</w:t>
      </w:r>
      <w:r w:rsidR="00D72DFF">
        <w:t xml:space="preserve"> policy changes only </w:t>
      </w:r>
      <w:r w:rsidR="00E758C6">
        <w:t>at the margins. B</w:t>
      </w:r>
      <w:r w:rsidR="00D72DFF">
        <w:t xml:space="preserve">ase-budgets and ongoing programmes were left largely </w:t>
      </w:r>
      <w:r w:rsidR="00E758C6">
        <w:t>unscrutinised by budgetary systems</w:t>
      </w:r>
      <w:r w:rsidR="00C424ED">
        <w:t xml:space="preserve">, thus creating tendencies for government </w:t>
      </w:r>
      <w:r w:rsidR="00E758C6">
        <w:t>to incrementally expand over time</w:t>
      </w:r>
      <w:r w:rsidR="00C424ED">
        <w:t xml:space="preserve"> </w:t>
      </w:r>
      <w:r w:rsidR="00824F3C">
        <w:t xml:space="preserve">so as </w:t>
      </w:r>
      <w:r w:rsidR="00C424ED">
        <w:t>to meet new public demands</w:t>
      </w:r>
      <w:r w:rsidR="00D72DFF">
        <w:t xml:space="preserve">. Public bureaucracies would also characteristically ‘drag their feet’ when faced by radical demands from incoming governments for spending cuts (and to a lesser degree, </w:t>
      </w:r>
      <w:r w:rsidR="00E758C6">
        <w:t xml:space="preserve">spending </w:t>
      </w:r>
      <w:r w:rsidR="00D72DFF">
        <w:t xml:space="preserve">increases), or </w:t>
      </w:r>
      <w:r w:rsidR="00E758C6">
        <w:t xml:space="preserve">when asked to make </w:t>
      </w:r>
      <w:r w:rsidR="00D72DFF">
        <w:t>large-scale policy shifts. Bureaucratic inertia was generally seen as stabilizing, protecting against ill-thought-through changes, impractical policy ideas or over-politicized ‘policy churn’.</w:t>
      </w:r>
      <w:r>
        <w:t xml:space="preserve"> </w:t>
      </w:r>
    </w:p>
    <w:p w:rsidR="006F451C" w:rsidRDefault="00C424ED" w:rsidP="009F40DD">
      <w:pPr>
        <w:spacing w:line="360" w:lineRule="auto"/>
        <w:ind w:firstLine="567"/>
      </w:pPr>
      <w:r>
        <w:t xml:space="preserve">Second, just as Galbraith (1969) dwelt on the importance of </w:t>
      </w:r>
      <w:r w:rsidR="00E758C6">
        <w:t xml:space="preserve">corporation </w:t>
      </w:r>
      <w:r>
        <w:t xml:space="preserve">executives’ identification and adaptation with </w:t>
      </w:r>
      <w:r w:rsidR="00E758C6">
        <w:t xml:space="preserve">their firms </w:t>
      </w:r>
      <w:r>
        <w:t xml:space="preserve">as </w:t>
      </w:r>
      <w:r w:rsidR="00E758C6">
        <w:t xml:space="preserve">dominant </w:t>
      </w:r>
      <w:r>
        <w:t xml:space="preserve">motivations </w:t>
      </w:r>
      <w:r w:rsidR="00E758C6">
        <w:t>with</w:t>
      </w:r>
      <w:r>
        <w:t>in the ‘new industrial state’, so officials could become over-a</w:t>
      </w:r>
      <w:r w:rsidR="00824F3C">
        <w:t>ttached to their programs. ‘W</w:t>
      </w:r>
      <w:r>
        <w:t xml:space="preserve">here you stand depends on </w:t>
      </w:r>
      <w:r>
        <w:lastRenderedPageBreak/>
        <w:t>where you sit’ dominates bureaucratic decisi</w:t>
      </w:r>
      <w:r w:rsidR="00920345">
        <w:t>on-making (Allison and Zelikow, 1999),</w:t>
      </w:r>
      <w:r w:rsidR="00824F3C">
        <w:t xml:space="preserve"> so </w:t>
      </w:r>
      <w:r>
        <w:t xml:space="preserve">political executives must </w:t>
      </w:r>
      <w:r w:rsidR="00E758C6">
        <w:t xml:space="preserve">always </w:t>
      </w:r>
      <w:r>
        <w:t xml:space="preserve">aim off </w:t>
      </w:r>
      <w:r w:rsidR="00E758C6">
        <w:t xml:space="preserve">somewhat </w:t>
      </w:r>
      <w:r>
        <w:t xml:space="preserve">for agency self-interest in sifting advice. Both these motives were explored in some detail by Antony Downs’ pioneering semi-public choice account, </w:t>
      </w:r>
      <w:r w:rsidRPr="00C424ED">
        <w:rPr>
          <w:i/>
        </w:rPr>
        <w:t>Inside Bureaucracy</w:t>
      </w:r>
      <w:r>
        <w:t xml:space="preserve"> (1967), which used </w:t>
      </w:r>
      <w:r w:rsidR="00E758C6">
        <w:t xml:space="preserve">some </w:t>
      </w:r>
      <w:r>
        <w:t xml:space="preserve">economic concepts to analyse </w:t>
      </w:r>
      <w:r w:rsidR="00E758C6">
        <w:t xml:space="preserve">government </w:t>
      </w:r>
      <w:r>
        <w:t>hierarchies. However, Downs ended up chiefly with an elaborate and largely un</w:t>
      </w:r>
      <w:r w:rsidR="00E758C6">
        <w:t>-</w:t>
      </w:r>
      <w:r>
        <w:t>evidenced typology of bureaucratic motivations, amongst which the best defined were ‘conservers’ (</w:t>
      </w:r>
      <w:r w:rsidR="00E758C6">
        <w:t xml:space="preserve">following </w:t>
      </w:r>
      <w:r>
        <w:t>the first pattern of behaviour above) and ‘zealots’ for an agency or a program (</w:t>
      </w:r>
      <w:r w:rsidR="00E758C6">
        <w:t xml:space="preserve">following </w:t>
      </w:r>
      <w:r>
        <w:t>the second pattern)</w:t>
      </w:r>
      <w:r w:rsidR="002C7FD1">
        <w:t xml:space="preserve"> (Dunleavy, 199, Ch.6)</w:t>
      </w:r>
      <w:r>
        <w:t>.</w:t>
      </w:r>
    </w:p>
    <w:p w:rsidR="00C424ED" w:rsidRDefault="00C424ED" w:rsidP="009F40DD">
      <w:pPr>
        <w:spacing w:line="360" w:lineRule="auto"/>
        <w:ind w:firstLine="567"/>
      </w:pPr>
    </w:p>
    <w:p w:rsidR="0095594E" w:rsidRPr="006C2F78" w:rsidRDefault="006C2F78">
      <w:pPr>
        <w:spacing w:line="360" w:lineRule="auto"/>
        <w:rPr>
          <w:b/>
        </w:rPr>
      </w:pPr>
      <w:r>
        <w:rPr>
          <w:b/>
        </w:rPr>
        <w:t>‘</w:t>
      </w:r>
      <w:r w:rsidRPr="006C2F78">
        <w:rPr>
          <w:b/>
        </w:rPr>
        <w:t>Classical</w:t>
      </w:r>
      <w:r>
        <w:rPr>
          <w:b/>
        </w:rPr>
        <w:t>’</w:t>
      </w:r>
      <w:r w:rsidRPr="006C2F78">
        <w:rPr>
          <w:b/>
        </w:rPr>
        <w:t xml:space="preserve"> public </w:t>
      </w:r>
      <w:r>
        <w:rPr>
          <w:b/>
        </w:rPr>
        <w:t>choic</w:t>
      </w:r>
      <w:r w:rsidRPr="006C2F78">
        <w:rPr>
          <w:b/>
        </w:rPr>
        <w:t>e models</w:t>
      </w:r>
    </w:p>
    <w:p w:rsidR="002C7FD1" w:rsidRDefault="004B6FE4">
      <w:pPr>
        <w:spacing w:line="360" w:lineRule="auto"/>
      </w:pPr>
      <w:r>
        <w:t xml:space="preserve">Figure 1 shows seven major public choice or economic approaches that have transformed the understandings of how bureaucracies work, which I discuss in turn. </w:t>
      </w:r>
    </w:p>
    <w:p w:rsidR="00DB32E7" w:rsidRDefault="002C7FD1" w:rsidP="005708A1">
      <w:pPr>
        <w:spacing w:line="360" w:lineRule="auto"/>
        <w:ind w:firstLine="709"/>
      </w:pPr>
      <w:r w:rsidRPr="007139EB">
        <w:rPr>
          <w:b/>
          <w:i/>
        </w:rPr>
        <w:t>1.</w:t>
      </w:r>
      <w:r w:rsidRPr="007139EB">
        <w:rPr>
          <w:i/>
        </w:rPr>
        <w:t xml:space="preserve"> </w:t>
      </w:r>
      <w:r w:rsidR="004B6FE4" w:rsidRPr="007139EB">
        <w:rPr>
          <w:b/>
          <w:i/>
        </w:rPr>
        <w:t>The</w:t>
      </w:r>
      <w:r w:rsidR="004B6FE4" w:rsidRPr="007139EB">
        <w:rPr>
          <w:i/>
        </w:rPr>
        <w:t xml:space="preserve"> </w:t>
      </w:r>
      <w:r w:rsidRPr="007139EB">
        <w:rPr>
          <w:b/>
          <w:i/>
        </w:rPr>
        <w:t>budget-maximizing</w:t>
      </w:r>
      <w:r w:rsidRPr="007139EB">
        <w:rPr>
          <w:i/>
        </w:rPr>
        <w:t xml:space="preserve"> </w:t>
      </w:r>
      <w:r w:rsidRPr="007139EB">
        <w:rPr>
          <w:b/>
          <w:i/>
        </w:rPr>
        <w:t>model</w:t>
      </w:r>
      <w:r>
        <w:t xml:space="preserve"> </w:t>
      </w:r>
      <w:r w:rsidR="004B6FE4">
        <w:t xml:space="preserve">was </w:t>
      </w:r>
      <w:r>
        <w:t>the earliest, one of the most radical</w:t>
      </w:r>
      <w:r w:rsidR="00824F3C">
        <w:t>,</w:t>
      </w:r>
      <w:r>
        <w:t xml:space="preserve"> and </w:t>
      </w:r>
      <w:r w:rsidR="005708A1">
        <w:t xml:space="preserve">so far has proved </w:t>
      </w:r>
      <w:r>
        <w:t xml:space="preserve">by far the most influential public choice account. It was </w:t>
      </w:r>
      <w:r w:rsidR="004B6FE4">
        <w:t xml:space="preserve">formulated by William Niskanen in a 1970 book, drawing on his experiences of working as </w:t>
      </w:r>
      <w:r w:rsidR="001F58D5">
        <w:t xml:space="preserve">a </w:t>
      </w:r>
      <w:r w:rsidR="004B6FE4">
        <w:t xml:space="preserve">Pentagon </w:t>
      </w:r>
      <w:r w:rsidR="001F58D5">
        <w:t xml:space="preserve">defense </w:t>
      </w:r>
      <w:r w:rsidR="004B6FE4">
        <w:t>analyst</w:t>
      </w:r>
      <w:r>
        <w:t xml:space="preserve"> (Niskanen, </w:t>
      </w:r>
      <w:r w:rsidR="00232F3B" w:rsidRPr="0007759B">
        <w:rPr>
          <w:szCs w:val="20"/>
        </w:rPr>
        <w:t>([1971] 1995)</w:t>
      </w:r>
      <w:r w:rsidR="00002FFA">
        <w:t xml:space="preserve">; </w:t>
      </w:r>
      <w:r w:rsidR="00483F69">
        <w:t xml:space="preserve">Niskanen, 1975; </w:t>
      </w:r>
      <w:r w:rsidR="00265AAE">
        <w:t>Dunleavy, 1991</w:t>
      </w:r>
      <w:r>
        <w:t>, Ch. 6-7)</w:t>
      </w:r>
      <w:r w:rsidR="004B6FE4">
        <w:t>.</w:t>
      </w:r>
      <w:r w:rsidR="001F58D5">
        <w:t xml:space="preserve"> In economics the law of diminishing returns implies that the first units of output delivered by a firm or an agency are intensely valuable to consumers/citizens, but that as provision expands the marginal benefits (MB) to society necessarily decline, until they exactly equal the costs of providing that unit of output (its marginal cost, MC). Assuming that MC</w:t>
      </w:r>
      <w:r w:rsidR="00CA53F6">
        <w:t>s</w:t>
      </w:r>
      <w:r w:rsidR="001F58D5">
        <w:t xml:space="preserve"> includes a normal profits component, and that super</w:t>
      </w:r>
      <w:r w:rsidR="00CA53F6">
        <w:t>-normal profits cannot be secured</w:t>
      </w:r>
      <w:r w:rsidR="001F58D5">
        <w:t>, then for a profit-maximizing, price-taking f</w:t>
      </w:r>
      <w:r w:rsidR="00CA53F6">
        <w:t>irm this is an equilibrium point. I</w:t>
      </w:r>
      <w:r w:rsidR="00DB32E7">
        <w:t>t halts production</w:t>
      </w:r>
      <w:r w:rsidR="00CA53F6">
        <w:t xml:space="preserve"> where MB = MC</w:t>
      </w:r>
      <w:r w:rsidR="00DB32E7">
        <w:t xml:space="preserve">. </w:t>
      </w:r>
    </w:p>
    <w:p w:rsidR="00DB32E7" w:rsidRDefault="00DB32E7" w:rsidP="00DB32E7">
      <w:pPr>
        <w:spacing w:line="360" w:lineRule="auto"/>
        <w:ind w:firstLine="709"/>
      </w:pPr>
      <w:r>
        <w:t xml:space="preserve">However, </w:t>
      </w:r>
      <w:r w:rsidR="001F58D5">
        <w:t xml:space="preserve">Niskanen assumed that </w:t>
      </w:r>
      <w:r>
        <w:t>top government bureaucrats</w:t>
      </w:r>
    </w:p>
    <w:p w:rsidR="00DB32E7" w:rsidRDefault="00DB32E7" w:rsidP="00DB32E7">
      <w:pPr>
        <w:pStyle w:val="ListParagraph"/>
        <w:numPr>
          <w:ilvl w:val="0"/>
          <w:numId w:val="2"/>
        </w:numPr>
        <w:spacing w:line="360" w:lineRule="auto"/>
        <w:ind w:left="1134" w:hanging="425"/>
      </w:pPr>
      <w:r>
        <w:t xml:space="preserve">always gain from maximizing their </w:t>
      </w:r>
      <w:r w:rsidR="00CA53F6" w:rsidRPr="00CA53F6">
        <w:rPr>
          <w:i/>
        </w:rPr>
        <w:t>total</w:t>
      </w:r>
      <w:r w:rsidR="00CA53F6">
        <w:t xml:space="preserve"> </w:t>
      </w:r>
      <w:r>
        <w:t xml:space="preserve">budgets, which expands their responsibilities and salaries; and </w:t>
      </w:r>
    </w:p>
    <w:p w:rsidR="00DB32E7" w:rsidRDefault="001F58D5" w:rsidP="00DB32E7">
      <w:pPr>
        <w:pStyle w:val="ListParagraph"/>
        <w:numPr>
          <w:ilvl w:val="0"/>
          <w:numId w:val="2"/>
        </w:numPr>
        <w:spacing w:line="360" w:lineRule="auto"/>
        <w:ind w:left="1134" w:hanging="414"/>
      </w:pPr>
      <w:r>
        <w:t xml:space="preserve">control all </w:t>
      </w:r>
      <w:r w:rsidR="00DB32E7">
        <w:t xml:space="preserve">the </w:t>
      </w:r>
      <w:r>
        <w:t>key information about the shape of their agency’s marginal benefit (MB) and marginal cost (MC) curves</w:t>
      </w:r>
      <w:r w:rsidR="00DB32E7">
        <w:t>, which they can hide from legislators</w:t>
      </w:r>
      <w:r>
        <w:t xml:space="preserve">. </w:t>
      </w:r>
    </w:p>
    <w:p w:rsidR="006C2F78" w:rsidRPr="00DB32E7" w:rsidRDefault="001F58D5">
      <w:pPr>
        <w:spacing w:line="360" w:lineRule="auto"/>
        <w:rPr>
          <w:b/>
        </w:rPr>
      </w:pPr>
      <w:r>
        <w:t xml:space="preserve">He further argued that in </w:t>
      </w:r>
      <w:r w:rsidR="00CA53F6">
        <w:t xml:space="preserve">a relatively efficient and </w:t>
      </w:r>
      <w:r>
        <w:t xml:space="preserve">supervised agency, officials absolutely could not expand their total costs (TC, or budgets) beyond the total benefits (TB) </w:t>
      </w:r>
      <w:r w:rsidR="00CA53F6">
        <w:t>that their activity yielded. N</w:t>
      </w:r>
      <w:r>
        <w:t>or could</w:t>
      </w:r>
      <w:r w:rsidR="00CA53F6">
        <w:t xml:space="preserve"> they deliver output units that have </w:t>
      </w:r>
      <w:r>
        <w:t xml:space="preserve">no positive marginal benefit at all. However, they could expand the supply of outputs </w:t>
      </w:r>
      <w:r w:rsidR="00CA53F6">
        <w:t xml:space="preserve">so as </w:t>
      </w:r>
      <w:r>
        <w:t xml:space="preserve">to include </w:t>
      </w:r>
      <w:r w:rsidR="00CA53F6">
        <w:t xml:space="preserve">some or many </w:t>
      </w:r>
      <w:r>
        <w:t xml:space="preserve">activities whose marginal benefits </w:t>
      </w:r>
      <w:r w:rsidR="00CA53F6">
        <w:t xml:space="preserve">to society exceed their costs of provision (MC &gt;MB). Agencies could exploit their monopoly control </w:t>
      </w:r>
    </w:p>
    <w:p w:rsidR="00CA53F6" w:rsidRDefault="00CA53F6">
      <w:pPr>
        <w:spacing w:line="360" w:lineRule="auto"/>
        <w:rPr>
          <w:b/>
        </w:rPr>
      </w:pPr>
      <w:r>
        <w:rPr>
          <w:b/>
        </w:rPr>
        <w:br w:type="page"/>
      </w:r>
    </w:p>
    <w:p w:rsidR="008567C3" w:rsidRPr="0095594E" w:rsidRDefault="0095594E">
      <w:pPr>
        <w:rPr>
          <w:b/>
        </w:rPr>
      </w:pPr>
      <w:r w:rsidRPr="0095594E">
        <w:rPr>
          <w:b/>
        </w:rPr>
        <w:lastRenderedPageBreak/>
        <w:t xml:space="preserve">Figure 1: </w:t>
      </w:r>
      <w:r w:rsidR="00A43FEE">
        <w:rPr>
          <w:b/>
        </w:rPr>
        <w:t>Seven</w:t>
      </w:r>
      <w:r w:rsidRPr="0095594E">
        <w:rPr>
          <w:b/>
        </w:rPr>
        <w:t xml:space="preserve"> major public choice </w:t>
      </w:r>
      <w:r w:rsidR="00A43FEE">
        <w:rPr>
          <w:b/>
        </w:rPr>
        <w:t xml:space="preserve">or ‘economic’ </w:t>
      </w:r>
      <w:r w:rsidRPr="0095594E">
        <w:rPr>
          <w:b/>
        </w:rPr>
        <w:t>models of bureaucratic interests, and their key policy prescriptions</w:t>
      </w:r>
    </w:p>
    <w:p w:rsidR="008567C3" w:rsidRDefault="008567C3"/>
    <w:tbl>
      <w:tblPr>
        <w:tblStyle w:val="TableGrid"/>
        <w:tblW w:w="9640" w:type="dxa"/>
        <w:tblInd w:w="-176" w:type="dxa"/>
        <w:tblLook w:val="04A0" w:firstRow="1" w:lastRow="0" w:firstColumn="1" w:lastColumn="0" w:noHBand="0" w:noVBand="1"/>
      </w:tblPr>
      <w:tblGrid>
        <w:gridCol w:w="1455"/>
        <w:gridCol w:w="176"/>
        <w:gridCol w:w="4182"/>
        <w:gridCol w:w="3605"/>
        <w:gridCol w:w="222"/>
      </w:tblGrid>
      <w:tr w:rsidR="008567C3" w:rsidTr="005708A1">
        <w:trPr>
          <w:gridAfter w:val="1"/>
          <w:wAfter w:w="222" w:type="dxa"/>
        </w:trPr>
        <w:tc>
          <w:tcPr>
            <w:tcW w:w="1631" w:type="dxa"/>
            <w:gridSpan w:val="2"/>
            <w:tcBorders>
              <w:bottom w:val="single" w:sz="4" w:space="0" w:color="auto"/>
            </w:tcBorders>
          </w:tcPr>
          <w:p w:rsidR="008567C3" w:rsidRPr="00DB0457" w:rsidRDefault="00F176D8" w:rsidP="00DB0457">
            <w:pPr>
              <w:jc w:val="center"/>
              <w:rPr>
                <w:b/>
              </w:rPr>
            </w:pPr>
            <w:r>
              <w:rPr>
                <w:b/>
              </w:rPr>
              <w:t>A</w:t>
            </w:r>
            <w:r w:rsidR="008567C3" w:rsidRPr="00DB0457">
              <w:rPr>
                <w:b/>
              </w:rPr>
              <w:t xml:space="preserve">pproach </w:t>
            </w:r>
            <w:r w:rsidR="008567C3" w:rsidRPr="00DB0457">
              <w:rPr>
                <w:b/>
                <w:i/>
              </w:rPr>
              <w:t>and core authors</w:t>
            </w:r>
          </w:p>
        </w:tc>
        <w:tc>
          <w:tcPr>
            <w:tcW w:w="4182" w:type="dxa"/>
            <w:tcBorders>
              <w:bottom w:val="single" w:sz="4" w:space="0" w:color="auto"/>
            </w:tcBorders>
          </w:tcPr>
          <w:p w:rsidR="008567C3" w:rsidRPr="00DB0457" w:rsidRDefault="008567C3" w:rsidP="00DB0457">
            <w:pPr>
              <w:jc w:val="center"/>
              <w:rPr>
                <w:b/>
              </w:rPr>
            </w:pPr>
            <w:r w:rsidRPr="00DB0457">
              <w:rPr>
                <w:b/>
              </w:rPr>
              <w:t>Core proposition</w:t>
            </w:r>
            <w:r w:rsidR="00DB0457" w:rsidRPr="00DB0457">
              <w:rPr>
                <w:b/>
              </w:rPr>
              <w:t>s</w:t>
            </w:r>
          </w:p>
        </w:tc>
        <w:tc>
          <w:tcPr>
            <w:tcW w:w="3605" w:type="dxa"/>
            <w:tcBorders>
              <w:bottom w:val="single" w:sz="4" w:space="0" w:color="auto"/>
            </w:tcBorders>
          </w:tcPr>
          <w:p w:rsidR="008567C3" w:rsidRPr="00DB0457" w:rsidRDefault="00DB0457" w:rsidP="00DB0457">
            <w:pPr>
              <w:jc w:val="center"/>
              <w:rPr>
                <w:b/>
              </w:rPr>
            </w:pPr>
            <w:r w:rsidRPr="00DB0457">
              <w:rPr>
                <w:b/>
              </w:rPr>
              <w:t xml:space="preserve">Key </w:t>
            </w:r>
            <w:r w:rsidR="00EC3661">
              <w:rPr>
                <w:b/>
              </w:rPr>
              <w:t xml:space="preserve">policy </w:t>
            </w:r>
            <w:r w:rsidRPr="00DB0457">
              <w:rPr>
                <w:b/>
              </w:rPr>
              <w:t>prescriptions</w:t>
            </w:r>
          </w:p>
        </w:tc>
      </w:tr>
      <w:tr w:rsidR="00F176D8" w:rsidTr="005708A1">
        <w:trPr>
          <w:gridAfter w:val="1"/>
          <w:wAfter w:w="222" w:type="dxa"/>
        </w:trPr>
        <w:tc>
          <w:tcPr>
            <w:tcW w:w="9418" w:type="dxa"/>
            <w:gridSpan w:val="4"/>
            <w:tcBorders>
              <w:top w:val="single" w:sz="4" w:space="0" w:color="auto"/>
              <w:left w:val="single" w:sz="4" w:space="0" w:color="auto"/>
              <w:bottom w:val="single" w:sz="4" w:space="0" w:color="auto"/>
              <w:right w:val="single" w:sz="4" w:space="0" w:color="auto"/>
            </w:tcBorders>
            <w:shd w:val="pct5" w:color="auto" w:fill="auto"/>
          </w:tcPr>
          <w:p w:rsidR="00F176D8" w:rsidRPr="00F176D8" w:rsidRDefault="00F176D8" w:rsidP="00F176D8">
            <w:pPr>
              <w:jc w:val="center"/>
              <w:rPr>
                <w:i/>
              </w:rPr>
            </w:pPr>
            <w:r w:rsidRPr="00F176D8">
              <w:rPr>
                <w:i/>
              </w:rPr>
              <w:t>Classical models</w:t>
            </w:r>
          </w:p>
        </w:tc>
      </w:tr>
      <w:tr w:rsidR="008567C3" w:rsidTr="005708A1">
        <w:trPr>
          <w:gridAfter w:val="1"/>
          <w:wAfter w:w="222" w:type="dxa"/>
        </w:trPr>
        <w:tc>
          <w:tcPr>
            <w:tcW w:w="1631" w:type="dxa"/>
            <w:gridSpan w:val="2"/>
            <w:tcBorders>
              <w:top w:val="single" w:sz="4" w:space="0" w:color="auto"/>
            </w:tcBorders>
          </w:tcPr>
          <w:p w:rsidR="008567C3" w:rsidRDefault="00D16C1B">
            <w:r>
              <w:t xml:space="preserve">1. </w:t>
            </w:r>
            <w:r w:rsidR="008567C3" w:rsidRPr="00D16C1B">
              <w:rPr>
                <w:b/>
              </w:rPr>
              <w:t>B</w:t>
            </w:r>
            <w:r w:rsidR="002C7FD1">
              <w:rPr>
                <w:b/>
              </w:rPr>
              <w:t>udget-maximization and b</w:t>
            </w:r>
            <w:r w:rsidR="008567C3" w:rsidRPr="00D16C1B">
              <w:rPr>
                <w:b/>
              </w:rPr>
              <w:t>ureaucratic over-supply</w:t>
            </w:r>
            <w:r w:rsidR="008567C3">
              <w:t xml:space="preserve"> – </w:t>
            </w:r>
            <w:r w:rsidR="008567C3" w:rsidRPr="008567C3">
              <w:rPr>
                <w:i/>
              </w:rPr>
              <w:t>William Niskanen</w:t>
            </w:r>
          </w:p>
        </w:tc>
        <w:tc>
          <w:tcPr>
            <w:tcW w:w="4182" w:type="dxa"/>
            <w:tcBorders>
              <w:top w:val="single" w:sz="4" w:space="0" w:color="auto"/>
            </w:tcBorders>
          </w:tcPr>
          <w:p w:rsidR="008567C3" w:rsidRDefault="008567C3" w:rsidP="00DB0457">
            <w:r>
              <w:t>Government officials always seek to maximize budgets, achieved by creating an area of ‘waste’ (low-return activities) offsetting the consumers’</w:t>
            </w:r>
            <w:r w:rsidR="0095594E">
              <w:t xml:space="preserve"> surplus achieved by</w:t>
            </w:r>
            <w:r>
              <w:t xml:space="preserve"> early</w:t>
            </w:r>
            <w:r w:rsidR="0095594E">
              <w:t>, necessary</w:t>
            </w:r>
            <w:r>
              <w:t xml:space="preserve"> units of output.</w:t>
            </w:r>
          </w:p>
          <w:p w:rsidR="008567C3" w:rsidRDefault="008567C3" w:rsidP="00DB0457"/>
        </w:tc>
        <w:tc>
          <w:tcPr>
            <w:tcW w:w="3605" w:type="dxa"/>
            <w:tcBorders>
              <w:top w:val="single" w:sz="4" w:space="0" w:color="auto"/>
            </w:tcBorders>
          </w:tcPr>
          <w:p w:rsidR="008567C3" w:rsidRDefault="000F5200" w:rsidP="00EC3661">
            <w:r>
              <w:t>Disaggregate large agencies; s</w:t>
            </w:r>
            <w:r w:rsidR="00DB0457">
              <w:t xml:space="preserve">eparate bureaucratic ‘commissioners’ from ‘providers’; </w:t>
            </w:r>
            <w:r>
              <w:t xml:space="preserve">introduce </w:t>
            </w:r>
            <w:r w:rsidR="00DB0457">
              <w:t xml:space="preserve">mandatory </w:t>
            </w:r>
            <w:r>
              <w:t xml:space="preserve">competition and </w:t>
            </w:r>
            <w:r w:rsidR="00DB0457">
              <w:t>outsourcing; use quasi-markets for procurement</w:t>
            </w:r>
            <w:r>
              <w:t xml:space="preserve"> (NPM, themes 1 and 2)</w:t>
            </w:r>
            <w:r w:rsidR="00DB0457">
              <w:t>.</w:t>
            </w:r>
            <w:r w:rsidR="00EC3661">
              <w:t xml:space="preserve"> Conservative governments should make random cuts on entering office, to force the bureaucracy to reveal accurate spending information.</w:t>
            </w:r>
          </w:p>
        </w:tc>
      </w:tr>
      <w:tr w:rsidR="008567C3" w:rsidTr="005708A1">
        <w:trPr>
          <w:gridAfter w:val="1"/>
          <w:wAfter w:w="222" w:type="dxa"/>
        </w:trPr>
        <w:tc>
          <w:tcPr>
            <w:tcW w:w="1631" w:type="dxa"/>
            <w:gridSpan w:val="2"/>
          </w:tcPr>
          <w:p w:rsidR="008567C3" w:rsidRDefault="00D16C1B" w:rsidP="00D72968">
            <w:r>
              <w:t xml:space="preserve">2. </w:t>
            </w:r>
            <w:r w:rsidR="00DB0457" w:rsidRPr="00D16C1B">
              <w:rPr>
                <w:b/>
              </w:rPr>
              <w:t>Rent-seeking</w:t>
            </w:r>
            <w:r w:rsidR="00DB0457">
              <w:t xml:space="preserve"> – </w:t>
            </w:r>
            <w:r w:rsidR="00DB0457" w:rsidRPr="00DB0457">
              <w:rPr>
                <w:i/>
              </w:rPr>
              <w:t xml:space="preserve">William </w:t>
            </w:r>
            <w:r w:rsidR="00D72968">
              <w:rPr>
                <w:i/>
              </w:rPr>
              <w:t xml:space="preserve">Niskanen, </w:t>
            </w:r>
            <w:r w:rsidR="00002FFA">
              <w:rPr>
                <w:i/>
              </w:rPr>
              <w:t xml:space="preserve">Gordon </w:t>
            </w:r>
            <w:r w:rsidR="00DB0457" w:rsidRPr="00DB0457">
              <w:rPr>
                <w:i/>
              </w:rPr>
              <w:t>Tullock</w:t>
            </w:r>
          </w:p>
        </w:tc>
        <w:tc>
          <w:tcPr>
            <w:tcW w:w="4182" w:type="dxa"/>
          </w:tcPr>
          <w:p w:rsidR="00DB0457" w:rsidRDefault="00DB0457" w:rsidP="00EC3661">
            <w:r>
              <w:t xml:space="preserve">Government officials </w:t>
            </w:r>
            <w:r w:rsidR="000F5200">
              <w:t xml:space="preserve">artificially </w:t>
            </w:r>
            <w:r>
              <w:t xml:space="preserve">under-supply public outputs in order to raise super-normal </w:t>
            </w:r>
            <w:r w:rsidR="00EC3661">
              <w:t>payments (‘</w:t>
            </w:r>
            <w:r>
              <w:t>rents</w:t>
            </w:r>
            <w:r w:rsidR="00EC3661">
              <w:t>’)</w:t>
            </w:r>
            <w:r>
              <w:t xml:space="preserve"> from </w:t>
            </w:r>
            <w:r w:rsidR="000F5200">
              <w:t xml:space="preserve">queues and </w:t>
            </w:r>
            <w:r>
              <w:t>scarcities</w:t>
            </w:r>
            <w:r w:rsidR="00EC3661">
              <w:t xml:space="preserve"> – e.g. to</w:t>
            </w:r>
            <w:r>
              <w:t xml:space="preserve"> </w:t>
            </w:r>
            <w:r w:rsidR="00EC3661">
              <w:t>bid</w:t>
            </w:r>
            <w:r w:rsidR="000F5200">
              <w:t xml:space="preserve"> up </w:t>
            </w:r>
            <w:r>
              <w:t>civil service or public professional salaries</w:t>
            </w:r>
            <w:r w:rsidR="0095594E">
              <w:t>,</w:t>
            </w:r>
            <w:r w:rsidR="00EC3661">
              <w:t xml:space="preserve"> impose </w:t>
            </w:r>
            <w:r>
              <w:t>entry restrictions</w:t>
            </w:r>
            <w:r w:rsidR="00EC3661">
              <w:t>,</w:t>
            </w:r>
            <w:r w:rsidR="000F5200">
              <w:t xml:space="preserve"> or </w:t>
            </w:r>
            <w:r w:rsidR="00EC3661">
              <w:t xml:space="preserve">create ‘slack’ </w:t>
            </w:r>
            <w:r w:rsidR="000F5200">
              <w:t>conditions</w:t>
            </w:r>
            <w:r w:rsidR="0095594E">
              <w:t xml:space="preserve"> for staff</w:t>
            </w:r>
            <w:r>
              <w:t>.</w:t>
            </w:r>
          </w:p>
        </w:tc>
        <w:tc>
          <w:tcPr>
            <w:tcW w:w="3605" w:type="dxa"/>
          </w:tcPr>
          <w:p w:rsidR="008567C3" w:rsidRDefault="00DB0457" w:rsidP="00DB0457">
            <w:r>
              <w:t xml:space="preserve">De-privilege public service trade unions and professions; </w:t>
            </w:r>
            <w:r w:rsidR="000F5200">
              <w:t xml:space="preserve">bring in mandatory ‘efficiency dividends’; </w:t>
            </w:r>
            <w:r>
              <w:t>shift to ‘pay for performance’ incentivization strategies</w:t>
            </w:r>
            <w:r w:rsidR="000F5200">
              <w:t>; use private finance (NPM, theme 3)</w:t>
            </w:r>
            <w:r>
              <w:t>.</w:t>
            </w:r>
          </w:p>
        </w:tc>
      </w:tr>
      <w:tr w:rsidR="00F176D8" w:rsidTr="005708A1">
        <w:trPr>
          <w:gridAfter w:val="1"/>
          <w:wAfter w:w="222" w:type="dxa"/>
        </w:trPr>
        <w:tc>
          <w:tcPr>
            <w:tcW w:w="9418" w:type="dxa"/>
            <w:gridSpan w:val="4"/>
            <w:shd w:val="pct5" w:color="auto" w:fill="auto"/>
          </w:tcPr>
          <w:p w:rsidR="00F176D8" w:rsidRPr="00F176D8" w:rsidRDefault="00F176D8" w:rsidP="00F176D8">
            <w:pPr>
              <w:jc w:val="center"/>
              <w:rPr>
                <w:i/>
              </w:rPr>
            </w:pPr>
            <w:r w:rsidRPr="00F176D8">
              <w:rPr>
                <w:i/>
              </w:rPr>
              <w:t>Revisionist approaches</w:t>
            </w:r>
          </w:p>
        </w:tc>
      </w:tr>
      <w:tr w:rsidR="00EC3661" w:rsidTr="005708A1">
        <w:tc>
          <w:tcPr>
            <w:tcW w:w="1455" w:type="dxa"/>
          </w:tcPr>
          <w:p w:rsidR="00EC3661" w:rsidRDefault="00D16C1B" w:rsidP="00E758C6">
            <w:r>
              <w:t xml:space="preserve">3. </w:t>
            </w:r>
            <w:r w:rsidR="00EC3661" w:rsidRPr="00D16C1B">
              <w:rPr>
                <w:b/>
              </w:rPr>
              <w:t>Bureau-shaping</w:t>
            </w:r>
            <w:r w:rsidR="00EC3661">
              <w:t xml:space="preserve"> – </w:t>
            </w:r>
            <w:r w:rsidR="00EC3661" w:rsidRPr="000F5200">
              <w:rPr>
                <w:i/>
              </w:rPr>
              <w:t>Patrick Dunleavy</w:t>
            </w:r>
          </w:p>
        </w:tc>
        <w:tc>
          <w:tcPr>
            <w:tcW w:w="4358" w:type="dxa"/>
            <w:gridSpan w:val="2"/>
          </w:tcPr>
          <w:p w:rsidR="00EC3661" w:rsidRDefault="00EC3661" w:rsidP="00E758C6">
            <w:r>
              <w:t xml:space="preserve"> (a) </w:t>
            </w:r>
            <w:r w:rsidR="00D72968" w:rsidRPr="00D72968">
              <w:rPr>
                <w:i/>
              </w:rPr>
              <w:t>If</w:t>
            </w:r>
            <w:r>
              <w:t xml:space="preserve"> rational bureaucrats maximize budgets, they should </w:t>
            </w:r>
            <w:r w:rsidR="00D72968">
              <w:t>focus only on agencies’</w:t>
            </w:r>
            <w:r>
              <w:t xml:space="preserve"> core budgets and </w:t>
            </w:r>
            <w:r w:rsidR="00D72968">
              <w:t xml:space="preserve">on </w:t>
            </w:r>
            <w:r>
              <w:t>contracting that gives patrona</w:t>
            </w:r>
            <w:r w:rsidR="00D72968">
              <w:t>ge powers -</w:t>
            </w:r>
            <w:r>
              <w:t xml:space="preserve"> not on welfare entit</w:t>
            </w:r>
            <w:r w:rsidR="00D72968">
              <w:t>lements and grants which give</w:t>
            </w:r>
            <w:r>
              <w:t xml:space="preserve"> no </w:t>
            </w:r>
            <w:r w:rsidR="002972E4">
              <w:t>flowbacks of benfits</w:t>
            </w:r>
            <w:r>
              <w:t xml:space="preserve"> to </w:t>
            </w:r>
            <w:r w:rsidR="00D72968">
              <w:t xml:space="preserve">top </w:t>
            </w:r>
            <w:r>
              <w:t xml:space="preserve">officials. Hence budget maximization will be strong in </w:t>
            </w:r>
            <w:r w:rsidR="00D72968">
              <w:t>‘</w:t>
            </w:r>
            <w:r>
              <w:t>delivery</w:t>
            </w:r>
            <w:r w:rsidR="00D72968">
              <w:t>’</w:t>
            </w:r>
            <w:r>
              <w:t xml:space="preserve"> and </w:t>
            </w:r>
            <w:r w:rsidR="00D72968">
              <w:t>‘</w:t>
            </w:r>
            <w:r>
              <w:t>contract</w:t>
            </w:r>
            <w:r w:rsidR="00D72968">
              <w:t>’</w:t>
            </w:r>
            <w:r>
              <w:t xml:space="preserve"> agencies (like defence and armed forces)</w:t>
            </w:r>
            <w:r w:rsidR="00D72968">
              <w:t>;</w:t>
            </w:r>
            <w:r>
              <w:t xml:space="preserve"> and very minor in welfare state </w:t>
            </w:r>
            <w:r w:rsidR="00D72968">
              <w:t>‘</w:t>
            </w:r>
            <w:r>
              <w:t>control</w:t>
            </w:r>
            <w:r w:rsidR="00D72968">
              <w:t>’</w:t>
            </w:r>
            <w:r>
              <w:t xml:space="preserve"> and </w:t>
            </w:r>
            <w:r w:rsidR="00D72968">
              <w:t>‘</w:t>
            </w:r>
            <w:r>
              <w:t>transfer</w:t>
            </w:r>
            <w:r w:rsidR="00D72968">
              <w:t>’</w:t>
            </w:r>
            <w:r>
              <w:t xml:space="preserve"> agencies</w:t>
            </w:r>
            <w:r w:rsidR="00D72968">
              <w:t xml:space="preserve"> (handling mass payment systems). Contractorization </w:t>
            </w:r>
            <w:r w:rsidR="00D72968" w:rsidRPr="00D72968">
              <w:rPr>
                <w:i/>
              </w:rPr>
              <w:t>increases</w:t>
            </w:r>
            <w:r w:rsidR="00D72968">
              <w:t xml:space="preserve"> budgetary growth pressures.</w:t>
            </w:r>
          </w:p>
          <w:p w:rsidR="00D72968" w:rsidRDefault="00D72968" w:rsidP="00D72968">
            <w:r>
              <w:t xml:space="preserve">(b) Rational top officials have incentives to </w:t>
            </w:r>
            <w:r w:rsidR="002B2A59">
              <w:t xml:space="preserve">help politicians </w:t>
            </w:r>
            <w:r>
              <w:t>moderately under-supply outputs, so as to force down public workers’ wages and enhance politically salient consumers’ surplus, as with new public management (NPM) strategies.</w:t>
            </w:r>
          </w:p>
        </w:tc>
        <w:tc>
          <w:tcPr>
            <w:tcW w:w="3827" w:type="dxa"/>
            <w:gridSpan w:val="2"/>
          </w:tcPr>
          <w:p w:rsidR="002B2A59" w:rsidRDefault="002B2A59" w:rsidP="00E758C6">
            <w:r>
              <w:t xml:space="preserve">(a) Concentrate budgetary scrutiny and controls on direct provision of services by government, especially </w:t>
            </w:r>
            <w:r w:rsidR="00666222">
              <w:t xml:space="preserve">departments with large staffs (like police agencies, armed forces) and </w:t>
            </w:r>
            <w:r>
              <w:t xml:space="preserve">with large-scale contracting </w:t>
            </w:r>
            <w:r w:rsidR="00666222">
              <w:t xml:space="preserve">in oligopolistic markets </w:t>
            </w:r>
            <w:r>
              <w:t xml:space="preserve">(as in defence, government IT, </w:t>
            </w:r>
            <w:r w:rsidR="00666222">
              <w:t xml:space="preserve">and most </w:t>
            </w:r>
            <w:r>
              <w:t>outsourced services)</w:t>
            </w:r>
            <w:r w:rsidR="00666222">
              <w:t xml:space="preserve">. Outlaw political donations and any campaigning by contractors. Expect regulatory supervision to be under-supplied. </w:t>
            </w:r>
          </w:p>
          <w:p w:rsidR="00EC3661" w:rsidRDefault="002B2A59" w:rsidP="00666222">
            <w:r>
              <w:t xml:space="preserve">(b) Reverse most new public management (NPM) strategies by reintegrating </w:t>
            </w:r>
            <w:r w:rsidR="00666222">
              <w:t xml:space="preserve">key </w:t>
            </w:r>
            <w:r>
              <w:t>services in</w:t>
            </w:r>
            <w:r w:rsidR="00666222">
              <w:t>to</w:t>
            </w:r>
            <w:r>
              <w:t xml:space="preserve"> the </w:t>
            </w:r>
            <w:r w:rsidR="00666222">
              <w:t xml:space="preserve">national/federal </w:t>
            </w:r>
            <w:r>
              <w:t xml:space="preserve">public sector, cutting out agencies and duplications, </w:t>
            </w:r>
            <w:r w:rsidR="00666222">
              <w:t xml:space="preserve">scaling up provision for </w:t>
            </w:r>
            <w:r>
              <w:t>‘digital era</w:t>
            </w:r>
            <w:r w:rsidR="00666222">
              <w:t xml:space="preserve">’ governance, seeking </w:t>
            </w:r>
            <w:r>
              <w:t>to radically enhance government productivity, and meeting citizens’ needs holistically</w:t>
            </w:r>
            <w:r w:rsidR="00666222">
              <w:t xml:space="preserve"> wherever feasible</w:t>
            </w:r>
            <w:r>
              <w:t>.</w:t>
            </w:r>
          </w:p>
        </w:tc>
      </w:tr>
    </w:tbl>
    <w:p w:rsidR="00666222" w:rsidRDefault="00666222">
      <w:r>
        <w:br w:type="page"/>
      </w:r>
    </w:p>
    <w:p w:rsidR="00C75C77" w:rsidRPr="00C75C77" w:rsidRDefault="00C75C77">
      <w:pPr>
        <w:rPr>
          <w:i/>
        </w:rPr>
      </w:pPr>
      <w:r w:rsidRPr="00C75C77">
        <w:rPr>
          <w:i/>
        </w:rPr>
        <w:lastRenderedPageBreak/>
        <w:t>Figure 1 continued</w:t>
      </w:r>
    </w:p>
    <w:tbl>
      <w:tblPr>
        <w:tblStyle w:val="TableGrid"/>
        <w:tblW w:w="9782" w:type="dxa"/>
        <w:tblInd w:w="-176" w:type="dxa"/>
        <w:tblLayout w:type="fixed"/>
        <w:tblLook w:val="04A0" w:firstRow="1" w:lastRow="0" w:firstColumn="1" w:lastColumn="0" w:noHBand="0" w:noVBand="1"/>
      </w:tblPr>
      <w:tblGrid>
        <w:gridCol w:w="1702"/>
        <w:gridCol w:w="4180"/>
        <w:gridCol w:w="214"/>
        <w:gridCol w:w="3686"/>
      </w:tblGrid>
      <w:tr w:rsidR="00F176D8" w:rsidTr="005708A1">
        <w:tc>
          <w:tcPr>
            <w:tcW w:w="1702" w:type="dxa"/>
          </w:tcPr>
          <w:p w:rsidR="00F176D8" w:rsidRPr="00DB0457" w:rsidRDefault="00F176D8" w:rsidP="007E15D6">
            <w:pPr>
              <w:jc w:val="center"/>
              <w:rPr>
                <w:b/>
              </w:rPr>
            </w:pPr>
            <w:r>
              <w:rPr>
                <w:b/>
              </w:rPr>
              <w:t>A</w:t>
            </w:r>
            <w:r w:rsidRPr="00DB0457">
              <w:rPr>
                <w:b/>
              </w:rPr>
              <w:t xml:space="preserve">pproach </w:t>
            </w:r>
            <w:r w:rsidRPr="00DB0457">
              <w:rPr>
                <w:b/>
                <w:i/>
              </w:rPr>
              <w:t>and core authors</w:t>
            </w:r>
          </w:p>
        </w:tc>
        <w:tc>
          <w:tcPr>
            <w:tcW w:w="4394" w:type="dxa"/>
            <w:gridSpan w:val="2"/>
          </w:tcPr>
          <w:p w:rsidR="00F176D8" w:rsidRPr="00DB0457" w:rsidRDefault="00F176D8" w:rsidP="007E15D6">
            <w:pPr>
              <w:jc w:val="center"/>
              <w:rPr>
                <w:b/>
              </w:rPr>
            </w:pPr>
            <w:r w:rsidRPr="00DB0457">
              <w:rPr>
                <w:b/>
              </w:rPr>
              <w:t>Core propositions</w:t>
            </w:r>
          </w:p>
        </w:tc>
        <w:tc>
          <w:tcPr>
            <w:tcW w:w="3686" w:type="dxa"/>
          </w:tcPr>
          <w:p w:rsidR="00F176D8" w:rsidRPr="00DB0457" w:rsidRDefault="00F176D8" w:rsidP="007E15D6">
            <w:pPr>
              <w:jc w:val="center"/>
              <w:rPr>
                <w:b/>
              </w:rPr>
            </w:pPr>
            <w:r w:rsidRPr="00DB0457">
              <w:rPr>
                <w:b/>
              </w:rPr>
              <w:t xml:space="preserve">Key </w:t>
            </w:r>
            <w:r>
              <w:rPr>
                <w:b/>
              </w:rPr>
              <w:t xml:space="preserve">policy </w:t>
            </w:r>
            <w:r w:rsidRPr="00DB0457">
              <w:rPr>
                <w:b/>
              </w:rPr>
              <w:t>prescriptions</w:t>
            </w:r>
          </w:p>
        </w:tc>
      </w:tr>
      <w:tr w:rsidR="00F176D8" w:rsidTr="005708A1">
        <w:tc>
          <w:tcPr>
            <w:tcW w:w="1702" w:type="dxa"/>
          </w:tcPr>
          <w:p w:rsidR="00F176D8" w:rsidRDefault="00D16C1B" w:rsidP="00E758C6">
            <w:r>
              <w:t xml:space="preserve">4. </w:t>
            </w:r>
            <w:r w:rsidR="005708A1">
              <w:rPr>
                <w:b/>
              </w:rPr>
              <w:t>A</w:t>
            </w:r>
            <w:r w:rsidR="00F176D8" w:rsidRPr="00D16C1B">
              <w:rPr>
                <w:b/>
              </w:rPr>
              <w:t>gencies and NGOs</w:t>
            </w:r>
            <w:r w:rsidR="00F176D8">
              <w:t xml:space="preserve"> </w:t>
            </w:r>
            <w:r w:rsidR="005708A1" w:rsidRPr="005708A1">
              <w:rPr>
                <w:b/>
              </w:rPr>
              <w:t>with intrinsically motivated staff</w:t>
            </w:r>
            <w:r w:rsidR="005708A1">
              <w:t xml:space="preserve"> </w:t>
            </w:r>
            <w:r w:rsidR="00F176D8">
              <w:t xml:space="preserve">– </w:t>
            </w:r>
            <w:r w:rsidR="00F176D8" w:rsidRPr="000F5200">
              <w:rPr>
                <w:i/>
              </w:rPr>
              <w:t>Timothy Besley and M</w:t>
            </w:r>
            <w:r w:rsidR="00002FFA">
              <w:rPr>
                <w:i/>
              </w:rPr>
              <w:t>aitreesh Gha</w:t>
            </w:r>
            <w:r w:rsidR="00F176D8" w:rsidRPr="000F5200">
              <w:rPr>
                <w:i/>
              </w:rPr>
              <w:t>tak</w:t>
            </w:r>
          </w:p>
        </w:tc>
        <w:tc>
          <w:tcPr>
            <w:tcW w:w="4180" w:type="dxa"/>
          </w:tcPr>
          <w:p w:rsidR="00F176D8" w:rsidRDefault="002972E4" w:rsidP="002B2A59">
            <w:r>
              <w:t xml:space="preserve">Distinct both from private markets and public hierarchies, is a third way of services delivery, creating organizations strongly focused on an inherently attractive mission. </w:t>
            </w:r>
            <w:r w:rsidR="00F176D8">
              <w:t>A pooling equilibrium is to recruit a like-minded staff group, all drawing benefits from their work – and willing to commit extra effort and forego some pay in consequence.</w:t>
            </w:r>
          </w:p>
        </w:tc>
        <w:tc>
          <w:tcPr>
            <w:tcW w:w="3900" w:type="dxa"/>
            <w:gridSpan w:val="2"/>
          </w:tcPr>
          <w:p w:rsidR="00F176D8" w:rsidRDefault="005708A1" w:rsidP="005708A1">
            <w:r>
              <w:t>Some</w:t>
            </w:r>
            <w:r w:rsidR="00F176D8">
              <w:t xml:space="preserve"> NPM and </w:t>
            </w:r>
            <w:r>
              <w:t>‘</w:t>
            </w:r>
            <w:r w:rsidR="00F176D8">
              <w:t>neo-liberal</w:t>
            </w:r>
            <w:r>
              <w:t>’</w:t>
            </w:r>
            <w:r w:rsidR="00F176D8">
              <w:t xml:space="preserve"> strategies for increas</w:t>
            </w:r>
            <w:r>
              <w:t>ing surveillance and audit, can</w:t>
            </w:r>
            <w:r w:rsidR="00F176D8">
              <w:t xml:space="preserve"> reduce the scope of professional identification with work and so be counter-productive. As staff withdraw commitment, costs will increase and service quality will fall, perhaps radically.</w:t>
            </w:r>
            <w:r>
              <w:t xml:space="preserve"> Accountability arrangements matter far more than public/private ownership issues.</w:t>
            </w:r>
          </w:p>
        </w:tc>
      </w:tr>
      <w:tr w:rsidR="00F176D8" w:rsidTr="005708A1">
        <w:tc>
          <w:tcPr>
            <w:tcW w:w="1702" w:type="dxa"/>
          </w:tcPr>
          <w:p w:rsidR="00F176D8" w:rsidRDefault="00D16C1B" w:rsidP="007E15D6">
            <w:r>
              <w:t xml:space="preserve">5. </w:t>
            </w:r>
            <w:r w:rsidR="00F176D8" w:rsidRPr="00D16C1B">
              <w:rPr>
                <w:b/>
              </w:rPr>
              <w:t>Hierarchies as efficient under some defined conditions</w:t>
            </w:r>
            <w:r w:rsidR="00F176D8">
              <w:t xml:space="preserve"> – </w:t>
            </w:r>
            <w:r w:rsidR="00F176D8" w:rsidRPr="00A43FEE">
              <w:rPr>
                <w:i/>
              </w:rPr>
              <w:t>Oliver Williamson</w:t>
            </w:r>
          </w:p>
        </w:tc>
        <w:tc>
          <w:tcPr>
            <w:tcW w:w="4180" w:type="dxa"/>
          </w:tcPr>
          <w:p w:rsidR="00F176D8" w:rsidRDefault="00F176D8" w:rsidP="007E15D6">
            <w:r>
              <w:t xml:space="preserve">Hierarchical organization (here presumably by government, but perhaps by macro-contractors also) out-performs spot-contracting in markets wherever: </w:t>
            </w:r>
          </w:p>
          <w:p w:rsidR="00F176D8" w:rsidRDefault="00F176D8" w:rsidP="007E15D6">
            <w:r>
              <w:t xml:space="preserve">- there are only small numbers of potential </w:t>
            </w:r>
          </w:p>
          <w:p w:rsidR="00F176D8" w:rsidRDefault="00F176D8" w:rsidP="007E15D6">
            <w:r>
              <w:t xml:space="preserve">  contractors; </w:t>
            </w:r>
          </w:p>
          <w:p w:rsidR="00F176D8" w:rsidRDefault="00F176D8" w:rsidP="007E15D6">
            <w:r>
              <w:t xml:space="preserve">- the risks of opportunistic or collusive </w:t>
            </w:r>
          </w:p>
          <w:p w:rsidR="00F176D8" w:rsidRDefault="00F176D8" w:rsidP="007E15D6">
            <w:r>
              <w:t xml:space="preserve">  behaviour are high; </w:t>
            </w:r>
          </w:p>
          <w:p w:rsidR="00F176D8" w:rsidRDefault="00F176D8" w:rsidP="007E15D6">
            <w:r>
              <w:t xml:space="preserve">- asset specificity is high, so complex and </w:t>
            </w:r>
          </w:p>
          <w:p w:rsidR="00F176D8" w:rsidRDefault="00F176D8" w:rsidP="007E15D6">
            <w:r>
              <w:t xml:space="preserve">  costly expertise or skills must be </w:t>
            </w:r>
          </w:p>
          <w:p w:rsidR="00F176D8" w:rsidRDefault="00F176D8" w:rsidP="007E15D6">
            <w:r>
              <w:t xml:space="preserve">  developed by staff and organizations, long-</w:t>
            </w:r>
          </w:p>
          <w:p w:rsidR="00F176D8" w:rsidRDefault="00F176D8" w:rsidP="007E15D6">
            <w:r>
              <w:t xml:space="preserve">  term, with a risk of under-investment; and </w:t>
            </w:r>
          </w:p>
          <w:p w:rsidR="00F176D8" w:rsidRDefault="00F176D8" w:rsidP="007E15D6">
            <w:r>
              <w:t xml:space="preserve">- decision-makers must satisfice because of </w:t>
            </w:r>
          </w:p>
          <w:p w:rsidR="00F176D8" w:rsidRDefault="00F176D8" w:rsidP="007E15D6">
            <w:r>
              <w:t xml:space="preserve">  weak information or future uncertainties. </w:t>
            </w:r>
          </w:p>
        </w:tc>
        <w:tc>
          <w:tcPr>
            <w:tcW w:w="3900" w:type="dxa"/>
            <w:gridSpan w:val="2"/>
          </w:tcPr>
          <w:p w:rsidR="00F176D8" w:rsidRDefault="00F176D8" w:rsidP="007E15D6">
            <w:r>
              <w:t>Government should always safeguard its core competencies. Over-using ‘re-engineering’ or ‘best in world’ criteria to contract out government services creates dangers - including the loss of strategic capabilities to join up functions and act as an ‘intelligent customer’. Many major risks in government are non-transferable via contracts. Catastrophic failures by para-state providers will simply cause these risks to revert unchanged to the state, often at high cost. Contractors also introduce new sources of potential financial instability in government services.</w:t>
            </w:r>
          </w:p>
        </w:tc>
      </w:tr>
      <w:tr w:rsidR="00F176D8" w:rsidTr="005708A1">
        <w:tc>
          <w:tcPr>
            <w:tcW w:w="9782" w:type="dxa"/>
            <w:gridSpan w:val="4"/>
            <w:shd w:val="pct5" w:color="auto" w:fill="auto"/>
          </w:tcPr>
          <w:p w:rsidR="00F176D8" w:rsidRPr="00AA6D31" w:rsidRDefault="00F176D8" w:rsidP="00F176D8">
            <w:pPr>
              <w:jc w:val="center"/>
              <w:rPr>
                <w:i/>
              </w:rPr>
            </w:pPr>
            <w:r w:rsidRPr="00AA6D31">
              <w:rPr>
                <w:i/>
              </w:rPr>
              <w:t>Delegation models</w:t>
            </w:r>
          </w:p>
        </w:tc>
      </w:tr>
      <w:tr w:rsidR="00F176D8" w:rsidTr="005708A1">
        <w:tc>
          <w:tcPr>
            <w:tcW w:w="1702" w:type="dxa"/>
          </w:tcPr>
          <w:p w:rsidR="00AA6D31" w:rsidRDefault="00D16C1B" w:rsidP="00E758C6">
            <w:pPr>
              <w:rPr>
                <w:b/>
              </w:rPr>
            </w:pPr>
            <w:r>
              <w:t>6.</w:t>
            </w:r>
            <w:r w:rsidR="00AA6D31">
              <w:t xml:space="preserve"> </w:t>
            </w:r>
            <w:r w:rsidR="00F176D8" w:rsidRPr="00D16C1B">
              <w:rPr>
                <w:b/>
              </w:rPr>
              <w:t>Straightfor</w:t>
            </w:r>
            <w:r w:rsidR="00AA6D31">
              <w:rPr>
                <w:b/>
              </w:rPr>
              <w:t>-</w:t>
            </w:r>
          </w:p>
          <w:p w:rsidR="00F176D8" w:rsidRDefault="00F176D8" w:rsidP="00E758C6">
            <w:r w:rsidRPr="00D16C1B">
              <w:rPr>
                <w:b/>
              </w:rPr>
              <w:t>ward delegation</w:t>
            </w:r>
            <w:r>
              <w:t>, as in most liberal democracies</w:t>
            </w:r>
          </w:p>
          <w:p w:rsidR="00F176D8" w:rsidRDefault="00F176D8" w:rsidP="00E758C6">
            <w:r>
              <w:t xml:space="preserve"> – </w:t>
            </w:r>
            <w:r w:rsidRPr="000F5200">
              <w:rPr>
                <w:i/>
              </w:rPr>
              <w:t>Murray Horn</w:t>
            </w:r>
          </w:p>
        </w:tc>
        <w:tc>
          <w:tcPr>
            <w:tcW w:w="4180" w:type="dxa"/>
          </w:tcPr>
          <w:p w:rsidR="00F176D8" w:rsidRDefault="00F176D8" w:rsidP="00E758C6">
            <w:r>
              <w:t xml:space="preserve">A rational legislative majority delegates where (i) decision costs are high and (ii) doing so strengthens commitment to their current policy against a future change of majority control. Delegation creates (iii) secondary ‘agency’ problems, that are fairly easily combatted via institutional design (e.g. lifetime civil service careers). Rational legislators also (iv) allocate the costs of policy change and compliance to those societal groups best able to insure against them. </w:t>
            </w:r>
          </w:p>
        </w:tc>
        <w:tc>
          <w:tcPr>
            <w:tcW w:w="3900" w:type="dxa"/>
            <w:gridSpan w:val="2"/>
          </w:tcPr>
          <w:p w:rsidR="00F176D8" w:rsidRDefault="00F176D8" w:rsidP="00666222">
            <w:r>
              <w:t>Recognize that the institutional status quo is normally an equilibrium, welfare-maximizing outcome. Carefully conserve and maintain aspects of Weberian/’progressive public administration’ practices that secure political control of the bureaucracy, its detailed responsiveness to citizen interests, and the maximization of a multi-dimensional ‘public value’.</w:t>
            </w:r>
          </w:p>
        </w:tc>
      </w:tr>
      <w:tr w:rsidR="00F176D8" w:rsidTr="005708A1">
        <w:tc>
          <w:tcPr>
            <w:tcW w:w="1702" w:type="dxa"/>
          </w:tcPr>
          <w:p w:rsidR="00F176D8" w:rsidRDefault="00D16C1B" w:rsidP="00E758C6">
            <w:r>
              <w:t xml:space="preserve">7. </w:t>
            </w:r>
            <w:r w:rsidR="00F176D8" w:rsidRPr="00D16C1B">
              <w:rPr>
                <w:b/>
              </w:rPr>
              <w:t>Difficult delegation</w:t>
            </w:r>
            <w:r w:rsidR="00F176D8">
              <w:t xml:space="preserve">, as in the USA’s dual  control executive/ Congressional system – </w:t>
            </w:r>
          </w:p>
          <w:p w:rsidR="00F176D8" w:rsidRDefault="00F176D8" w:rsidP="00E758C6"/>
        </w:tc>
        <w:tc>
          <w:tcPr>
            <w:tcW w:w="4180" w:type="dxa"/>
          </w:tcPr>
          <w:p w:rsidR="00F176D8" w:rsidRDefault="00F176D8" w:rsidP="00C75C77">
            <w:r>
              <w:t xml:space="preserve">Rational legislators and executive actors often seek to micro-control policy directly. They only delegate powers where they believe an existing or new agency has values or an institutional set-up consistent with their individual or party preferences, and with a direct flowback of (short-term) benefits to politicians. </w:t>
            </w:r>
          </w:p>
        </w:tc>
        <w:tc>
          <w:tcPr>
            <w:tcW w:w="3900" w:type="dxa"/>
            <w:gridSpan w:val="2"/>
          </w:tcPr>
          <w:p w:rsidR="00F176D8" w:rsidRDefault="00F176D8" w:rsidP="002C7FD1">
            <w:r>
              <w:t>Multiple principals (e.g. the President, congressional committees) stab</w:t>
            </w:r>
            <w:r w:rsidR="002C7FD1">
              <w:t xml:space="preserve">ilize policy against a risk </w:t>
            </w:r>
            <w:r>
              <w:t xml:space="preserve">of </w:t>
            </w:r>
            <w:r w:rsidR="002C7FD1">
              <w:t xml:space="preserve">ceaseless </w:t>
            </w:r>
            <w:r>
              <w:t>policy churn – especially with ‘divided government’. Agencies will accrete new functions to enhance their longer term political survival.</w:t>
            </w:r>
          </w:p>
        </w:tc>
      </w:tr>
    </w:tbl>
    <w:p w:rsidR="00C424ED" w:rsidRDefault="00C424ED"/>
    <w:p w:rsidR="00DB32E7" w:rsidRDefault="00DB32E7" w:rsidP="00DB32E7">
      <w:pPr>
        <w:spacing w:line="360" w:lineRule="auto"/>
      </w:pPr>
      <w:r>
        <w:lastRenderedPageBreak/>
        <w:t xml:space="preserve">of information </w:t>
      </w:r>
      <w:r w:rsidR="00CA53F6">
        <w:t xml:space="preserve">so as to mislead the legislature or ministers, and use </w:t>
      </w:r>
      <w:r>
        <w:t>their control of outputs to offset all of the cons</w:t>
      </w:r>
      <w:r w:rsidR="00CA53F6">
        <w:t xml:space="preserve">umers’ surplus for society by undertaking </w:t>
      </w:r>
      <w:r>
        <w:t xml:space="preserve">low value (‘wasteful’) activities. The equilibrium point for an agency will </w:t>
      </w:r>
      <w:r w:rsidR="00CA53F6">
        <w:t xml:space="preserve">thus </w:t>
      </w:r>
      <w:r>
        <w:t xml:space="preserve">be where TB = TC, beyond which officials cannot further push up budgets. </w:t>
      </w:r>
    </w:p>
    <w:p w:rsidR="00DB32E7" w:rsidRDefault="00CA53F6" w:rsidP="00DB32E7">
      <w:pPr>
        <w:tabs>
          <w:tab w:val="left" w:pos="567"/>
        </w:tabs>
        <w:spacing w:line="360" w:lineRule="auto"/>
      </w:pPr>
      <w:r>
        <w:tab/>
        <w:t xml:space="preserve">So Niskanen’s </w:t>
      </w:r>
      <w:r w:rsidR="00DB32E7">
        <w:t>model predicted the large-scale over-supply of government outputs. He assumed that most agencies are relatively efficiently run (because of some legislative and budgetary surveillance), so the key strategy for top officials is to expand out</w:t>
      </w:r>
      <w:r>
        <w:t>put</w:t>
      </w:r>
      <w:r w:rsidR="00DB32E7">
        <w:t xml:space="preserve">s in ‘wasteful’ ways, with some positive MB for society, but less than their MC level. In a few </w:t>
      </w:r>
      <w:r w:rsidR="00D16C1B">
        <w:t xml:space="preserve">special cases, however, </w:t>
      </w:r>
      <w:r w:rsidR="00DB32E7">
        <w:t xml:space="preserve">the </w:t>
      </w:r>
      <w:r w:rsidR="00D16C1B">
        <w:t xml:space="preserve">public’s </w:t>
      </w:r>
      <w:r w:rsidR="00DB32E7">
        <w:t>demand for some services may be so high</w:t>
      </w:r>
      <w:r w:rsidR="00D16C1B">
        <w:t>, and agency costs so low,</w:t>
      </w:r>
      <w:r w:rsidR="00DB32E7">
        <w:t xml:space="preserve"> that </w:t>
      </w:r>
      <w:r w:rsidR="00D16C1B">
        <w:t>agencies cannot fully exploit the consumer’s surplus from their early outputs, and here agencies may be able to create organizational ‘slack’.</w:t>
      </w:r>
      <w:r w:rsidR="002C7FD1">
        <w:t xml:space="preserve"> There were few further developments of the model, but Kraan (19</w:t>
      </w:r>
      <w:r w:rsidR="00A818D4">
        <w:t>96</w:t>
      </w:r>
      <w:r w:rsidR="002C7FD1">
        <w:t>) restated the argument more formally, and added a discussion of how the impacts of officials consuming their own outputs might strengthen budgetary expansion.</w:t>
      </w:r>
    </w:p>
    <w:p w:rsidR="002C7FD1" w:rsidRDefault="00D16C1B" w:rsidP="00D16C1B">
      <w:pPr>
        <w:tabs>
          <w:tab w:val="left" w:pos="567"/>
        </w:tabs>
        <w:spacing w:line="360" w:lineRule="auto"/>
      </w:pPr>
      <w:r>
        <w:tab/>
      </w:r>
      <w:r w:rsidR="002C7FD1">
        <w:t>The k</w:t>
      </w:r>
      <w:r>
        <w:t xml:space="preserve">ey implications of the over-supply model were that legislators should break up bureaucratic monopolies and hierarchies, separating out the functions of planning and commissioning </w:t>
      </w:r>
      <w:r w:rsidR="00CA53F6">
        <w:t xml:space="preserve">services from the job of providing services. Delivery </w:t>
      </w:r>
      <w:r>
        <w:t xml:space="preserve">should be made competitive by introducing contracting and privatization, forcing </w:t>
      </w:r>
      <w:r w:rsidR="002C7FD1">
        <w:t xml:space="preserve">competing </w:t>
      </w:r>
      <w:r>
        <w:t>suppliers to reveal detailed costs information to legislators. These ideas helpe</w:t>
      </w:r>
      <w:r w:rsidR="00CA53F6">
        <w:t>d create two key foundation theme</w:t>
      </w:r>
      <w:r>
        <w:t>s for new public management (NPM) strategies</w:t>
      </w:r>
      <w:r w:rsidR="00CA53F6">
        <w:t xml:space="preserve"> (disaggregating large hierarchies and introducing competition). M</w:t>
      </w:r>
      <w:r>
        <w:t>ultiple va</w:t>
      </w:r>
      <w:r w:rsidR="00CA53F6">
        <w:t>riants and embroiderings of these themes</w:t>
      </w:r>
      <w:r>
        <w:t xml:space="preserve"> were subsequently developed under the Thatcher and Reagan governments, and extended to more ‘humanistic’ NPM under other governments, such as Blair’s in the UK and Keating’s in Australia (</w:t>
      </w:r>
      <w:r w:rsidR="0034605D">
        <w:rPr>
          <w:szCs w:val="20"/>
        </w:rPr>
        <w:t>Pusey, 2003</w:t>
      </w:r>
      <w:r>
        <w:t>).</w:t>
      </w:r>
    </w:p>
    <w:p w:rsidR="00DB32E7" w:rsidRDefault="002C7FD1" w:rsidP="00D16C1B">
      <w:pPr>
        <w:tabs>
          <w:tab w:val="left" w:pos="567"/>
        </w:tabs>
        <w:spacing w:line="360" w:lineRule="auto"/>
      </w:pPr>
      <w:r>
        <w:tab/>
      </w:r>
      <w:r w:rsidR="00D16C1B">
        <w:t xml:space="preserve">Niskanen’s </w:t>
      </w:r>
      <w:r w:rsidR="00CA53F6">
        <w:t xml:space="preserve">scepticism about agencies and his formally-stated </w:t>
      </w:r>
      <w:r w:rsidR="00D16C1B">
        <w:t xml:space="preserve">model </w:t>
      </w:r>
      <w:r w:rsidR="00CA53F6">
        <w:t xml:space="preserve">both </w:t>
      </w:r>
      <w:r w:rsidR="00D16C1B">
        <w:t xml:space="preserve">jolted the study of public </w:t>
      </w:r>
      <w:r w:rsidR="00CA53F6">
        <w:t>administration/</w:t>
      </w:r>
      <w:r w:rsidR="00D16C1B">
        <w:t>management out of its previous to</w:t>
      </w:r>
      <w:r w:rsidR="002B219B">
        <w:t>rpor. B</w:t>
      </w:r>
      <w:r>
        <w:t xml:space="preserve">ut </w:t>
      </w:r>
      <w:r w:rsidR="00D16C1B">
        <w:t>systematic evidence supporting it proved hard to find</w:t>
      </w:r>
      <w:r w:rsidR="002B219B">
        <w:t>, and to this day remains elusive</w:t>
      </w:r>
      <w:r>
        <w:t>. T</w:t>
      </w:r>
      <w:r w:rsidR="00D16C1B">
        <w:t xml:space="preserve">he </w:t>
      </w:r>
      <w:r w:rsidR="002B219B">
        <w:t xml:space="preserve">model resonated </w:t>
      </w:r>
      <w:r>
        <w:t>with right-wing politicians</w:t>
      </w:r>
      <w:r w:rsidR="00CA53F6">
        <w:t>, so</w:t>
      </w:r>
      <w:r>
        <w:t xml:space="preserve"> </w:t>
      </w:r>
      <w:r w:rsidR="002B219B">
        <w:t xml:space="preserve">lending it practical </w:t>
      </w:r>
      <w:r>
        <w:t>credence</w:t>
      </w:r>
      <w:r w:rsidR="00CA53F6">
        <w:t xml:space="preserve"> and topicality. Initial and e</w:t>
      </w:r>
      <w:r>
        <w:t xml:space="preserve">arly </w:t>
      </w:r>
      <w:r w:rsidR="00D16C1B">
        <w:t>rounds of privatization processes</w:t>
      </w:r>
      <w:r>
        <w:t xml:space="preserve"> generated some supportive momentum in </w:t>
      </w:r>
      <w:r w:rsidR="00CA53F6">
        <w:t xml:space="preserve">showing some </w:t>
      </w:r>
      <w:r>
        <w:t>apparent cost-savings from contractorization</w:t>
      </w:r>
      <w:r w:rsidR="00D16C1B">
        <w:t>.</w:t>
      </w:r>
      <w:r>
        <w:t xml:space="preserve"> </w:t>
      </w:r>
      <w:r w:rsidR="002972E4">
        <w:t xml:space="preserve">Political science and public management academics often queried its assumptions, repeatedly demonstrating that very few officials admit to budget maximizing, and that detailed behavioural evidence is mostly unfavourable (Blais </w:t>
      </w:r>
      <w:r w:rsidR="002972E4" w:rsidRPr="00920345">
        <w:t>a</w:t>
      </w:r>
      <w:r w:rsidR="002972E4">
        <w:t xml:space="preserve">nd Dion, 1991). </w:t>
      </w:r>
      <w:r w:rsidR="002B219B">
        <w:t>B</w:t>
      </w:r>
      <w:r>
        <w:t xml:space="preserve">ut economists </w:t>
      </w:r>
      <w:r w:rsidR="002B219B">
        <w:t xml:space="preserve">still extensively </w:t>
      </w:r>
      <w:r>
        <w:t xml:space="preserve">cited </w:t>
      </w:r>
      <w:r w:rsidR="002519D3">
        <w:t xml:space="preserve">Niskanen </w:t>
      </w:r>
      <w:r w:rsidR="00920345">
        <w:t>because of his model’s</w:t>
      </w:r>
      <w:r>
        <w:t xml:space="preserve"> formal statement</w:t>
      </w:r>
      <w:r w:rsidR="002B219B">
        <w:t xml:space="preserve"> and fit with market-based expectations.</w:t>
      </w:r>
      <w:r>
        <w:t xml:space="preserve"> </w:t>
      </w:r>
    </w:p>
    <w:p w:rsidR="002B219B" w:rsidRDefault="002B219B" w:rsidP="005708A1">
      <w:pPr>
        <w:spacing w:line="360" w:lineRule="auto"/>
        <w:ind w:firstLine="720"/>
      </w:pPr>
      <w:r w:rsidRPr="007139EB">
        <w:rPr>
          <w:b/>
          <w:i/>
        </w:rPr>
        <w:t>2. Rent-seeking</w:t>
      </w:r>
      <w:r>
        <w:t xml:space="preserve"> is a term that Niskanen himself never used, apparently because of its prior association with Gordon Tullock’s work. Instead, in a later edition of his book, Niskanen developed a different formal model of a ‘price-di</w:t>
      </w:r>
      <w:r w:rsidR="002519D3">
        <w:t xml:space="preserve">scriminating’ bureaucracy. It </w:t>
      </w:r>
      <w:r>
        <w:t xml:space="preserve">could so control and dupe its </w:t>
      </w:r>
      <w:r>
        <w:lastRenderedPageBreak/>
        <w:t xml:space="preserve">legislative or ministerial overseers as to directly appropriate every increment of consumers’ surplus by overcharging different societal groups exactly the MB for that unit. How this feat was to be achieved his book did not say. </w:t>
      </w:r>
    </w:p>
    <w:p w:rsidR="002B219B" w:rsidRDefault="002B219B" w:rsidP="002B219B">
      <w:pPr>
        <w:tabs>
          <w:tab w:val="left" w:pos="567"/>
        </w:tabs>
        <w:spacing w:line="360" w:lineRule="auto"/>
      </w:pPr>
      <w:r>
        <w:tab/>
        <w:t>Tullock’s more loosely specified model was simpler and more specific. Bureaucrats radically under-suppl</w:t>
      </w:r>
      <w:r w:rsidR="002519D3">
        <w:t xml:space="preserve">y outputs in order to create </w:t>
      </w:r>
      <w:r>
        <w:t xml:space="preserve">artificial scarcity </w:t>
      </w:r>
      <w:r w:rsidR="002519D3">
        <w:t xml:space="preserve">effects </w:t>
      </w:r>
      <w:r>
        <w:t xml:space="preserve">(e.g. queues for hospital operations in a public health system) that lets them </w:t>
      </w:r>
      <w:r w:rsidR="002519D3">
        <w:t xml:space="preserve">bid up unit prices, bid down labour costs and so extract </w:t>
      </w:r>
      <w:r>
        <w:t xml:space="preserve">unearned ‘rents’ (essentially </w:t>
      </w:r>
      <w:r w:rsidR="002519D3">
        <w:t xml:space="preserve">proxies for </w:t>
      </w:r>
      <w:r>
        <w:t>super-normal profit</w:t>
      </w:r>
      <w:r w:rsidR="002519D3">
        <w:t>s</w:t>
      </w:r>
      <w:r>
        <w:t>)</w:t>
      </w:r>
      <w:r w:rsidR="00CB70DC">
        <w:t xml:space="preserve">, even where they cannot price-discriminate. These might be used to boost officials’ pay, or diverted by trade unions or public sector professions into various forms of ‘privileging’, over-manning or ‘slack’. Alternatively top officials might extract the rents in inflated ‘leadership’ salaries and perks, perhaps sharing the benefits with politicians </w:t>
      </w:r>
      <w:r w:rsidR="002519D3">
        <w:t xml:space="preserve">or interest groups, who can use rents to make </w:t>
      </w:r>
      <w:r w:rsidR="00CB70DC">
        <w:t>camp</w:t>
      </w:r>
      <w:r w:rsidR="002519D3">
        <w:t xml:space="preserve">aign gains or harvest </w:t>
      </w:r>
      <w:r w:rsidR="00CB70DC">
        <w:t xml:space="preserve">oversight perks. Some versions of </w:t>
      </w:r>
      <w:r w:rsidR="002519D3">
        <w:t xml:space="preserve">the model </w:t>
      </w:r>
      <w:r w:rsidR="00CB70DC">
        <w:t>went further.</w:t>
      </w:r>
      <w:r>
        <w:t xml:space="preserve"> </w:t>
      </w:r>
      <w:r w:rsidR="00CB70DC">
        <w:t xml:space="preserve">Tullock claimed that rent-seeking agencies could extract the consumers’ surplus from the reduced range of outputs, as well as the normal rents rectangle. </w:t>
      </w:r>
      <w:r w:rsidR="00002FFA">
        <w:t xml:space="preserve">Amahi </w:t>
      </w:r>
      <w:r w:rsidR="00002FFA" w:rsidRPr="0034605D">
        <w:rPr>
          <w:szCs w:val="20"/>
        </w:rPr>
        <w:t>Glazer</w:t>
      </w:r>
      <w:r w:rsidR="00002FFA">
        <w:rPr>
          <w:szCs w:val="20"/>
        </w:rPr>
        <w:t xml:space="preserve"> and</w:t>
      </w:r>
      <w:r w:rsidR="00002FFA" w:rsidRPr="0034605D">
        <w:rPr>
          <w:szCs w:val="20"/>
        </w:rPr>
        <w:t xml:space="preserve"> </w:t>
      </w:r>
      <w:r w:rsidR="00002FFA">
        <w:rPr>
          <w:szCs w:val="20"/>
        </w:rPr>
        <w:t xml:space="preserve">Esko </w:t>
      </w:r>
      <w:r w:rsidR="00002FFA" w:rsidRPr="0034605D">
        <w:rPr>
          <w:szCs w:val="20"/>
        </w:rPr>
        <w:t>Niskanen</w:t>
      </w:r>
      <w:r w:rsidR="00002FFA">
        <w:rPr>
          <w:szCs w:val="20"/>
        </w:rPr>
        <w:t xml:space="preserve"> (1997) </w:t>
      </w:r>
      <w:r w:rsidR="00CB70DC">
        <w:t>argued that officials effectively collude with majoritarian politicians so as to expel wealthy groups from using public service</w:t>
      </w:r>
      <w:r w:rsidR="002519D3">
        <w:t xml:space="preserve">s like hospitals and schools, Officials </w:t>
      </w:r>
      <w:r w:rsidR="00002FFA">
        <w:t xml:space="preserve">help politicians to </w:t>
      </w:r>
      <w:r w:rsidR="002519D3">
        <w:t>optimally ‘crowd</w:t>
      </w:r>
      <w:r w:rsidR="00CB70DC">
        <w:t xml:space="preserve">’ these facilities just enough to put off the </w:t>
      </w:r>
      <w:r w:rsidR="002519D3">
        <w:t xml:space="preserve">quality-sensitive rich, </w:t>
      </w:r>
      <w:r w:rsidR="00CB70DC">
        <w:t>without damaging services f</w:t>
      </w:r>
      <w:r w:rsidR="00002FFA">
        <w:t xml:space="preserve">or other less quality-sensitive </w:t>
      </w:r>
      <w:r w:rsidR="00CB70DC">
        <w:t xml:space="preserve">citizens too much. </w:t>
      </w:r>
      <w:r w:rsidR="002519D3">
        <w:t xml:space="preserve">Electors </w:t>
      </w:r>
      <w:r w:rsidR="00CB70DC">
        <w:t xml:space="preserve">thus secure rents in the form of wealthy people’s taxes to support services </w:t>
      </w:r>
      <w:r w:rsidR="002519D3">
        <w:t xml:space="preserve">that </w:t>
      </w:r>
      <w:r w:rsidR="00CB70DC">
        <w:t>they do not use – an argum</w:t>
      </w:r>
      <w:r w:rsidR="002519D3">
        <w:t>ent underpinning the US push to introduce</w:t>
      </w:r>
      <w:r w:rsidR="00CB70DC">
        <w:t xml:space="preserve"> education vouchers.</w:t>
      </w:r>
    </w:p>
    <w:p w:rsidR="00DB32E7" w:rsidRPr="001910DF" w:rsidRDefault="00CB70DC" w:rsidP="00DB32E7">
      <w:pPr>
        <w:spacing w:line="360" w:lineRule="auto"/>
      </w:pPr>
      <w:r>
        <w:tab/>
        <w:t xml:space="preserve">Again many economists have </w:t>
      </w:r>
      <w:r w:rsidR="001910DF">
        <w:t>applied the terminology of rent-seeking in describing government services, although supportive evidence is exceptionally sparse – and inherently hard to produce, since marg</w:t>
      </w:r>
      <w:r w:rsidR="002519D3">
        <w:t>inal benefits and costs are difficult</w:t>
      </w:r>
      <w:r w:rsidR="001910DF">
        <w:t xml:space="preserve"> to determine. Evidence of chronic unmet demand (like queues for hospital operations in the British NHS) might be suggestive of aggregate under-supply, but attributing that to officials and trade unions permanently campaigning to boost spending (rather than to taxpayer and politicians’ resistance) seems almost perverse. Some evidence exists of professional restrictive practices (such as limits on the numbers o</w:t>
      </w:r>
      <w:r w:rsidR="002519D3">
        <w:t>f doctors trained in the NHS). B</w:t>
      </w:r>
      <w:r w:rsidR="001910DF">
        <w:t xml:space="preserve">ut the general lags of public sector professionals’ and workers’ pay levels below private sector equivalents does not suggest widespread successful rent-extraction. However, rent-seeking accounts have under-pinned the third key element of NPM practices - </w:t>
      </w:r>
      <w:r w:rsidR="00C56453">
        <w:t>an insistence on ‘deprivileging’ public sectors professions and unions, and instead bringing in direct financial incentives for</w:t>
      </w:r>
      <w:r w:rsidR="001910DF">
        <w:t xml:space="preserve"> public services </w:t>
      </w:r>
      <w:r w:rsidR="00C56453">
        <w:t xml:space="preserve">delivery. Key ideas here include </w:t>
      </w:r>
      <w:r w:rsidR="001910DF">
        <w:t>performance-related pay</w:t>
      </w:r>
      <w:r w:rsidR="00C56453">
        <w:t xml:space="preserve"> for staff</w:t>
      </w:r>
      <w:r w:rsidR="001910DF">
        <w:t xml:space="preserve">, contractual </w:t>
      </w:r>
      <w:r w:rsidR="00C56453">
        <w:t xml:space="preserve">incentive for providers meeting targets, and public-private partnerships (Dunleavy et al, 2006) – again all pursued despite little or no evidence of any positive effects.  </w:t>
      </w:r>
      <w:r w:rsidR="001910DF">
        <w:t xml:space="preserve"> </w:t>
      </w:r>
    </w:p>
    <w:p w:rsidR="00DB32E7" w:rsidRDefault="00DB32E7"/>
    <w:p w:rsidR="00244CAB" w:rsidRDefault="00244CAB">
      <w:pPr>
        <w:spacing w:line="360" w:lineRule="auto"/>
        <w:rPr>
          <w:b/>
        </w:rPr>
      </w:pPr>
      <w:r>
        <w:rPr>
          <w:b/>
        </w:rPr>
        <w:br w:type="page"/>
      </w:r>
    </w:p>
    <w:p w:rsidR="00F176D8" w:rsidRDefault="00F176D8" w:rsidP="00F176D8">
      <w:pPr>
        <w:spacing w:line="360" w:lineRule="auto"/>
      </w:pPr>
      <w:r>
        <w:rPr>
          <w:b/>
        </w:rPr>
        <w:lastRenderedPageBreak/>
        <w:t>Revisionist models</w:t>
      </w:r>
    </w:p>
    <w:p w:rsidR="00244CAB" w:rsidRDefault="00244CAB" w:rsidP="00F176D8">
      <w:pPr>
        <w:spacing w:line="360" w:lineRule="auto"/>
      </w:pPr>
      <w:r>
        <w:t>Where classical public choice models used first principles assumptions, ignored institutional design factors and focused only on sweeping predictions as a test of models’ value, revisionist accounts have sought more behaviourally realistic premises, offered more granular models adapted to diverse institutional conditions and generated more diverse predictions. And whereas the classical models often suggested chronic disequilibria with markedly adverse public interest implications, revisionist models seek to show how bureaucratic arrangements endure and the functionalities they maximize.</w:t>
      </w:r>
    </w:p>
    <w:p w:rsidR="00F176D8" w:rsidRDefault="00A84FBC" w:rsidP="00A84FBC">
      <w:pPr>
        <w:tabs>
          <w:tab w:val="left" w:pos="567"/>
        </w:tabs>
        <w:spacing w:line="360" w:lineRule="auto"/>
      </w:pPr>
      <w:r>
        <w:tab/>
      </w:r>
      <w:r w:rsidR="00C56453" w:rsidRPr="007139EB">
        <w:rPr>
          <w:b/>
          <w:i/>
        </w:rPr>
        <w:t>3. The bureau-shaping model</w:t>
      </w:r>
      <w:r w:rsidR="00C56453">
        <w:t xml:space="preserve"> developed by Dunleavy (1985, 1992 Chs. 7 and 8)</w:t>
      </w:r>
      <w:r w:rsidR="002D0860">
        <w:t xml:space="preserve"> operates within rational choice assumptions, but systematically queries every stage of budget-maximizing and rent-seeking accounts. To realize any collective benefit, bureaucrats must solve a collective action problem where the benefits of supporting a collective push (rather than using individual utility maximizing strategies) must exceed the marginal advocacy costs involved. In rank-structured hierarchies the big gains from budget expansion accrue to marginal and low-level staff, but their probability of individually influencing outcomes is very low – so even if their advocacy costs are small they should remain inactive. By contrast, top bureaucrats are highly influential in shaping outcomes, but derive little benefit from budgetary expansion (since their positions are secure already), and would confront high advocacy costs in pushing for budgetary expansion in modern political</w:t>
      </w:r>
      <w:r>
        <w:t xml:space="preserve"> times</w:t>
      </w:r>
      <w:r w:rsidR="002D0860">
        <w:t xml:space="preserve">, such </w:t>
      </w:r>
      <w:r>
        <w:t>as post-</w:t>
      </w:r>
      <w:r w:rsidR="002D0860">
        <w:t>2008 austerit</w:t>
      </w:r>
      <w:r>
        <w:t>y conditions</w:t>
      </w:r>
      <w:r w:rsidR="002D0860">
        <w:t xml:space="preserve">. </w:t>
      </w:r>
      <w:r>
        <w:t>For policy-level bureaucrat</w:t>
      </w:r>
      <w:r w:rsidR="002D0860">
        <w:t xml:space="preserve">s the discounted marginal utility (DMU) of a budget or rent increase must exceed their marginal advocacy costs (MAC) </w:t>
      </w:r>
      <w:r>
        <w:t xml:space="preserve">– only then will they </w:t>
      </w:r>
      <w:r w:rsidR="002D0860">
        <w:t xml:space="preserve">actively push for </w:t>
      </w:r>
      <w:r>
        <w:t xml:space="preserve">such </w:t>
      </w:r>
      <w:r w:rsidR="002D0860">
        <w:t>collective benefits.</w:t>
      </w:r>
      <w:r>
        <w:t xml:space="preserve"> Otherwise</w:t>
      </w:r>
      <w:r w:rsidR="002D0860">
        <w:t>, officials sit on their hands.</w:t>
      </w:r>
    </w:p>
    <w:p w:rsidR="002D0860" w:rsidRDefault="002D0860" w:rsidP="002D0860">
      <w:pPr>
        <w:tabs>
          <w:tab w:val="left" w:pos="567"/>
        </w:tabs>
        <w:spacing w:line="360" w:lineRule="auto"/>
      </w:pPr>
      <w:r>
        <w:tab/>
      </w:r>
      <w:r w:rsidR="00A11439">
        <w:t>Different agencies also vary widely in their budget structures. Delivery agencies and old-style regulatory agencies historically have had large workforces and spend most of their budget on their own activities. Here incentives for budg</w:t>
      </w:r>
      <w:r w:rsidR="00A84FBC">
        <w:t>et-maximization are tagged to the agency’s total</w:t>
      </w:r>
      <w:r w:rsidR="00A11439">
        <w:t xml:space="preserve"> budget. Similarly capital-intensive delivery agencies (like the armed forces and agencies heavily dependent on IT) spend their budgets both on staff and on large, industrial contracts to firms well able to organize a flowback of benefits to top officials and political executives. Here to</w:t>
      </w:r>
      <w:r w:rsidR="00A84FBC">
        <w:t>o</w:t>
      </w:r>
      <w:r w:rsidR="00A11439">
        <w:t xml:space="preserve"> incentives for budget maximization relate to </w:t>
      </w:r>
      <w:r w:rsidR="00A84FBC">
        <w:t xml:space="preserve">almost all of </w:t>
      </w:r>
      <w:r w:rsidR="002519D3">
        <w:t xml:space="preserve">the </w:t>
      </w:r>
      <w:r w:rsidR="00A11439">
        <w:t>agency</w:t>
      </w:r>
      <w:r w:rsidR="00A84FBC">
        <w:t>’s</w:t>
      </w:r>
      <w:r w:rsidR="00A11439">
        <w:t xml:space="preserve"> </w:t>
      </w:r>
      <w:r w:rsidR="002519D3">
        <w:t xml:space="preserve">total </w:t>
      </w:r>
      <w:r w:rsidR="00A11439">
        <w:t>budget</w:t>
      </w:r>
      <w:r w:rsidR="002519D3">
        <w:t xml:space="preserve">. Historical experiences also suggest sustained and obvious </w:t>
      </w:r>
      <w:r w:rsidR="00A11439">
        <w:t xml:space="preserve">oversupply </w:t>
      </w:r>
      <w:r w:rsidR="002519D3">
        <w:t xml:space="preserve">episodes </w:t>
      </w:r>
      <w:r w:rsidR="00A11439">
        <w:t xml:space="preserve">– notably in the </w:t>
      </w:r>
      <w:r w:rsidR="002519D3">
        <w:t xml:space="preserve">Cold War </w:t>
      </w:r>
      <w:r w:rsidR="00A11439">
        <w:t xml:space="preserve">nuclear arms race </w:t>
      </w:r>
      <w:r w:rsidR="002519D3">
        <w:t>(when</w:t>
      </w:r>
      <w:r w:rsidR="00A84FBC">
        <w:t xml:space="preserve"> the USA acquired the capacity to destroy the Soviet Union many times over) </w:t>
      </w:r>
      <w:r w:rsidR="00A11439">
        <w:t xml:space="preserve">and continuing US dominance of </w:t>
      </w:r>
      <w:r w:rsidR="002519D3">
        <w:t xml:space="preserve">half of </w:t>
      </w:r>
      <w:r w:rsidR="00A11439">
        <w:t>worldwide military spending. By contrast most welfare state agencies at national/federal level are either ‘transfer</w:t>
      </w:r>
      <w:r w:rsidR="00A84FBC">
        <w:t>’</w:t>
      </w:r>
      <w:r w:rsidR="00A11439">
        <w:t xml:space="preserve"> agencies that deliver social security to millions of </w:t>
      </w:r>
      <w:r w:rsidR="002519D3">
        <w:t xml:space="preserve">isolated individual </w:t>
      </w:r>
      <w:r w:rsidR="00A11439">
        <w:t xml:space="preserve">recipients via automated payments systems, or are ‘control agencies’ </w:t>
      </w:r>
      <w:r w:rsidR="00A84FBC">
        <w:t xml:space="preserve">that </w:t>
      </w:r>
      <w:r w:rsidR="00A11439">
        <w:t xml:space="preserve">pass on the vast bulk of their budgets to </w:t>
      </w:r>
      <w:r w:rsidR="00A84FBC">
        <w:t>lower tiers of inter-governmental finance systems</w:t>
      </w:r>
      <w:r w:rsidR="00A11439">
        <w:t xml:space="preserve"> or </w:t>
      </w:r>
      <w:r w:rsidR="00A84FBC">
        <w:t xml:space="preserve">myriads of </w:t>
      </w:r>
      <w:r w:rsidR="00A11439">
        <w:t xml:space="preserve">NGOs to deliver services. Rational officials </w:t>
      </w:r>
      <w:r w:rsidR="00AB1E57">
        <w:t xml:space="preserve">can get no </w:t>
      </w:r>
      <w:r w:rsidR="00A11439">
        <w:t xml:space="preserve">utility boost from electronically remitting larger </w:t>
      </w:r>
      <w:r w:rsidR="00A11439">
        <w:lastRenderedPageBreak/>
        <w:t xml:space="preserve">numbers to pensioners’ or claimants’ bank </w:t>
      </w:r>
      <w:r w:rsidR="00AB1E57">
        <w:t xml:space="preserve">accounts, nor from increasing </w:t>
      </w:r>
      <w:r w:rsidR="00A11439">
        <w:t>budget</w:t>
      </w:r>
      <w:r w:rsidR="00AB1E57">
        <w:t>s that get</w:t>
      </w:r>
      <w:r w:rsidR="00A11439">
        <w:t xml:space="preserve"> passed on</w:t>
      </w:r>
      <w:r w:rsidR="00AB1E57">
        <w:t xml:space="preserve"> directly for</w:t>
      </w:r>
      <w:r w:rsidR="00A11439">
        <w:t xml:space="preserve"> other organizations to spend. Typically control agencies</w:t>
      </w:r>
      <w:r w:rsidR="00AB1E57">
        <w:t>’</w:t>
      </w:r>
      <w:r w:rsidR="00A11439">
        <w:t xml:space="preserve"> running costs are around 2% of their total budgets, and </w:t>
      </w:r>
      <w:r w:rsidR="00AB1E57">
        <w:t xml:space="preserve">those of </w:t>
      </w:r>
      <w:r w:rsidR="00A11439">
        <w:t xml:space="preserve">transfer agencies </w:t>
      </w:r>
      <w:r w:rsidR="00AB1E57">
        <w:t xml:space="preserve">are </w:t>
      </w:r>
      <w:r w:rsidR="00A11439">
        <w:t xml:space="preserve">under 5%. </w:t>
      </w:r>
    </w:p>
    <w:p w:rsidR="00A84FBC" w:rsidRDefault="005909F5" w:rsidP="005909F5">
      <w:pPr>
        <w:tabs>
          <w:tab w:val="left" w:pos="567"/>
        </w:tabs>
        <w:spacing w:line="360" w:lineRule="auto"/>
      </w:pPr>
      <w:r>
        <w:tab/>
        <w:t xml:space="preserve">Dunleavy offered a quite different account of top central/federal officials’ motivations, arguing that wherever feasible rational bureaucrats should maximize </w:t>
      </w:r>
      <w:r w:rsidR="00A84FBC">
        <w:t xml:space="preserve">their immediate </w:t>
      </w:r>
      <w:r>
        <w:t>work-related utilities</w:t>
      </w:r>
      <w:r w:rsidR="00A84FBC">
        <w:t xml:space="preserve"> and cut their transactions costs. They should seek</w:t>
      </w:r>
      <w:r>
        <w:t xml:space="preserve"> positions in small, policy shops insulated from dependence on large budgets, wit</w:t>
      </w:r>
      <w:r w:rsidR="00494486">
        <w:t>h congenial planning and policy-</w:t>
      </w:r>
      <w:r>
        <w:t>development workloads, elite contacts</w:t>
      </w:r>
      <w:r w:rsidR="00A84FBC">
        <w:t>, political influence</w:t>
      </w:r>
      <w:r>
        <w:t xml:space="preserve"> and no industrial relations problems. Top officials </w:t>
      </w:r>
      <w:r w:rsidR="00A84FBC">
        <w:t xml:space="preserve">in large departments </w:t>
      </w:r>
      <w:r>
        <w:t xml:space="preserve">should </w:t>
      </w:r>
      <w:r w:rsidR="00A84FBC">
        <w:t xml:space="preserve">separate out </w:t>
      </w:r>
      <w:r>
        <w:t xml:space="preserve">big budget </w:t>
      </w:r>
      <w:r w:rsidR="00A84FBC">
        <w:t xml:space="preserve">delivery </w:t>
      </w:r>
      <w:r>
        <w:t>functions</w:t>
      </w:r>
      <w:r w:rsidR="00A84FBC">
        <w:t xml:space="preserve"> wherever feasible</w:t>
      </w:r>
      <w:r>
        <w:t>, separating them out from the policy-making c</w:t>
      </w:r>
      <w:r w:rsidR="00A84FBC">
        <w:t xml:space="preserve">ore – a prediction validated by the </w:t>
      </w:r>
      <w:r>
        <w:t xml:space="preserve">huge </w:t>
      </w:r>
      <w:r w:rsidR="00A84FBC">
        <w:t xml:space="preserve">‘agencification’ </w:t>
      </w:r>
      <w:r>
        <w:t>trend in the UK</w:t>
      </w:r>
      <w:r w:rsidR="00A818D4">
        <w:t xml:space="preserve"> (James, </w:t>
      </w:r>
      <w:r w:rsidR="00060113">
        <w:t xml:space="preserve">1995, </w:t>
      </w:r>
      <w:r w:rsidR="00A818D4">
        <w:t>2003</w:t>
      </w:r>
      <w:r w:rsidR="00244CAB">
        <w:t>)</w:t>
      </w:r>
      <w:r>
        <w:t xml:space="preserve">, </w:t>
      </w:r>
      <w:r w:rsidR="00244CAB">
        <w:t xml:space="preserve">and across </w:t>
      </w:r>
      <w:r>
        <w:t>much of Europe and Japan/Korea (</w:t>
      </w:r>
      <w:r w:rsidRPr="00A818D4">
        <w:t>Pollit</w:t>
      </w:r>
      <w:r w:rsidR="00A818D4" w:rsidRPr="00A818D4">
        <w:t>t et</w:t>
      </w:r>
      <w:r w:rsidR="00A818D4">
        <w:t xml:space="preserve"> al, 2004</w:t>
      </w:r>
      <w:r>
        <w:t>)</w:t>
      </w:r>
      <w:r w:rsidR="00A84FBC">
        <w:t>. Alternatively s</w:t>
      </w:r>
      <w:r>
        <w:t>enior bureaucrats should also seek to offload the maximum feasible functions onto privatized contractors, even when</w:t>
      </w:r>
      <w:r w:rsidR="00A84FBC">
        <w:t xml:space="preserve"> this proves</w:t>
      </w:r>
      <w:r>
        <w:t xml:space="preserve"> dysfunctional or costly – as with government IT in the UK, Australia and Japan (Dunleavy et al, 2008) and with defence contracting </w:t>
      </w:r>
      <w:r w:rsidR="00A84FBC">
        <w:t xml:space="preserve">and homeland security </w:t>
      </w:r>
      <w:r>
        <w:t xml:space="preserve">in the USA. </w:t>
      </w:r>
    </w:p>
    <w:p w:rsidR="00494486" w:rsidRDefault="00A84FBC" w:rsidP="005909F5">
      <w:pPr>
        <w:tabs>
          <w:tab w:val="left" w:pos="567"/>
        </w:tabs>
        <w:spacing w:line="360" w:lineRule="auto"/>
      </w:pPr>
      <w:r>
        <w:tab/>
      </w:r>
      <w:r w:rsidR="005909F5">
        <w:t xml:space="preserve">Thus the bureau-shaping model </w:t>
      </w:r>
      <w:r w:rsidR="00494486">
        <w:t xml:space="preserve">in 1985 </w:t>
      </w:r>
      <w:r w:rsidR="005909F5">
        <w:t>accurately predicted the course of new public management changes</w:t>
      </w:r>
      <w:r w:rsidR="00494486">
        <w:t xml:space="preserve"> over the next two decades</w:t>
      </w:r>
      <w:r w:rsidR="005909F5">
        <w:t xml:space="preserve">, and </w:t>
      </w:r>
      <w:r w:rsidR="00494486">
        <w:t xml:space="preserve">additionally </w:t>
      </w:r>
      <w:r w:rsidR="005909F5">
        <w:t xml:space="preserve">forecast that </w:t>
      </w:r>
      <w:r w:rsidR="00494486">
        <w:t xml:space="preserve">the </w:t>
      </w:r>
      <w:r w:rsidR="005909F5">
        <w:t xml:space="preserve">overuse of NPM nostrums (disaggregation, competition and incentivization) would lead to crises and diseconomies. In particular, top officials have incentives to moderately under-supply outputs, so as to reduce </w:t>
      </w:r>
      <w:r w:rsidR="00494486">
        <w:t xml:space="preserve">the </w:t>
      </w:r>
      <w:r w:rsidR="005909F5">
        <w:t xml:space="preserve">demand for labour, cut wage levels and conditions for their </w:t>
      </w:r>
      <w:r w:rsidR="00494486">
        <w:t xml:space="preserve">grass roots </w:t>
      </w:r>
      <w:r w:rsidR="005909F5">
        <w:t>staffs</w:t>
      </w:r>
      <w:r w:rsidR="00F12731">
        <w:t>, and help short-termist politicians realize temporary consumers</w:t>
      </w:r>
      <w:r w:rsidR="00244CAB">
        <w:t>’</w:t>
      </w:r>
      <w:r w:rsidR="00F12731">
        <w:t xml:space="preserve"> surplus increases for voters and taxpayers.</w:t>
      </w:r>
      <w:r w:rsidR="00244CAB">
        <w:t xml:space="preserve"> Similarly expenditure reviews might start out as ‘more for less’ exercises, but will typically transition into ‘less for less’ cutbacks</w:t>
      </w:r>
      <w:r w:rsidR="00494486">
        <w:t>,</w:t>
      </w:r>
      <w:r w:rsidR="00244CAB">
        <w:t xml:space="preserve"> without improving productivity or outcomes effectiveness.</w:t>
      </w:r>
      <w:r>
        <w:t xml:space="preserve"> </w:t>
      </w:r>
    </w:p>
    <w:p w:rsidR="00AB1E57" w:rsidRDefault="00494486" w:rsidP="005909F5">
      <w:pPr>
        <w:tabs>
          <w:tab w:val="left" w:pos="567"/>
        </w:tabs>
        <w:spacing w:line="360" w:lineRule="auto"/>
      </w:pPr>
      <w:r>
        <w:tab/>
      </w:r>
      <w:r w:rsidR="005708A1">
        <w:t>At decentralized levels of government the bureau-shaping model predicts strong incentives for officials to ‘client shape’, creating ‘boutique’ delivery agencies with clienteles moulded to exclude troublesome or low status service users</w:t>
      </w:r>
      <w:r>
        <w:t xml:space="preserve"> and tasks. This approach would probably create</w:t>
      </w:r>
      <w:r w:rsidR="00EB24CC">
        <w:t xml:space="preserve"> multiple cracks in public provision into which needy but offputting people </w:t>
      </w:r>
      <w:r>
        <w:t xml:space="preserve">could easily </w:t>
      </w:r>
      <w:r w:rsidR="00EB24CC">
        <w:t xml:space="preserve">fall. </w:t>
      </w:r>
    </w:p>
    <w:p w:rsidR="00F176D8" w:rsidRDefault="00AB1E57" w:rsidP="005909F5">
      <w:pPr>
        <w:tabs>
          <w:tab w:val="left" w:pos="567"/>
        </w:tabs>
        <w:spacing w:line="360" w:lineRule="auto"/>
      </w:pPr>
      <w:r>
        <w:tab/>
      </w:r>
      <w:r w:rsidR="00A84FBC">
        <w:t xml:space="preserve">Finally </w:t>
      </w:r>
      <w:r>
        <w:t>the bureau-shaping account fits closely the whole post-war development of welfare states in advanced industrial</w:t>
      </w:r>
      <w:r w:rsidR="00494486">
        <w:t xml:space="preserve"> countries – which show</w:t>
      </w:r>
      <w:r>
        <w:t xml:space="preserve"> stable or shrinking central/federal government employment, and welfare state growth </w:t>
      </w:r>
      <w:r w:rsidR="00494486">
        <w:t xml:space="preserve">instead highly </w:t>
      </w:r>
      <w:r>
        <w:t xml:space="preserve">concentrated in regional, local and NGO sectors. </w:t>
      </w:r>
      <w:r w:rsidR="00494486">
        <w:t xml:space="preserve">The model </w:t>
      </w:r>
      <w:r>
        <w:t xml:space="preserve">also accurately forecast the structural patterns of </w:t>
      </w:r>
      <w:r w:rsidR="00A84FBC">
        <w:t>US federal government</w:t>
      </w:r>
      <w:r w:rsidR="00494486">
        <w:t>,</w:t>
      </w:r>
      <w:r>
        <w:t xml:space="preserve"> shown in Figure 2</w:t>
      </w:r>
      <w:r w:rsidR="00494486">
        <w:t>. H</w:t>
      </w:r>
      <w:r w:rsidR="00A84FBC">
        <w:t xml:space="preserve">ere a </w:t>
      </w:r>
      <w:r>
        <w:t xml:space="preserve">formally recognized </w:t>
      </w:r>
      <w:r w:rsidR="00A84FBC">
        <w:t xml:space="preserve">civil service of around 2 million supervises a </w:t>
      </w:r>
      <w:r>
        <w:t xml:space="preserve">far larger </w:t>
      </w:r>
      <w:r w:rsidR="00494486">
        <w:t xml:space="preserve">(less visible or ‘deniable’) </w:t>
      </w:r>
      <w:r w:rsidR="00A84FBC">
        <w:t xml:space="preserve">‘para-state’ </w:t>
      </w:r>
      <w:r w:rsidR="00494486">
        <w:t xml:space="preserve">apparatus, </w:t>
      </w:r>
      <w:r>
        <w:t xml:space="preserve">made up </w:t>
      </w:r>
      <w:r w:rsidR="00A84FBC">
        <w:t xml:space="preserve">of contractors, sub-national governments and </w:t>
      </w:r>
      <w:r w:rsidR="00A84FBC">
        <w:lastRenderedPageBreak/>
        <w:t>NGOs</w:t>
      </w:r>
      <w:r>
        <w:t>,</w:t>
      </w:r>
      <w:r w:rsidR="00A84FBC">
        <w:t xml:space="preserve"> </w:t>
      </w:r>
      <w:r>
        <w:t xml:space="preserve">employing in all around a further 12 </w:t>
      </w:r>
      <w:r w:rsidR="005708A1">
        <w:t xml:space="preserve">million </w:t>
      </w:r>
      <w:r w:rsidR="00494486">
        <w:t>externaliz</w:t>
      </w:r>
      <w:r>
        <w:t xml:space="preserve">ed </w:t>
      </w:r>
      <w:r w:rsidR="00494486">
        <w:t>staff – a pattern that has greatly intensified since 1990 (DeIulio, 2017; 2014).</w:t>
      </w:r>
    </w:p>
    <w:p w:rsidR="00AB1E57" w:rsidRDefault="00AB1E57" w:rsidP="005909F5">
      <w:pPr>
        <w:tabs>
          <w:tab w:val="left" w:pos="567"/>
        </w:tabs>
        <w:spacing w:line="360" w:lineRule="auto"/>
      </w:pPr>
    </w:p>
    <w:p w:rsidR="00AB1E57" w:rsidRPr="002F75FC" w:rsidRDefault="00AB1E57" w:rsidP="00AB1E57">
      <w:pPr>
        <w:tabs>
          <w:tab w:val="left" w:pos="567"/>
        </w:tabs>
        <w:rPr>
          <w:b/>
        </w:rPr>
      </w:pPr>
      <w:r w:rsidRPr="002F75FC">
        <w:rPr>
          <w:b/>
        </w:rPr>
        <w:t xml:space="preserve">Figure </w:t>
      </w:r>
      <w:r w:rsidR="00872B26">
        <w:rPr>
          <w:b/>
        </w:rPr>
        <w:t>29.</w:t>
      </w:r>
      <w:r w:rsidRPr="002F75FC">
        <w:rPr>
          <w:b/>
        </w:rPr>
        <w:t xml:space="preserve">2: The estimated size and composition of US federal </w:t>
      </w:r>
      <w:r>
        <w:rPr>
          <w:b/>
        </w:rPr>
        <w:t>government and contracted/funding staffs</w:t>
      </w:r>
    </w:p>
    <w:tbl>
      <w:tblPr>
        <w:tblStyle w:val="TableGrid"/>
        <w:tblW w:w="0" w:type="auto"/>
        <w:tblLook w:val="04A0" w:firstRow="1" w:lastRow="0" w:firstColumn="1" w:lastColumn="0" w:noHBand="0" w:noVBand="1"/>
      </w:tblPr>
      <w:tblGrid>
        <w:gridCol w:w="3085"/>
        <w:gridCol w:w="1559"/>
        <w:gridCol w:w="4598"/>
      </w:tblGrid>
      <w:tr w:rsidR="00AB1E57" w:rsidTr="00AB1E57">
        <w:tc>
          <w:tcPr>
            <w:tcW w:w="3085" w:type="dxa"/>
          </w:tcPr>
          <w:p w:rsidR="00AB1E57" w:rsidRPr="001C54B0" w:rsidRDefault="00AB1E57" w:rsidP="003469FD">
            <w:pPr>
              <w:rPr>
                <w:b/>
              </w:rPr>
            </w:pPr>
            <w:r w:rsidRPr="001C54B0">
              <w:rPr>
                <w:b/>
              </w:rPr>
              <w:t>Main components</w:t>
            </w:r>
          </w:p>
        </w:tc>
        <w:tc>
          <w:tcPr>
            <w:tcW w:w="1559" w:type="dxa"/>
          </w:tcPr>
          <w:p w:rsidR="00AB1E57" w:rsidRDefault="00AB1E57" w:rsidP="003469FD">
            <w:pPr>
              <w:jc w:val="center"/>
              <w:rPr>
                <w:b/>
              </w:rPr>
            </w:pPr>
            <w:r w:rsidRPr="001C54B0">
              <w:rPr>
                <w:b/>
              </w:rPr>
              <w:t>Estimated staff</w:t>
            </w:r>
          </w:p>
          <w:p w:rsidR="00AB1E57" w:rsidRPr="001C54B0" w:rsidRDefault="00AB1E57" w:rsidP="003469FD">
            <w:pPr>
              <w:jc w:val="center"/>
              <w:rPr>
                <w:b/>
              </w:rPr>
            </w:pPr>
            <w:r>
              <w:rPr>
                <w:b/>
              </w:rPr>
              <w:t>(m</w:t>
            </w:r>
            <w:r w:rsidRPr="001C54B0">
              <w:rPr>
                <w:b/>
              </w:rPr>
              <w:t>illions, FTE)</w:t>
            </w:r>
          </w:p>
        </w:tc>
        <w:tc>
          <w:tcPr>
            <w:tcW w:w="4598" w:type="dxa"/>
          </w:tcPr>
          <w:p w:rsidR="00AB1E57" w:rsidRPr="001C54B0" w:rsidRDefault="00AB1E57" w:rsidP="003469FD">
            <w:pPr>
              <w:rPr>
                <w:b/>
              </w:rPr>
            </w:pPr>
            <w:r w:rsidRPr="001C54B0">
              <w:rPr>
                <w:b/>
              </w:rPr>
              <w:t>Comments</w:t>
            </w:r>
          </w:p>
        </w:tc>
      </w:tr>
      <w:tr w:rsidR="00AB1E57" w:rsidTr="00AB1E57">
        <w:tc>
          <w:tcPr>
            <w:tcW w:w="3085" w:type="dxa"/>
          </w:tcPr>
          <w:p w:rsidR="00AB1E57" w:rsidRDefault="00AB1E57" w:rsidP="003469FD">
            <w:r>
              <w:t>Federal civil service</w:t>
            </w:r>
          </w:p>
        </w:tc>
        <w:tc>
          <w:tcPr>
            <w:tcW w:w="1559" w:type="dxa"/>
          </w:tcPr>
          <w:p w:rsidR="00AB1E57" w:rsidRDefault="00AB1E57" w:rsidP="003469FD">
            <w:pPr>
              <w:jc w:val="center"/>
            </w:pPr>
            <w:r>
              <w:t>2.2</w:t>
            </w:r>
          </w:p>
        </w:tc>
        <w:tc>
          <w:tcPr>
            <w:tcW w:w="4598" w:type="dxa"/>
          </w:tcPr>
          <w:p w:rsidR="00AB1E57" w:rsidRDefault="00AB1E57" w:rsidP="003469FD">
            <w:r>
              <w:t>Precise data. Little changed since 1960, when total was 2 million.</w:t>
            </w:r>
          </w:p>
        </w:tc>
      </w:tr>
      <w:tr w:rsidR="00AB1E57" w:rsidTr="00AB1E57">
        <w:tc>
          <w:tcPr>
            <w:tcW w:w="3085" w:type="dxa"/>
          </w:tcPr>
          <w:p w:rsidR="00AB1E57" w:rsidRDefault="00AB1E57" w:rsidP="003469FD">
            <w:r>
              <w:t>Private sector ‘para state’ contractors</w:t>
            </w:r>
          </w:p>
        </w:tc>
        <w:tc>
          <w:tcPr>
            <w:tcW w:w="1559" w:type="dxa"/>
          </w:tcPr>
          <w:p w:rsidR="00AB1E57" w:rsidRDefault="00AB1E57" w:rsidP="003469FD">
            <w:pPr>
              <w:jc w:val="center"/>
            </w:pPr>
            <w:r>
              <w:t>7.5</w:t>
            </w:r>
          </w:p>
        </w:tc>
        <w:tc>
          <w:tcPr>
            <w:tcW w:w="4598" w:type="dxa"/>
          </w:tcPr>
          <w:p w:rsidR="00AB1E57" w:rsidRDefault="00AB1E57" w:rsidP="003469FD">
            <w:r>
              <w:t>Hard to estimate. Greatly expanded since 1990</w:t>
            </w:r>
            <w:r w:rsidR="00494486">
              <w:t>, especially</w:t>
            </w:r>
            <w:r>
              <w:t xml:space="preserve"> in homeland security and defence.</w:t>
            </w:r>
          </w:p>
        </w:tc>
      </w:tr>
      <w:tr w:rsidR="00AB1E57" w:rsidTr="00AB1E57">
        <w:tc>
          <w:tcPr>
            <w:tcW w:w="3085" w:type="dxa"/>
          </w:tcPr>
          <w:p w:rsidR="00AB1E57" w:rsidRDefault="00AB1E57" w:rsidP="003469FD">
            <w:r>
              <w:t>State and local government staff on federally financed programs</w:t>
            </w:r>
          </w:p>
        </w:tc>
        <w:tc>
          <w:tcPr>
            <w:tcW w:w="1559" w:type="dxa"/>
          </w:tcPr>
          <w:p w:rsidR="00AB1E57" w:rsidRDefault="00AB1E57" w:rsidP="003469FD">
            <w:pPr>
              <w:jc w:val="center"/>
            </w:pPr>
            <w:r>
              <w:t>3.0</w:t>
            </w:r>
          </w:p>
        </w:tc>
        <w:tc>
          <w:tcPr>
            <w:tcW w:w="4598" w:type="dxa"/>
          </w:tcPr>
          <w:p w:rsidR="00AB1E57" w:rsidRDefault="00AB1E57" w:rsidP="00494486">
            <w:r>
              <w:t>A</w:t>
            </w:r>
            <w:r w:rsidR="00494486">
              <w:t>round a sixth</w:t>
            </w:r>
            <w:r>
              <w:t xml:space="preserve"> of the 18 million American state and local government workers</w:t>
            </w:r>
            <w:r w:rsidR="00494486">
              <w:t xml:space="preserve"> are federally funded</w:t>
            </w:r>
            <w:r>
              <w:t>.</w:t>
            </w:r>
          </w:p>
        </w:tc>
      </w:tr>
      <w:tr w:rsidR="00AB1E57" w:rsidTr="00AB1E57">
        <w:tc>
          <w:tcPr>
            <w:tcW w:w="3085" w:type="dxa"/>
          </w:tcPr>
          <w:p w:rsidR="00AB1E57" w:rsidRDefault="00AB1E57" w:rsidP="003469FD">
            <w:r>
              <w:t>NGO ‘para-state’ staff on federal funded programs</w:t>
            </w:r>
          </w:p>
        </w:tc>
        <w:tc>
          <w:tcPr>
            <w:tcW w:w="1559" w:type="dxa"/>
          </w:tcPr>
          <w:p w:rsidR="00AB1E57" w:rsidRDefault="00AB1E57" w:rsidP="003469FD">
            <w:pPr>
              <w:jc w:val="center"/>
            </w:pPr>
            <w:r>
              <w:t>2.2</w:t>
            </w:r>
          </w:p>
        </w:tc>
        <w:tc>
          <w:tcPr>
            <w:tcW w:w="4598" w:type="dxa"/>
          </w:tcPr>
          <w:p w:rsidR="00AB1E57" w:rsidRDefault="00AB1E57" w:rsidP="003469FD">
            <w:r>
              <w:t>Of 11 million NGO staffs nationwide, an estimated fifth depend on federal programs.</w:t>
            </w:r>
          </w:p>
        </w:tc>
      </w:tr>
      <w:tr w:rsidR="00AB1E57" w:rsidTr="00AB1E57">
        <w:tc>
          <w:tcPr>
            <w:tcW w:w="3085" w:type="dxa"/>
          </w:tcPr>
          <w:p w:rsidR="00AB1E57" w:rsidRPr="001C54B0" w:rsidRDefault="00AB1E57" w:rsidP="003469FD">
            <w:pPr>
              <w:rPr>
                <w:b/>
              </w:rPr>
            </w:pPr>
            <w:r w:rsidRPr="001C54B0">
              <w:rPr>
                <w:b/>
              </w:rPr>
              <w:t>Approximate total</w:t>
            </w:r>
          </w:p>
        </w:tc>
        <w:tc>
          <w:tcPr>
            <w:tcW w:w="1559" w:type="dxa"/>
          </w:tcPr>
          <w:p w:rsidR="00AB1E57" w:rsidRPr="001C54B0" w:rsidRDefault="00AB1E57" w:rsidP="003469FD">
            <w:pPr>
              <w:rPr>
                <w:b/>
              </w:rPr>
            </w:pPr>
            <w:r>
              <w:rPr>
                <w:b/>
              </w:rPr>
              <w:t xml:space="preserve">          </w:t>
            </w:r>
            <w:r w:rsidRPr="001C54B0">
              <w:rPr>
                <w:b/>
              </w:rPr>
              <w:t>14.2</w:t>
            </w:r>
          </w:p>
        </w:tc>
        <w:tc>
          <w:tcPr>
            <w:tcW w:w="4598" w:type="dxa"/>
          </w:tcPr>
          <w:p w:rsidR="00AB1E57" w:rsidRPr="001C54B0" w:rsidRDefault="00AB1E57" w:rsidP="003469FD">
            <w:r w:rsidRPr="001C54B0">
              <w:t xml:space="preserve">Estimated federal proxy staffing in 1960 was 2million, so </w:t>
            </w:r>
            <w:r w:rsidR="00494486">
              <w:t xml:space="preserve">the </w:t>
            </w:r>
            <w:r w:rsidRPr="001C54B0">
              <w:t>total federal state at that time = 4 million</w:t>
            </w:r>
            <w:r w:rsidR="00494486">
              <w:t>.</w:t>
            </w:r>
          </w:p>
        </w:tc>
      </w:tr>
    </w:tbl>
    <w:p w:rsidR="00AB1E57" w:rsidRPr="00AB1E57" w:rsidRDefault="00AB1E57" w:rsidP="005909F5">
      <w:pPr>
        <w:tabs>
          <w:tab w:val="left" w:pos="567"/>
        </w:tabs>
        <w:spacing w:line="360" w:lineRule="auto"/>
        <w:rPr>
          <w:sz w:val="20"/>
          <w:szCs w:val="20"/>
        </w:rPr>
      </w:pPr>
      <w:r w:rsidRPr="00AB1E57">
        <w:rPr>
          <w:sz w:val="20"/>
          <w:szCs w:val="20"/>
        </w:rPr>
        <w:t>Source: DiIulio, 2017.</w:t>
      </w:r>
    </w:p>
    <w:p w:rsidR="00AB1E57" w:rsidRDefault="00AB1E57" w:rsidP="005909F5">
      <w:pPr>
        <w:tabs>
          <w:tab w:val="left" w:pos="567"/>
        </w:tabs>
        <w:spacing w:line="360" w:lineRule="auto"/>
      </w:pPr>
    </w:p>
    <w:p w:rsidR="00F12731" w:rsidRDefault="00244CAB" w:rsidP="005909F5">
      <w:pPr>
        <w:tabs>
          <w:tab w:val="left" w:pos="567"/>
        </w:tabs>
        <w:spacing w:line="360" w:lineRule="auto"/>
      </w:pPr>
      <w:r>
        <w:tab/>
        <w:t>The bureau-shaping model has been widely debated and cited outside the USA, and most empirical evidence is broadly supportive</w:t>
      </w:r>
      <w:r w:rsidR="00920345">
        <w:t xml:space="preserve"> (Gaines and John, Peter (2010</w:t>
      </w:r>
      <w:r w:rsidR="002972E4">
        <w:t xml:space="preserve">). </w:t>
      </w:r>
      <w:r>
        <w:t xml:space="preserve">Some critics </w:t>
      </w:r>
      <w:r w:rsidR="005C3E7F">
        <w:t xml:space="preserve">mistakenly </w:t>
      </w:r>
      <w:r>
        <w:t xml:space="preserve">argued </w:t>
      </w:r>
      <w:r w:rsidR="005C3E7F">
        <w:t xml:space="preserve">from empirical research </w:t>
      </w:r>
      <w:r>
        <w:t xml:space="preserve">that </w:t>
      </w:r>
      <w:r w:rsidR="005C3E7F">
        <w:t xml:space="preserve">bureau-shaping theory understated the influence of politicians (Marsh et al, 2000), </w:t>
      </w:r>
      <w:r>
        <w:t xml:space="preserve">but in fact </w:t>
      </w:r>
      <w:r w:rsidR="005C3E7F">
        <w:t xml:space="preserve">it </w:t>
      </w:r>
      <w:r>
        <w:t>was no part of the origi</w:t>
      </w:r>
      <w:r w:rsidR="005C3E7F">
        <w:t>nal model to claim that bureaucratic processes were dominant (Dowding and James, 2004</w:t>
      </w:r>
      <w:r>
        <w:t>).</w:t>
      </w:r>
    </w:p>
    <w:p w:rsidR="0076702F" w:rsidRDefault="005708A1" w:rsidP="005909F5">
      <w:pPr>
        <w:tabs>
          <w:tab w:val="left" w:pos="567"/>
        </w:tabs>
        <w:spacing w:line="360" w:lineRule="auto"/>
      </w:pPr>
      <w:r>
        <w:tab/>
      </w:r>
      <w:r w:rsidRPr="007139EB">
        <w:rPr>
          <w:b/>
          <w:i/>
        </w:rPr>
        <w:t>4.</w:t>
      </w:r>
      <w:r w:rsidRPr="007139EB">
        <w:rPr>
          <w:i/>
        </w:rPr>
        <w:t xml:space="preserve"> </w:t>
      </w:r>
      <w:r w:rsidRPr="007139EB">
        <w:rPr>
          <w:b/>
          <w:i/>
        </w:rPr>
        <w:t>Organizations drawing on intrinsically motivated staff</w:t>
      </w:r>
      <w:r w:rsidR="00EB24CC">
        <w:t xml:space="preserve"> have re-merged strongly into modern economics in the work of LSE economists Tim Besley and Maitreesh Ghatak (2003, 2005, 2014). Starting in development contexts where NGOs and not-for-profits have played dominant roles, they argued that ownership of service provision should rest with the agen</w:t>
      </w:r>
      <w:r w:rsidR="00494486">
        <w:t xml:space="preserve">cy or NGO partner for whom the quality of the </w:t>
      </w:r>
      <w:r w:rsidR="005C3E7F">
        <w:t>service was most valuable (2001</w:t>
      </w:r>
      <w:r w:rsidR="00EB24CC">
        <w:t xml:space="preserve">). Their work developed in parallel to </w:t>
      </w:r>
      <w:r w:rsidR="00265AAE">
        <w:t xml:space="preserve">institutional </w:t>
      </w:r>
      <w:r w:rsidR="00EB24CC">
        <w:t xml:space="preserve">theories of the firm from Hart </w:t>
      </w:r>
      <w:r w:rsidR="00EB24CC" w:rsidRPr="00265AAE">
        <w:t>(</w:t>
      </w:r>
      <w:r w:rsidR="00265AAE" w:rsidRPr="00265AAE">
        <w:t>1995</w:t>
      </w:r>
      <w:r w:rsidR="00EB24CC" w:rsidRPr="00265AAE">
        <w:t xml:space="preserve">) </w:t>
      </w:r>
      <w:r w:rsidR="00265AAE">
        <w:t xml:space="preserve">and others, </w:t>
      </w:r>
      <w:r w:rsidR="00EB24CC">
        <w:t xml:space="preserve">and has now extended into a generally applicable model with supporting evidence from advanced industrial countries also. </w:t>
      </w:r>
    </w:p>
    <w:p w:rsidR="0076702F" w:rsidRDefault="0076702F" w:rsidP="005909F5">
      <w:pPr>
        <w:tabs>
          <w:tab w:val="left" w:pos="567"/>
        </w:tabs>
        <w:spacing w:line="360" w:lineRule="auto"/>
      </w:pPr>
      <w:r>
        <w:tab/>
      </w:r>
      <w:r w:rsidR="00554B4E">
        <w:t xml:space="preserve">A </w:t>
      </w:r>
      <w:r w:rsidR="00EB24CC">
        <w:t xml:space="preserve">not-for-profit </w:t>
      </w:r>
      <w:r w:rsidR="00494486">
        <w:t xml:space="preserve">organizational </w:t>
      </w:r>
      <w:r>
        <w:t>set-up (</w:t>
      </w:r>
      <w:r w:rsidR="00494486">
        <w:t>where managers pre-commit</w:t>
      </w:r>
      <w:r>
        <w:t xml:space="preserve"> to not extract</w:t>
      </w:r>
      <w:r w:rsidR="00494486">
        <w:t>ing</w:t>
      </w:r>
      <w:r>
        <w:t xml:space="preserve"> residual income, except via distribution to staff or </w:t>
      </w:r>
      <w:r w:rsidR="00494486">
        <w:t xml:space="preserve">for </w:t>
      </w:r>
      <w:r>
        <w:t xml:space="preserve">investment) </w:t>
      </w:r>
      <w:r w:rsidR="00EB24CC">
        <w:t xml:space="preserve">can help managers attract more committed </w:t>
      </w:r>
      <w:r w:rsidR="00554B4E">
        <w:t xml:space="preserve">workers </w:t>
      </w:r>
      <w:r w:rsidR="00EB24CC">
        <w:t xml:space="preserve">than they could in a for-profit </w:t>
      </w:r>
      <w:r w:rsidR="00120D05">
        <w:t xml:space="preserve">operation, </w:t>
      </w:r>
      <w:r>
        <w:t xml:space="preserve">perhaps </w:t>
      </w:r>
      <w:r w:rsidR="00120D05">
        <w:t>allowing staff to be paid</w:t>
      </w:r>
      <w:r>
        <w:t xml:space="preserve"> less also</w:t>
      </w:r>
      <w:r w:rsidR="00554B4E">
        <w:t xml:space="preserve">. </w:t>
      </w:r>
      <w:r>
        <w:t xml:space="preserve">Not-for-profits and public service agencies with strongly defined and attractive missions </w:t>
      </w:r>
      <w:r w:rsidR="00120D05">
        <w:t xml:space="preserve">can </w:t>
      </w:r>
      <w:r>
        <w:t xml:space="preserve">often </w:t>
      </w:r>
      <w:r w:rsidR="00120D05">
        <w:t xml:space="preserve">(but not always) </w:t>
      </w:r>
      <w:r>
        <w:t xml:space="preserve">attract strongly committed staffs who derive intrinsic benefits from the nature of their work - e.g. nursery teachers who value working with young children, doctors with </w:t>
      </w:r>
      <w:r>
        <w:lastRenderedPageBreak/>
        <w:t>commitments to health improvement, charity workers helping the homeless, or workers on development projects in</w:t>
      </w:r>
      <w:r w:rsidR="00120D05">
        <w:t xml:space="preserve"> still industrializing nations. T</w:t>
      </w:r>
      <w:r w:rsidR="00554B4E">
        <w:t xml:space="preserve">apping </w:t>
      </w:r>
      <w:r w:rsidR="00120D05">
        <w:t xml:space="preserve">these </w:t>
      </w:r>
      <w:r w:rsidR="00554B4E">
        <w:t>intrinsically motivated professional and other staffs</w:t>
      </w:r>
      <w:r w:rsidR="00120D05">
        <w:t>, and grouping them in strongly defined units,</w:t>
      </w:r>
      <w:r w:rsidR="00554B4E">
        <w:t xml:space="preserve"> can create a pooling equilibrium where like-minded workers dominate an organization in ways that foster productivity gains </w:t>
      </w:r>
      <w:r>
        <w:t>(for instance, having a self-p</w:t>
      </w:r>
      <w:r w:rsidR="00120D05">
        <w:t xml:space="preserve">olicing organizational culture). Again managers may be able to </w:t>
      </w:r>
      <w:r w:rsidR="00554B4E">
        <w:t>replace some wage costs with intrinsic benefits</w:t>
      </w:r>
      <w:r>
        <w:t xml:space="preserve"> (including working with like-minded people)</w:t>
      </w:r>
      <w:r w:rsidR="00120D05">
        <w:t>, lowering costs and improving competitiveness in contractorized markets</w:t>
      </w:r>
      <w:r w:rsidR="00554B4E">
        <w:t>.</w:t>
      </w:r>
      <w:r>
        <w:t xml:space="preserve"> </w:t>
      </w:r>
    </w:p>
    <w:p w:rsidR="002E56CE" w:rsidRDefault="0076702F" w:rsidP="005909F5">
      <w:pPr>
        <w:tabs>
          <w:tab w:val="left" w:pos="567"/>
        </w:tabs>
        <w:spacing w:line="360" w:lineRule="auto"/>
      </w:pPr>
      <w:r>
        <w:tab/>
        <w:t xml:space="preserve">At first sight this might seem to flip back to the eclecticism of Downs’ </w:t>
      </w:r>
      <w:r w:rsidRPr="0076702F">
        <w:rPr>
          <w:i/>
        </w:rPr>
        <w:t>Inside Bureaucracy</w:t>
      </w:r>
      <w:r>
        <w:t>, but Besley and Ghatak’s work is formally set out, with precise conditions for workers’ and managers’ utility functions and costs</w:t>
      </w:r>
      <w:r w:rsidR="00120D05">
        <w:t xml:space="preserve"> specified. The deductive models also have </w:t>
      </w:r>
      <w:r>
        <w:t xml:space="preserve">a smattering of supportive behavioural evidence </w:t>
      </w:r>
      <w:r w:rsidR="00120D05">
        <w:t xml:space="preserve">- </w:t>
      </w:r>
      <w:r>
        <w:t>from African and developing econ</w:t>
      </w:r>
      <w:r w:rsidR="00120D05">
        <w:t>omies (Besley and Ghatak, 20</w:t>
      </w:r>
      <w:r w:rsidR="00036ACC">
        <w:t>07</w:t>
      </w:r>
      <w:r w:rsidR="00120D05">
        <w:t>);</w:t>
      </w:r>
      <w:r>
        <w:t xml:space="preserve"> from some experimental work (Besley and Ghatak, 20</w:t>
      </w:r>
      <w:r w:rsidR="00036ACC">
        <w:t>14</w:t>
      </w:r>
      <w:r>
        <w:t>)</w:t>
      </w:r>
      <w:r w:rsidR="00120D05">
        <w:t>;</w:t>
      </w:r>
      <w:r>
        <w:t xml:space="preserve"> and from</w:t>
      </w:r>
      <w:r w:rsidR="00120D05">
        <w:t xml:space="preserve"> systematic</w:t>
      </w:r>
      <w:r>
        <w:t xml:space="preserve"> economic analyses of the importance of managerial effectiveness and productivity gains in public services (Bloom et al, 20</w:t>
      </w:r>
      <w:r w:rsidR="00265AAE">
        <w:t>09, 2010</w:t>
      </w:r>
      <w:r>
        <w:t>).</w:t>
      </w:r>
      <w:r w:rsidR="002E56CE">
        <w:t xml:space="preserve"> The analysis p</w:t>
      </w:r>
      <w:r w:rsidR="00036ACC">
        <w:t>oints to the many contextual featur</w:t>
      </w:r>
      <w:r w:rsidR="002E56CE">
        <w:t xml:space="preserve">es that affect public service delivery systems, and to the potential damage that NPM strategies of pecuniary incentivization and over-auditing may have for staff involvement. Yet Besley and Ghatak still insist that while ownership </w:t>
      </w:r>
      <w:r w:rsidR="00036ACC">
        <w:t xml:space="preserve">arrangements and public/private </w:t>
      </w:r>
      <w:r w:rsidR="002E56CE">
        <w:t xml:space="preserve">locations matter little for performance, accountability </w:t>
      </w:r>
      <w:r w:rsidR="00036ACC">
        <w:t>architecture</w:t>
      </w:r>
      <w:r w:rsidR="002E56CE">
        <w:t>s and modelling behaviourally realistic motivations remain key.</w:t>
      </w:r>
    </w:p>
    <w:p w:rsidR="005909F5" w:rsidRDefault="002E56CE" w:rsidP="005909F5">
      <w:pPr>
        <w:tabs>
          <w:tab w:val="left" w:pos="567"/>
        </w:tabs>
        <w:spacing w:line="360" w:lineRule="auto"/>
      </w:pPr>
      <w:r>
        <w:tab/>
        <w:t xml:space="preserve"> In empirical terms i</w:t>
      </w:r>
      <w:r w:rsidR="007139EB">
        <w:t>t remains un</w:t>
      </w:r>
      <w:r>
        <w:t>clear w</w:t>
      </w:r>
      <w:r w:rsidR="0076702F">
        <w:t xml:space="preserve">hether the </w:t>
      </w:r>
      <w:r>
        <w:t xml:space="preserve">pooling equilibrium </w:t>
      </w:r>
      <w:r w:rsidR="0076702F">
        <w:t xml:space="preserve">model developed is </w:t>
      </w:r>
      <w:r>
        <w:t>as general</w:t>
      </w:r>
      <w:r w:rsidR="007139EB">
        <w:t xml:space="preserve">izable as the authors claim. For instance, is it </w:t>
      </w:r>
      <w:r w:rsidR="0076702F">
        <w:t>strong enough to cope with ‘dark’ incentives</w:t>
      </w:r>
      <w:r>
        <w:t xml:space="preserve">, </w:t>
      </w:r>
      <w:r w:rsidR="0076702F">
        <w:t xml:space="preserve">such as paedophiles </w:t>
      </w:r>
      <w:r>
        <w:t xml:space="preserve">being attracted to nursey work; or with mixed contexts, </w:t>
      </w:r>
      <w:r w:rsidR="0076702F">
        <w:t xml:space="preserve">such as </w:t>
      </w:r>
      <w:r>
        <w:t>pressurized</w:t>
      </w:r>
      <w:r w:rsidR="0076702F">
        <w:t xml:space="preserve"> workers in private old people’s homes</w:t>
      </w:r>
      <w:r>
        <w:t xml:space="preserve"> debasing care st</w:t>
      </w:r>
      <w:r w:rsidR="00433532">
        <w:t>andards (Braithwaite et al, 2007</w:t>
      </w:r>
      <w:r>
        <w:t>), or over-stretched doctors and nurses in large public health facilities ‘going through the motions’ without effectively checking NPM-style managerial abuses, as happened in some major NHS scandals in the UK.</w:t>
      </w:r>
    </w:p>
    <w:p w:rsidR="007139EB" w:rsidRDefault="007139EB" w:rsidP="007139EB">
      <w:pPr>
        <w:spacing w:line="360" w:lineRule="auto"/>
      </w:pPr>
      <w:r>
        <w:tab/>
      </w:r>
      <w:r w:rsidRPr="007139EB">
        <w:rPr>
          <w:b/>
          <w:i/>
        </w:rPr>
        <w:t>5. Institutional economics</w:t>
      </w:r>
      <w:r>
        <w:rPr>
          <w:b/>
          <w:i/>
        </w:rPr>
        <w:t xml:space="preserve"> of the firm</w:t>
      </w:r>
      <w:r w:rsidRPr="007139EB">
        <w:rPr>
          <w:b/>
          <w:i/>
        </w:rPr>
        <w:t xml:space="preserve"> </w:t>
      </w:r>
      <w:r w:rsidRPr="007139EB">
        <w:t xml:space="preserve">has </w:t>
      </w:r>
      <w:r>
        <w:t>had a far broader influence on reinterpreting bureaucratic hierarchies, especially in the work of Oliver Williamson (198</w:t>
      </w:r>
      <w:r w:rsidR="00120D05">
        <w:t>5</w:t>
      </w:r>
      <w:r>
        <w:t>, 199</w:t>
      </w:r>
      <w:r w:rsidR="00265AAE">
        <w:t>9</w:t>
      </w:r>
      <w:r>
        <w:t xml:space="preserve">). Although not focused on public bureaucracies at all, Williamson’s explanation of widespread hierarchical organization in large private sector corporations has clear read-across to government agencies. If markets are so efficient, Williamson asks, why do large firms exist and seem to matter so much for performance? His core answer stresses the importance of </w:t>
      </w:r>
      <w:r w:rsidR="00120D05">
        <w:t xml:space="preserve">five </w:t>
      </w:r>
      <w:r>
        <w:t xml:space="preserve">conditions that make spot-contracting in markets sub-optimal, especially </w:t>
      </w:r>
    </w:p>
    <w:p w:rsidR="007139EB" w:rsidRDefault="007139EB" w:rsidP="007139EB">
      <w:pPr>
        <w:spacing w:line="360" w:lineRule="auto"/>
        <w:ind w:left="720" w:hanging="153"/>
      </w:pPr>
      <w:r>
        <w:t xml:space="preserve">-  </w:t>
      </w:r>
      <w:r w:rsidRPr="007139EB">
        <w:rPr>
          <w:i/>
        </w:rPr>
        <w:t>small numbers bargaining</w:t>
      </w:r>
      <w:r>
        <w:t xml:space="preserve"> where purchasers are vulnerable to oligopolistic pressures from suppliers, a condition pervasive in major government procurements;</w:t>
      </w:r>
    </w:p>
    <w:p w:rsidR="007139EB" w:rsidRDefault="007139EB" w:rsidP="007139EB">
      <w:pPr>
        <w:spacing w:line="360" w:lineRule="auto"/>
        <w:ind w:left="720" w:hanging="153"/>
      </w:pPr>
      <w:r>
        <w:lastRenderedPageBreak/>
        <w:t xml:space="preserve">-  </w:t>
      </w:r>
      <w:r w:rsidRPr="007139EB">
        <w:rPr>
          <w:i/>
        </w:rPr>
        <w:t>opportunism</w:t>
      </w:r>
      <w:r>
        <w:t>, where suppliers might take advantage of the purchaser to make short-term gains, for instance by debasing quality standards in contracted-out public services;</w:t>
      </w:r>
    </w:p>
    <w:p w:rsidR="00120D05" w:rsidRDefault="007139EB" w:rsidP="007139EB">
      <w:pPr>
        <w:spacing w:line="360" w:lineRule="auto"/>
        <w:ind w:left="720" w:hanging="153"/>
      </w:pPr>
      <w:r>
        <w:t xml:space="preserve">-  </w:t>
      </w:r>
      <w:r w:rsidR="00120D05" w:rsidRPr="00120D05">
        <w:rPr>
          <w:i/>
        </w:rPr>
        <w:t>information impactedness</w:t>
      </w:r>
      <w:r w:rsidR="00120D05">
        <w:t>, where the first outsourced contractor for a government department gains critical informational advantages over any rivals at the re-contracting stage, and may be able to build proprietary elements (such as software or analysis techniques)into its delivery solutions that rivals cannot use or match;</w:t>
      </w:r>
    </w:p>
    <w:p w:rsidR="007139EB" w:rsidRDefault="00120D05" w:rsidP="007139EB">
      <w:pPr>
        <w:spacing w:line="360" w:lineRule="auto"/>
        <w:ind w:left="720" w:hanging="153"/>
      </w:pPr>
      <w:r>
        <w:t xml:space="preserve">-  </w:t>
      </w:r>
      <w:r w:rsidR="007139EB" w:rsidRPr="007139EB">
        <w:rPr>
          <w:i/>
        </w:rPr>
        <w:t>asset specificity</w:t>
      </w:r>
      <w:r w:rsidR="007139EB">
        <w:t xml:space="preserve">, where </w:t>
      </w:r>
      <w:r w:rsidR="007E15D6">
        <w:t xml:space="preserve">the organizer of a service needs to encourage potential staff or contractors to invest in acquiring costly expertise, but where </w:t>
      </w:r>
      <w:r>
        <w:t xml:space="preserve">reliance on </w:t>
      </w:r>
      <w:r w:rsidR="007E15D6">
        <w:t xml:space="preserve">market </w:t>
      </w:r>
      <w:r>
        <w:t>provision can</w:t>
      </w:r>
      <w:r w:rsidR="007E15D6">
        <w:t xml:space="preserve"> create chronic under-supply; and</w:t>
      </w:r>
    </w:p>
    <w:p w:rsidR="007E15D6" w:rsidRDefault="007E15D6" w:rsidP="007139EB">
      <w:pPr>
        <w:spacing w:line="360" w:lineRule="auto"/>
        <w:ind w:left="720" w:hanging="153"/>
      </w:pPr>
      <w:r>
        <w:t xml:space="preserve">-  </w:t>
      </w:r>
      <w:r w:rsidRPr="007E15D6">
        <w:rPr>
          <w:i/>
        </w:rPr>
        <w:t>bounded rationality</w:t>
      </w:r>
      <w:r>
        <w:t>, where policy-makers or purchasers lack the information needed to optimize performance, but must instead only ‘satisfice’, choosing courses of action that are quickly accessible and acceptable without necessarily or even frequently realizing optimal outcomes.</w:t>
      </w:r>
    </w:p>
    <w:p w:rsidR="007139EB" w:rsidRDefault="007E15D6" w:rsidP="00AA6D31">
      <w:pPr>
        <w:tabs>
          <w:tab w:val="left" w:pos="567"/>
        </w:tabs>
        <w:spacing w:line="360" w:lineRule="auto"/>
      </w:pPr>
      <w:r>
        <w:tab/>
        <w:t xml:space="preserve">Williamson’s more sophisticated view of the positive advantages of hierarchic organization has re-emphasized some important points casting doubt on </w:t>
      </w:r>
      <w:r w:rsidR="00AA6D31">
        <w:t xml:space="preserve">classical models’ influence on </w:t>
      </w:r>
      <w:r>
        <w:t>NPM an</w:t>
      </w:r>
      <w:r w:rsidR="00AA6D31">
        <w:t xml:space="preserve">d contracting-out approaches. Like the other revisionist models </w:t>
      </w:r>
      <w:r w:rsidR="00120D05">
        <w:t xml:space="preserve">it </w:t>
      </w:r>
      <w:r w:rsidR="00AA6D31">
        <w:t>stresses conditionalities in the usefulness of contracting, but also the non-transferable quality of many risks. Just as firms must assure their key suppliers’ stability, so governments embarking on privatizations cannot transfer the risk of catastrophic failures in the process. Hierarchical and in-house provision may not simply reflect bureaucratic self-interest, but organizational safeguards against key adverse developments.</w:t>
      </w:r>
    </w:p>
    <w:p w:rsidR="00AA6D31" w:rsidRDefault="00AA6D31" w:rsidP="00AA6D31">
      <w:pPr>
        <w:tabs>
          <w:tab w:val="left" w:pos="567"/>
        </w:tabs>
        <w:spacing w:line="360" w:lineRule="auto"/>
      </w:pPr>
    </w:p>
    <w:p w:rsidR="00AA6D31" w:rsidRPr="00AA6D31" w:rsidRDefault="00AA6D31" w:rsidP="00AA6D31">
      <w:pPr>
        <w:tabs>
          <w:tab w:val="left" w:pos="567"/>
        </w:tabs>
        <w:spacing w:line="360" w:lineRule="auto"/>
        <w:rPr>
          <w:b/>
        </w:rPr>
      </w:pPr>
      <w:r w:rsidRPr="00AA6D31">
        <w:rPr>
          <w:b/>
        </w:rPr>
        <w:t>Delegation models</w:t>
      </w:r>
    </w:p>
    <w:p w:rsidR="00AA6D31" w:rsidRDefault="00AA6D31" w:rsidP="00AA6D31">
      <w:pPr>
        <w:tabs>
          <w:tab w:val="left" w:pos="567"/>
        </w:tabs>
        <w:spacing w:line="360" w:lineRule="auto"/>
      </w:pPr>
      <w:r>
        <w:t xml:space="preserve">The final two models in Figure 1 focus on principal-agent and transaction costs issues </w:t>
      </w:r>
      <w:r w:rsidR="00140578">
        <w:t xml:space="preserve">involved in legislators or ministers deciding to delegate administration of a policy area to a bureaucracy. Some areas have been retained </w:t>
      </w:r>
      <w:r w:rsidR="00120D05">
        <w:t xml:space="preserve">under immediate political control, </w:t>
      </w:r>
      <w:r w:rsidR="00140578">
        <w:t xml:space="preserve">such as setting </w:t>
      </w:r>
      <w:r w:rsidR="00120D05">
        <w:t>tax rates, normally done by gov</w:t>
      </w:r>
      <w:r w:rsidR="00140578">
        <w:t>er</w:t>
      </w:r>
      <w:r w:rsidR="00120D05">
        <w:t>nments or ministers directly (albeit following tax agency advice and protocols)</w:t>
      </w:r>
      <w:r w:rsidR="00140578">
        <w:t xml:space="preserve">. Other areas have been assigned away to departments or agencies to handle more </w:t>
      </w:r>
      <w:r w:rsidR="00C43505">
        <w:t xml:space="preserve">autonomously. And </w:t>
      </w:r>
      <w:r w:rsidR="00140578">
        <w:t xml:space="preserve">some functions </w:t>
      </w:r>
      <w:r w:rsidR="00C43505">
        <w:t xml:space="preserve">are </w:t>
      </w:r>
      <w:r w:rsidR="00140578">
        <w:t>al</w:t>
      </w:r>
      <w:r w:rsidR="00C43505">
        <w:t>so deliberately vested in hard</w:t>
      </w:r>
      <w:r w:rsidR="00140578">
        <w:t>-to-control ‘independent’ agencies (such as most central banks nowadays)</w:t>
      </w:r>
      <w:r w:rsidR="00C43505">
        <w:t>,</w:t>
      </w:r>
      <w:r w:rsidR="00140578">
        <w:t xml:space="preserve"> as a form of pre-commitment </w:t>
      </w:r>
      <w:r w:rsidR="00C43505">
        <w:t xml:space="preserve">by politicians </w:t>
      </w:r>
      <w:r w:rsidR="00140578">
        <w:t>not to interfere. What explains these decisions?</w:t>
      </w:r>
    </w:p>
    <w:p w:rsidR="00C43505" w:rsidRDefault="00140578" w:rsidP="00AA6D31">
      <w:pPr>
        <w:tabs>
          <w:tab w:val="left" w:pos="567"/>
        </w:tabs>
        <w:spacing w:line="360" w:lineRule="auto"/>
      </w:pPr>
      <w:r>
        <w:tab/>
      </w:r>
      <w:r w:rsidRPr="00140578">
        <w:rPr>
          <w:b/>
        </w:rPr>
        <w:t xml:space="preserve">6. Straightforward </w:t>
      </w:r>
      <w:r>
        <w:rPr>
          <w:b/>
        </w:rPr>
        <w:t>delegation</w:t>
      </w:r>
      <w:r>
        <w:t xml:space="preserve"> is the norm in most parliamentary liberal democracies, where ministers can easily set up, revise or reorganize delegated matters via normal legislation and statutory instruments or regulation changes. </w:t>
      </w:r>
      <w:r w:rsidRPr="00265AAE">
        <w:t>Murray Horn (1995</w:t>
      </w:r>
      <w:r w:rsidR="00C43505" w:rsidRPr="00265AAE">
        <w:t>) sees</w:t>
      </w:r>
      <w:r w:rsidR="00C43505">
        <w:t xml:space="preserve"> these choice</w:t>
      </w:r>
      <w:r>
        <w:t xml:space="preserve">s as driven first by a technical imperative – the decision costs for legislatures or ministers are too high if they were to </w:t>
      </w:r>
      <w:r>
        <w:lastRenderedPageBreak/>
        <w:t xml:space="preserve">seek to retain direct control over some issues, and </w:t>
      </w:r>
      <w:r w:rsidR="00C43505">
        <w:t xml:space="preserve">nor can </w:t>
      </w:r>
      <w:r>
        <w:t xml:space="preserve">these costs cannot be reduced via </w:t>
      </w:r>
      <w:r w:rsidR="00C43505">
        <w:t xml:space="preserve">simpler forms of </w:t>
      </w:r>
      <w:r>
        <w:t xml:space="preserve">expert systems. So legislators can debate tax rate changes directly, but must delegate to a machine bureaucracy </w:t>
      </w:r>
      <w:r w:rsidR="00C43505">
        <w:t xml:space="preserve">how </w:t>
      </w:r>
      <w:r>
        <w:t xml:space="preserve">to </w:t>
      </w:r>
      <w:r w:rsidR="00C43505">
        <w:t xml:space="preserve">fully </w:t>
      </w:r>
      <w:r>
        <w:t xml:space="preserve">specify a system of immigration or welfare payment rules; and must give substantial work autonomy to professionals to </w:t>
      </w:r>
      <w:r w:rsidR="00C43505">
        <w:t xml:space="preserve">act </w:t>
      </w:r>
      <w:r>
        <w:t xml:space="preserve">case-by-case </w:t>
      </w:r>
      <w:r w:rsidR="00C43505">
        <w:t xml:space="preserve">on decisions like </w:t>
      </w:r>
      <w:r>
        <w:t xml:space="preserve">how to treat a patient arriving at hospital with possible </w:t>
      </w:r>
      <w:r w:rsidR="00B54911">
        <w:t xml:space="preserve">heart attack symptoms. </w:t>
      </w:r>
    </w:p>
    <w:p w:rsidR="00140578" w:rsidRPr="00140578" w:rsidRDefault="00C43505" w:rsidP="00AA6D31">
      <w:pPr>
        <w:tabs>
          <w:tab w:val="left" w:pos="567"/>
        </w:tabs>
        <w:spacing w:line="360" w:lineRule="auto"/>
      </w:pPr>
      <w:r>
        <w:tab/>
      </w:r>
      <w:r w:rsidR="00B54911">
        <w:t xml:space="preserve">Second, though, there is a strong political incentive for delegation, namely to solve the ‘commitment problem’ that today’s legislative majority may be overtaken by a different one tomorrow, restricting the value of today’s electoral promises to constituents or stakeholders, if the </w:t>
      </w:r>
      <w:r>
        <w:t xml:space="preserve">current </w:t>
      </w:r>
      <w:r w:rsidR="00B54911">
        <w:t>policy stance does not endure. Delegation helps solve the commitment problem by auto-insulat</w:t>
      </w:r>
      <w:r>
        <w:t>ing the devolved issue area. It ensures</w:t>
      </w:r>
      <w:r w:rsidR="00B54911">
        <w:t xml:space="preserve"> </w:t>
      </w:r>
      <w:r>
        <w:t xml:space="preserve">the </w:t>
      </w:r>
      <w:r w:rsidR="00B54911">
        <w:t xml:space="preserve">that organizational architectures and policy cannot be </w:t>
      </w:r>
      <w:r>
        <w:t xml:space="preserve">easily </w:t>
      </w:r>
      <w:r w:rsidR="00B54911">
        <w:t xml:space="preserve">changed by </w:t>
      </w:r>
      <w:r>
        <w:t xml:space="preserve">the </w:t>
      </w:r>
      <w:r w:rsidR="00B54911">
        <w:t xml:space="preserve">executive fiat of a new political majority alone, but must </w:t>
      </w:r>
      <w:r>
        <w:t xml:space="preserve">instead </w:t>
      </w:r>
      <w:r w:rsidR="00B54911">
        <w:t xml:space="preserve">wait on </w:t>
      </w:r>
      <w:r>
        <w:t xml:space="preserve">new </w:t>
      </w:r>
      <w:r w:rsidR="00B54911">
        <w:t>legislation</w:t>
      </w:r>
      <w:r>
        <w:t xml:space="preserve">, creating extra costs and time constraints. Typically also, </w:t>
      </w:r>
      <w:r w:rsidR="00B54911">
        <w:t>deleg</w:t>
      </w:r>
      <w:r>
        <w:t>ation involves a search for some cross</w:t>
      </w:r>
      <w:r w:rsidR="00B54911">
        <w:t xml:space="preserve">-political compromise, where the current majority concedes influence to opposition groups so as to co-opt them into an inclusive solution that is more likely to endure, and hence has increased value for the current majority’s stakeholders. </w:t>
      </w:r>
    </w:p>
    <w:p w:rsidR="00B54911" w:rsidRDefault="00B54911" w:rsidP="00B54911">
      <w:pPr>
        <w:spacing w:line="360" w:lineRule="auto"/>
        <w:ind w:firstLine="567"/>
      </w:pPr>
      <w:r>
        <w:t xml:space="preserve">In Horn’s account agency problems are not the pervasive and intractable barriers to delegation that many economic models assume. Instead </w:t>
      </w:r>
      <w:r w:rsidR="00C43505">
        <w:t xml:space="preserve">they are only </w:t>
      </w:r>
      <w:r>
        <w:t>‘second-order’ difficulties</w:t>
      </w:r>
      <w:r w:rsidR="00C43505">
        <w:t xml:space="preserve">, which can be </w:t>
      </w:r>
      <w:r>
        <w:t xml:space="preserve">managed </w:t>
      </w:r>
      <w:r w:rsidR="00C43505">
        <w:t xml:space="preserve">quite easily using </w:t>
      </w:r>
      <w:r>
        <w:t xml:space="preserve">a wide range of bureaucratic </w:t>
      </w:r>
      <w:r w:rsidR="00C43505">
        <w:t xml:space="preserve">designs and </w:t>
      </w:r>
      <w:r>
        <w:t>incentives – especially using life-long career civil service</w:t>
      </w:r>
      <w:r w:rsidR="00C43505">
        <w:t xml:space="preserve">s, where political elites periodically </w:t>
      </w:r>
      <w:r>
        <w:t xml:space="preserve">filter </w:t>
      </w:r>
      <w:r w:rsidR="00C43505">
        <w:t xml:space="preserve">officials competing for promotion </w:t>
      </w:r>
      <w:r>
        <w:t xml:space="preserve">for their </w:t>
      </w:r>
      <w:r w:rsidR="00C43505">
        <w:t xml:space="preserve">loyal </w:t>
      </w:r>
      <w:r>
        <w:t>responsiveness</w:t>
      </w:r>
      <w:r w:rsidR="00C43505">
        <w:t xml:space="preserve"> and ‘ideological’ stances</w:t>
      </w:r>
      <w:r>
        <w:t>; and where end-loaded benefits like generous retirement pensions create strong incentives for officials’ compliance with political direction and intentions.</w:t>
      </w:r>
    </w:p>
    <w:p w:rsidR="007139EB" w:rsidRDefault="00B54911" w:rsidP="00B54911">
      <w:pPr>
        <w:spacing w:line="360" w:lineRule="auto"/>
        <w:ind w:firstLine="567"/>
      </w:pPr>
      <w:r>
        <w:t>Finally</w:t>
      </w:r>
      <w:r w:rsidR="00C43505">
        <w:t>,</w:t>
      </w:r>
      <w:r>
        <w:t xml:space="preserve"> Horn </w:t>
      </w:r>
      <w:r w:rsidR="00265AAE">
        <w:t xml:space="preserve">(1995) </w:t>
      </w:r>
      <w:r>
        <w:t>stre</w:t>
      </w:r>
      <w:r w:rsidR="00C43505">
        <w:t xml:space="preserve">sses the importance of a fourth, functional </w:t>
      </w:r>
      <w:r>
        <w:t xml:space="preserve">consideration – allocating the risks of new policies </w:t>
      </w:r>
      <w:r w:rsidR="00C43505">
        <w:t xml:space="preserve">to those societal groups who have </w:t>
      </w:r>
      <w:r>
        <w:t xml:space="preserve">the </w:t>
      </w:r>
      <w:r w:rsidR="00C43505">
        <w:t xml:space="preserve">best developed </w:t>
      </w:r>
      <w:r>
        <w:t xml:space="preserve">capacity to cheaply insure against them. </w:t>
      </w:r>
      <w:r w:rsidR="0014315B">
        <w:t>All bureaucracies have incentives not to antagonize civil society groups unnecessarily, and so when costs and risk have to be allocated they seek out solutions that will least painfully implement them. For instance, if a government has to collect taxes from employed people it makes sense to make businesses do the tax-coll</w:t>
      </w:r>
      <w:r w:rsidR="00C43505">
        <w:t>ection and paying directly in PAYE (pay as you earn) mode</w:t>
      </w:r>
      <w:r w:rsidR="0014315B">
        <w:t xml:space="preserve">, rather than to ask </w:t>
      </w:r>
      <w:r w:rsidR="00C43505">
        <w:t xml:space="preserve">individual </w:t>
      </w:r>
      <w:r w:rsidR="0014315B">
        <w:t>employees to take resp</w:t>
      </w:r>
      <w:r w:rsidR="003469FD">
        <w:t>onsibility for making payments. B</w:t>
      </w:r>
      <w:r w:rsidR="0014315B">
        <w:t xml:space="preserve">usinesses can </w:t>
      </w:r>
      <w:r w:rsidR="003469FD">
        <w:t xml:space="preserve">easily </w:t>
      </w:r>
      <w:r w:rsidR="0014315B">
        <w:t xml:space="preserve">hire specialist staff </w:t>
      </w:r>
      <w:r w:rsidR="003469FD">
        <w:t xml:space="preserve">for </w:t>
      </w:r>
      <w:r w:rsidR="0014315B">
        <w:t xml:space="preserve">the firm’s HR department to cope with the </w:t>
      </w:r>
      <w:r w:rsidR="003469FD">
        <w:t xml:space="preserve">extra tax </w:t>
      </w:r>
      <w:r w:rsidR="0014315B">
        <w:t>workload</w:t>
      </w:r>
      <w:r w:rsidR="003469FD">
        <w:t>,</w:t>
      </w:r>
      <w:r w:rsidR="0014315B">
        <w:t xml:space="preserve"> far more cheaply</w:t>
      </w:r>
      <w:r>
        <w:t xml:space="preserve"> </w:t>
      </w:r>
      <w:r w:rsidR="003469FD">
        <w:t xml:space="preserve">and effectively than if </w:t>
      </w:r>
      <w:r w:rsidR="0014315B">
        <w:t>millions of employees</w:t>
      </w:r>
      <w:r w:rsidR="003469FD">
        <w:t xml:space="preserve"> filed individual tax returns</w:t>
      </w:r>
      <w:r w:rsidR="0014315B">
        <w:t>.</w:t>
      </w:r>
    </w:p>
    <w:p w:rsidR="00674CB0" w:rsidRDefault="0014315B" w:rsidP="0014315B">
      <w:pPr>
        <w:spacing w:line="360" w:lineRule="auto"/>
        <w:ind w:firstLine="567"/>
      </w:pPr>
      <w:r>
        <w:rPr>
          <w:b/>
        </w:rPr>
        <w:t>7</w:t>
      </w:r>
      <w:r w:rsidRPr="00140578">
        <w:rPr>
          <w:b/>
        </w:rPr>
        <w:t xml:space="preserve">. </w:t>
      </w:r>
      <w:r>
        <w:rPr>
          <w:b/>
        </w:rPr>
        <w:t>Difficult</w:t>
      </w:r>
      <w:r w:rsidRPr="00140578">
        <w:rPr>
          <w:b/>
        </w:rPr>
        <w:t xml:space="preserve"> </w:t>
      </w:r>
      <w:r>
        <w:rPr>
          <w:b/>
        </w:rPr>
        <w:t>delegation</w:t>
      </w:r>
      <w:r>
        <w:t xml:space="preserve"> is </w:t>
      </w:r>
      <w:r w:rsidR="003469FD">
        <w:t xml:space="preserve">a phenomenon </w:t>
      </w:r>
      <w:r>
        <w:t>largely confined to the USA, where there is an almost unique system of dual presidential and Congressional control over federal executive agencies.</w:t>
      </w:r>
      <w:r w:rsidR="00674CB0">
        <w:t xml:space="preserve"> The </w:t>
      </w:r>
      <w:r w:rsidR="00674CB0">
        <w:lastRenderedPageBreak/>
        <w:t xml:space="preserve">dominant accounts in the field stress that both </w:t>
      </w:r>
      <w:r w:rsidR="003469FD">
        <w:t xml:space="preserve">kinds of politician </w:t>
      </w:r>
      <w:r w:rsidR="00674CB0">
        <w:t xml:space="preserve">adopt delegation far more easily and promptly, and with fewer initial restrictions on agencies’ powers, where </w:t>
      </w:r>
    </w:p>
    <w:p w:rsidR="00674CB0" w:rsidRDefault="00674CB0" w:rsidP="00674CB0">
      <w:pPr>
        <w:spacing w:line="360" w:lineRule="auto"/>
        <w:ind w:left="709" w:hanging="142"/>
      </w:pPr>
      <w:r>
        <w:t xml:space="preserve">– the agent </w:t>
      </w:r>
      <w:r w:rsidR="003469FD">
        <w:t xml:space="preserve">in prospect </w:t>
      </w:r>
      <w:r>
        <w:t>has preferences (or an ‘ideology’ or worldvie</w:t>
      </w:r>
      <w:r w:rsidR="003469FD">
        <w:t xml:space="preserve">w) that are close to those of the </w:t>
      </w:r>
      <w:r>
        <w:t xml:space="preserve">politicians; </w:t>
      </w:r>
    </w:p>
    <w:p w:rsidR="00674CB0" w:rsidRDefault="003469FD" w:rsidP="00674CB0">
      <w:pPr>
        <w:pStyle w:val="ListParagraph"/>
        <w:numPr>
          <w:ilvl w:val="0"/>
          <w:numId w:val="4"/>
        </w:numPr>
        <w:spacing w:line="360" w:lineRule="auto"/>
        <w:ind w:left="709"/>
      </w:pPr>
      <w:r>
        <w:t xml:space="preserve">politicians can easily </w:t>
      </w:r>
      <w:r w:rsidR="00674CB0">
        <w:t>review how agencies use their delegated powers</w:t>
      </w:r>
      <w:r>
        <w:t xml:space="preserve"> once started</w:t>
      </w:r>
      <w:r w:rsidR="00674CB0">
        <w:t xml:space="preserve">, and intervene so as to correct </w:t>
      </w:r>
      <w:r>
        <w:t xml:space="preserve">agents’ performance deviations </w:t>
      </w:r>
      <w:r w:rsidR="00674CB0">
        <w:t xml:space="preserve">or </w:t>
      </w:r>
      <w:r>
        <w:t xml:space="preserve">to </w:t>
      </w:r>
      <w:r w:rsidR="00674CB0">
        <w:t>tweak allocations of responsibilities</w:t>
      </w:r>
      <w:r>
        <w:t xml:space="preserve"> </w:t>
      </w:r>
      <w:r w:rsidR="002972E4">
        <w:t>for</w:t>
      </w:r>
      <w:r>
        <w:t xml:space="preserve"> the future</w:t>
      </w:r>
      <w:r w:rsidR="00674CB0">
        <w:t xml:space="preserve">; </w:t>
      </w:r>
    </w:p>
    <w:p w:rsidR="00674CB0" w:rsidRDefault="00674CB0" w:rsidP="00674CB0">
      <w:pPr>
        <w:pStyle w:val="ListParagraph"/>
        <w:numPr>
          <w:ilvl w:val="0"/>
          <w:numId w:val="4"/>
        </w:numPr>
        <w:spacing w:line="360" w:lineRule="auto"/>
        <w:ind w:left="709"/>
      </w:pPr>
      <w:r>
        <w:t xml:space="preserve">the agent has a greater capability than the delegating politicians to generate information and expertise; </w:t>
      </w:r>
    </w:p>
    <w:p w:rsidR="00674CB0" w:rsidRDefault="00674CB0" w:rsidP="00674CB0">
      <w:pPr>
        <w:pStyle w:val="ListParagraph"/>
        <w:numPr>
          <w:ilvl w:val="0"/>
          <w:numId w:val="4"/>
        </w:numPr>
        <w:spacing w:line="360" w:lineRule="auto"/>
        <w:ind w:left="709"/>
      </w:pPr>
      <w:r>
        <w:t>the agent has a high capacity to implement what politicians ask of them</w:t>
      </w:r>
      <w:r w:rsidR="003469FD">
        <w:t xml:space="preserve"> (</w:t>
      </w:r>
      <w:r w:rsidR="0021766C">
        <w:rPr>
          <w:szCs w:val="20"/>
        </w:rPr>
        <w:t xml:space="preserve">Huber and </w:t>
      </w:r>
      <w:r w:rsidR="0021766C" w:rsidRPr="0021766C">
        <w:rPr>
          <w:szCs w:val="20"/>
        </w:rPr>
        <w:t>McCarty</w:t>
      </w:r>
      <w:r w:rsidR="0021766C">
        <w:rPr>
          <w:szCs w:val="20"/>
        </w:rPr>
        <w:t>, 2004</w:t>
      </w:r>
      <w:r w:rsidR="003469FD">
        <w:t>)</w:t>
      </w:r>
      <w:r>
        <w:t xml:space="preserve">; and </w:t>
      </w:r>
    </w:p>
    <w:p w:rsidR="00674CB0" w:rsidRDefault="00674CB0" w:rsidP="00674CB0">
      <w:pPr>
        <w:pStyle w:val="ListParagraph"/>
        <w:numPr>
          <w:ilvl w:val="0"/>
          <w:numId w:val="4"/>
        </w:numPr>
        <w:spacing w:line="360" w:lineRule="auto"/>
        <w:ind w:left="709"/>
      </w:pPr>
      <w:r>
        <w:t>‘policy drift’ occurs over time that creates incentives fo</w:t>
      </w:r>
      <w:r w:rsidR="008A7800">
        <w:t xml:space="preserve">r adaptive behaviour by agents that can attract support from </w:t>
      </w:r>
      <w:r>
        <w:t xml:space="preserve">a supermajority of </w:t>
      </w:r>
      <w:r w:rsidR="008A7800">
        <w:t xml:space="preserve">(even if not all) political </w:t>
      </w:r>
      <w:r>
        <w:t>principals</w:t>
      </w:r>
      <w:r w:rsidR="008A7800">
        <w:t xml:space="preserve">, and do so even in a grid-locked or highly partisan political </w:t>
      </w:r>
      <w:r w:rsidR="008A7800" w:rsidRPr="005F721E">
        <w:t>situation (</w:t>
      </w:r>
      <w:r w:rsidR="00433532" w:rsidRPr="005F721E">
        <w:t>Callander</w:t>
      </w:r>
      <w:r w:rsidR="008A7800" w:rsidRPr="005F721E">
        <w:t xml:space="preserve"> and Krehbiel, 2014)</w:t>
      </w:r>
      <w:r w:rsidRPr="005F721E">
        <w:t>.</w:t>
      </w:r>
      <w:r>
        <w:t xml:space="preserve"> </w:t>
      </w:r>
    </w:p>
    <w:p w:rsidR="007139EB" w:rsidRPr="0014315B" w:rsidRDefault="00674CB0" w:rsidP="00674CB0">
      <w:pPr>
        <w:spacing w:line="360" w:lineRule="auto"/>
      </w:pPr>
      <w:r>
        <w:t>A rather large (and now somewhat repetitive</w:t>
      </w:r>
      <w:r w:rsidR="003469FD">
        <w:t xml:space="preserve"> </w:t>
      </w:r>
      <w:r>
        <w:t xml:space="preserve">literature (reviewed in  </w:t>
      </w:r>
      <w:r w:rsidR="005F721E">
        <w:t>Moe</w:t>
      </w:r>
      <w:r>
        <w:t>, 2012) explores the consequences of varying different conditions for the presumed capacity of politicians to do institutional design, optimizing the realization of their preferences</w:t>
      </w:r>
      <w:r w:rsidR="003469FD">
        <w:t xml:space="preserve"> – but </w:t>
      </w:r>
      <w:r w:rsidR="005F721E">
        <w:t xml:space="preserve">still </w:t>
      </w:r>
      <w:r w:rsidR="003469FD">
        <w:t>with little evidence of which factors matter</w:t>
      </w:r>
      <w:r w:rsidR="008A7800">
        <w:t>.</w:t>
      </w:r>
      <w:r>
        <w:t xml:space="preserve"> </w:t>
      </w:r>
    </w:p>
    <w:p w:rsidR="00F176D8" w:rsidRDefault="008A7800" w:rsidP="008A7800">
      <w:pPr>
        <w:tabs>
          <w:tab w:val="left" w:pos="567"/>
        </w:tabs>
        <w:spacing w:line="360" w:lineRule="auto"/>
      </w:pPr>
      <w:r>
        <w:tab/>
        <w:t xml:space="preserve">Most of this </w:t>
      </w:r>
      <w:r w:rsidR="003469FD">
        <w:t xml:space="preserve">public choice </w:t>
      </w:r>
      <w:r>
        <w:t xml:space="preserve">literature mentions agents a lot but </w:t>
      </w:r>
      <w:r w:rsidR="003469FD">
        <w:t xml:space="preserve">actually </w:t>
      </w:r>
      <w:r>
        <w:t xml:space="preserve">treats them in the abstract, focusing on politicians’ choices and saying very little about actual bureaucracies. However, Prendergast (2007) tackles an important issue for the character of agencies – that sometimes principals seem to want their agents to behave in pro-client ways (think teachers or child social workers), while </w:t>
      </w:r>
      <w:r w:rsidR="003469FD">
        <w:t xml:space="preserve">at </w:t>
      </w:r>
      <w:r>
        <w:t xml:space="preserve">other </w:t>
      </w:r>
      <w:r w:rsidR="003469FD">
        <w:t xml:space="preserve">times </w:t>
      </w:r>
      <w:r>
        <w:t xml:space="preserve">principals want agents who behave in </w:t>
      </w:r>
      <w:r w:rsidR="003469FD">
        <w:t xml:space="preserve">overtly </w:t>
      </w:r>
      <w:r>
        <w:t>anti-client ways (think IRS tax assessors, police people, or immigration officials). She sees bureaucrats as ‘individuals who assign treatments to clients, and who have weak monetary incentives.. for doing what they do’</w:t>
      </w:r>
      <w:r w:rsidR="003469FD">
        <w:t xml:space="preserve"> (p.</w:t>
      </w:r>
      <w:r w:rsidR="0021766C">
        <w:t>180</w:t>
      </w:r>
      <w:r w:rsidR="003469FD">
        <w:t>)</w:t>
      </w:r>
      <w:r>
        <w:t>. Key influences here are</w:t>
      </w:r>
    </w:p>
    <w:p w:rsidR="008A7800" w:rsidRDefault="003469FD" w:rsidP="008A7800">
      <w:pPr>
        <w:pStyle w:val="ListParagraph"/>
        <w:numPr>
          <w:ilvl w:val="0"/>
          <w:numId w:val="4"/>
        </w:numPr>
        <w:tabs>
          <w:tab w:val="left" w:pos="567"/>
        </w:tabs>
        <w:spacing w:line="360" w:lineRule="auto"/>
        <w:ind w:left="709" w:hanging="142"/>
      </w:pPr>
      <w:r>
        <w:t>W</w:t>
      </w:r>
      <w:r w:rsidR="008A7800">
        <w:t>hether clients want what society wants</w:t>
      </w:r>
      <w:r w:rsidR="001A133E">
        <w:t xml:space="preserve"> (positive</w:t>
      </w:r>
      <w:r>
        <w:t>ly-valued</w:t>
      </w:r>
      <w:r w:rsidR="001A133E">
        <w:t xml:space="preserve"> services, attracting pro-client staff), or diverge from what society wants (regul</w:t>
      </w:r>
      <w:r>
        <w:t xml:space="preserve">atory or coercive </w:t>
      </w:r>
      <w:r w:rsidR="001A133E">
        <w:t>services, attracting anti-client staff)</w:t>
      </w:r>
      <w:r>
        <w:t>.</w:t>
      </w:r>
    </w:p>
    <w:p w:rsidR="001A133E" w:rsidRDefault="003469FD" w:rsidP="008A7800">
      <w:pPr>
        <w:pStyle w:val="ListParagraph"/>
        <w:numPr>
          <w:ilvl w:val="0"/>
          <w:numId w:val="4"/>
        </w:numPr>
        <w:tabs>
          <w:tab w:val="left" w:pos="567"/>
        </w:tabs>
        <w:spacing w:line="360" w:lineRule="auto"/>
        <w:ind w:left="709" w:hanging="142"/>
      </w:pPr>
      <w:r>
        <w:t>H</w:t>
      </w:r>
      <w:r w:rsidR="001A133E">
        <w:t xml:space="preserve">ow </w:t>
      </w:r>
      <w:r>
        <w:t xml:space="preserve">internal </w:t>
      </w:r>
      <w:r w:rsidR="001A133E">
        <w:t>bure</w:t>
      </w:r>
      <w:r>
        <w:t>aucratic oversight works. C</w:t>
      </w:r>
      <w:r w:rsidR="001A133E">
        <w:t xml:space="preserve">lients </w:t>
      </w:r>
      <w:r>
        <w:t>who suffer</w:t>
      </w:r>
      <w:r w:rsidR="001A133E">
        <w:t xml:space="preserve"> from harmful mistakes </w:t>
      </w:r>
      <w:r>
        <w:t xml:space="preserve">are </w:t>
      </w:r>
      <w:r w:rsidR="001A133E">
        <w:t xml:space="preserve">likely to report them and seek </w:t>
      </w:r>
      <w:r>
        <w:t xml:space="preserve">rectification and redress. But clients </w:t>
      </w:r>
      <w:r w:rsidR="001A133E">
        <w:t>benefiti</w:t>
      </w:r>
      <w:r>
        <w:t xml:space="preserve">ng from mistakes stay silent, and these </w:t>
      </w:r>
      <w:r w:rsidR="001A133E">
        <w:t xml:space="preserve">clients value </w:t>
      </w:r>
      <w:r>
        <w:t>dealing with less</w:t>
      </w:r>
      <w:r w:rsidR="001A133E">
        <w:t>-</w:t>
      </w:r>
      <w:r>
        <w:t xml:space="preserve">informed agents, so </w:t>
      </w:r>
      <w:r w:rsidR="001A133E">
        <w:t xml:space="preserve">principals may prefer agents </w:t>
      </w:r>
      <w:r>
        <w:t>whose character and values are (somewhat) hostile to client interests.</w:t>
      </w:r>
    </w:p>
    <w:p w:rsidR="00704165" w:rsidRDefault="003469FD" w:rsidP="001A133E">
      <w:pPr>
        <w:pStyle w:val="ListParagraph"/>
        <w:numPr>
          <w:ilvl w:val="0"/>
          <w:numId w:val="4"/>
        </w:numPr>
        <w:tabs>
          <w:tab w:val="left" w:pos="567"/>
        </w:tabs>
        <w:spacing w:line="360" w:lineRule="auto"/>
        <w:ind w:left="709" w:hanging="142"/>
      </w:pPr>
      <w:r>
        <w:lastRenderedPageBreak/>
        <w:t>C</w:t>
      </w:r>
      <w:r w:rsidR="001A133E">
        <w:t>ases where clients want a benefit only when it is needed (e.g. a risky medical operation), hence they prefer a better-informed agent, and so does the principal.</w:t>
      </w:r>
    </w:p>
    <w:p w:rsidR="008A7800" w:rsidRDefault="001A133E" w:rsidP="008A7800">
      <w:pPr>
        <w:tabs>
          <w:tab w:val="left" w:pos="567"/>
        </w:tabs>
        <w:spacing w:line="360" w:lineRule="auto"/>
      </w:pPr>
      <w:r>
        <w:t>Somewhat disturbingly, Prendergast’s formal model predicts a polarization of bureaucrats into pro-</w:t>
      </w:r>
      <w:r w:rsidR="000F1660">
        <w:t>client</w:t>
      </w:r>
      <w:r>
        <w:t xml:space="preserve"> and anti-client officials, to the exclusion of applicants or staff with ‘middle of the road’ positions – partly because </w:t>
      </w:r>
      <w:r w:rsidR="003469FD">
        <w:t xml:space="preserve">of applicant’s incentives, </w:t>
      </w:r>
      <w:r w:rsidR="00704165">
        <w:t>partly because of principals’ recruitment strategies</w:t>
      </w:r>
      <w:r w:rsidR="003469FD">
        <w:t>, and partly because of pooling effects.</w:t>
      </w:r>
    </w:p>
    <w:p w:rsidR="00F176D8" w:rsidRPr="00F176D8" w:rsidRDefault="00F176D8">
      <w:pPr>
        <w:spacing w:line="360" w:lineRule="auto"/>
        <w:rPr>
          <w:b/>
        </w:rPr>
      </w:pPr>
      <w:r>
        <w:rPr>
          <w:b/>
        </w:rPr>
        <w:t xml:space="preserve">New public management and </w:t>
      </w:r>
      <w:r w:rsidRPr="00F176D8">
        <w:rPr>
          <w:b/>
        </w:rPr>
        <w:t xml:space="preserve">austerity </w:t>
      </w:r>
      <w:r>
        <w:rPr>
          <w:b/>
        </w:rPr>
        <w:t xml:space="preserve">changes </w:t>
      </w:r>
    </w:p>
    <w:p w:rsidR="00704165" w:rsidRDefault="00704165">
      <w:pPr>
        <w:spacing w:line="360" w:lineRule="auto"/>
      </w:pPr>
      <w:r>
        <w:t xml:space="preserve">Classical public choice models were a key component of the shift to new public management (NPM) strategies in many countries, from the mid 1980s through to the late 2000s. NPM has been variously characterized but an influential view sees it as a quasi-paradigm composed of three top-level themes supported by ‘swarms’ of component </w:t>
      </w:r>
      <w:r w:rsidR="00565013">
        <w:t xml:space="preserve">detailed </w:t>
      </w:r>
      <w:r>
        <w:t>public management strategies</w:t>
      </w:r>
      <w:r w:rsidR="00565013">
        <w:t xml:space="preserve"> (Dunleavy et al, 2006; Margetts and Dunleavy, 2013)</w:t>
      </w:r>
      <w:r>
        <w:t>;</w:t>
      </w:r>
    </w:p>
    <w:p w:rsidR="00704165" w:rsidRPr="00704165" w:rsidRDefault="00704165" w:rsidP="00704165">
      <w:pPr>
        <w:pStyle w:val="ListParagraph"/>
        <w:numPr>
          <w:ilvl w:val="0"/>
          <w:numId w:val="4"/>
        </w:numPr>
        <w:spacing w:line="360" w:lineRule="auto"/>
        <w:ind w:left="851" w:hanging="284"/>
        <w:rPr>
          <w:i/>
        </w:rPr>
      </w:pPr>
      <w:r w:rsidRPr="00704165">
        <w:rPr>
          <w:i/>
        </w:rPr>
        <w:t>Disaggregating large hierarchies</w:t>
      </w:r>
      <w:r w:rsidR="00565013">
        <w:t xml:space="preserve">, </w:t>
      </w:r>
      <w:r>
        <w:t>e.g. via purchaser-provider separation, agen</w:t>
      </w:r>
      <w:r w:rsidR="00565013">
        <w:t xml:space="preserve">cification, </w:t>
      </w:r>
      <w:r w:rsidR="00CB24BD">
        <w:t xml:space="preserve">and </w:t>
      </w:r>
      <w:r w:rsidR="00565013">
        <w:t>separating out micro-local agencies</w:t>
      </w:r>
      <w:r w:rsidR="00CB24BD">
        <w:t xml:space="preserve"> from municipalities or public service boards</w:t>
      </w:r>
      <w:r w:rsidR="00565013">
        <w:t>.</w:t>
      </w:r>
    </w:p>
    <w:p w:rsidR="00565013" w:rsidRPr="00565013" w:rsidRDefault="00565013" w:rsidP="00704165">
      <w:pPr>
        <w:pStyle w:val="ListParagraph"/>
        <w:numPr>
          <w:ilvl w:val="0"/>
          <w:numId w:val="4"/>
        </w:numPr>
        <w:spacing w:line="360" w:lineRule="auto"/>
        <w:ind w:left="851" w:hanging="284"/>
        <w:rPr>
          <w:i/>
        </w:rPr>
      </w:pPr>
      <w:r>
        <w:rPr>
          <w:i/>
        </w:rPr>
        <w:t xml:space="preserve">Competition, </w:t>
      </w:r>
      <w:r w:rsidR="00704165">
        <w:t>e.g</w:t>
      </w:r>
      <w:r w:rsidR="00CB24BD">
        <w:t>.</w:t>
      </w:r>
      <w:r w:rsidR="00704165">
        <w:t xml:space="preserve"> via </w:t>
      </w:r>
      <w:r>
        <w:t xml:space="preserve">mandatory outsourcing, competitive commissioning, quasi-markets, </w:t>
      </w:r>
      <w:r w:rsidR="00CB24BD">
        <w:t xml:space="preserve">and </w:t>
      </w:r>
      <w:r>
        <w:t>performance league tables. And</w:t>
      </w:r>
    </w:p>
    <w:p w:rsidR="00F176D8" w:rsidRPr="00704165" w:rsidRDefault="00565013" w:rsidP="00704165">
      <w:pPr>
        <w:pStyle w:val="ListParagraph"/>
        <w:numPr>
          <w:ilvl w:val="0"/>
          <w:numId w:val="4"/>
        </w:numPr>
        <w:spacing w:line="360" w:lineRule="auto"/>
        <w:ind w:left="851" w:hanging="284"/>
        <w:rPr>
          <w:i/>
        </w:rPr>
      </w:pPr>
      <w:r>
        <w:rPr>
          <w:i/>
        </w:rPr>
        <w:t xml:space="preserve">Incentivization, </w:t>
      </w:r>
      <w:r>
        <w:t xml:space="preserve">e.g. via ‘de-privileging’ professions or unions, </w:t>
      </w:r>
      <w:r w:rsidR="00CB24BD">
        <w:t xml:space="preserve">mandatory ‘efficiency dividends’, imposing performance-related </w:t>
      </w:r>
      <w:r>
        <w:t xml:space="preserve">pay, ‘light touch’ regulation, public asset charges, </w:t>
      </w:r>
      <w:r w:rsidR="00CB24BD">
        <w:t xml:space="preserve">and </w:t>
      </w:r>
      <w:r>
        <w:t>unified rates of return.</w:t>
      </w:r>
    </w:p>
    <w:p w:rsidR="00F176D8" w:rsidRDefault="00565013" w:rsidP="001C54B0">
      <w:pPr>
        <w:spacing w:line="360" w:lineRule="auto"/>
      </w:pPr>
      <w:r>
        <w:t>Initially this shift realized some public interest gains and cost reductions (as any new, exogenous shock may do). However, even in the most enthusiastic NPM countries there is little evidence of sustained cost reductions being achieved (Hood and Dixon, 201</w:t>
      </w:r>
      <w:r w:rsidR="005F721E">
        <w:t>5</w:t>
      </w:r>
      <w:r>
        <w:t xml:space="preserve">). </w:t>
      </w:r>
    </w:p>
    <w:p w:rsidR="002F75FC" w:rsidRDefault="001C54B0" w:rsidP="001C54B0">
      <w:pPr>
        <w:tabs>
          <w:tab w:val="left" w:pos="567"/>
        </w:tabs>
        <w:spacing w:line="360" w:lineRule="auto"/>
      </w:pPr>
      <w:r>
        <w:tab/>
        <w:t>Figure 2</w:t>
      </w:r>
      <w:r w:rsidR="002F75FC">
        <w:t xml:space="preserve"> </w:t>
      </w:r>
      <w:r w:rsidR="00CB24BD">
        <w:t xml:space="preserve">above </w:t>
      </w:r>
      <w:r w:rsidR="002F75FC">
        <w:t>(</w:t>
      </w:r>
      <w:r w:rsidR="00CB24BD">
        <w:t xml:space="preserve">from </w:t>
      </w:r>
      <w:r w:rsidR="002F75FC">
        <w:t>DeIulio, 2017)</w:t>
      </w:r>
      <w:r w:rsidR="00CB24BD">
        <w:t xml:space="preserve"> </w:t>
      </w:r>
      <w:r w:rsidR="002F75FC">
        <w:t xml:space="preserve">rather vividly demonstrates that the main effect of NPM strategies has been to disguise the growth of a para-state (especially in defense and homeland security) behind static numbers of civil servants. Both exponents of classical public choice models and delegation models have so far responded only very weakly to these trends, whereas the revisionist accounts offer much richer explanations of bureaucratic interests in the modern era. </w:t>
      </w:r>
    </w:p>
    <w:p w:rsidR="003E2F14" w:rsidRDefault="002F75FC" w:rsidP="003E2F14">
      <w:pPr>
        <w:tabs>
          <w:tab w:val="left" w:pos="567"/>
        </w:tabs>
        <w:spacing w:line="360" w:lineRule="auto"/>
      </w:pPr>
      <w:r>
        <w:tab/>
        <w:t>Both classical and more recent economics accounts basically failed to foresee two key lessons</w:t>
      </w:r>
      <w:r w:rsidR="00CB24BD">
        <w:t xml:space="preserve"> of modern governance trends</w:t>
      </w:r>
      <w:r>
        <w:t>. First, privatizing and reconfiguring the actors and accountability structures involved in service delivery may not much alter the allocations of risks and rewards, and may often worsen government’s costs and performance</w:t>
      </w:r>
      <w:r w:rsidR="003E2F14">
        <w:t xml:space="preserve"> - </w:t>
      </w:r>
      <w:r>
        <w:t>as with agencification in the UK, now reversed</w:t>
      </w:r>
      <w:r w:rsidR="003E2F14">
        <w:t xml:space="preserve">; or private prisons in the USA, where big contractors </w:t>
      </w:r>
      <w:r w:rsidR="00CB24BD">
        <w:t xml:space="preserve">now provide campaign </w:t>
      </w:r>
      <w:r w:rsidR="003E2F14">
        <w:t>fund</w:t>
      </w:r>
      <w:r w:rsidR="00CB24BD">
        <w:t xml:space="preserve">ing to </w:t>
      </w:r>
      <w:r w:rsidR="003E2F14">
        <w:t xml:space="preserve"> state legislators who keep thei</w:t>
      </w:r>
      <w:r w:rsidR="00CB24BD">
        <w:t>r jails stuff</w:t>
      </w:r>
      <w:r w:rsidR="003E2F14">
        <w:t>ed</w:t>
      </w:r>
      <w:r>
        <w:t xml:space="preserve">. Second, detailed studies of government productivity across long periods suggest that substantive changes of policies and organizations (especially digital </w:t>
      </w:r>
      <w:r>
        <w:lastRenderedPageBreak/>
        <w:t>era</w:t>
      </w:r>
      <w:r w:rsidR="000402FB">
        <w:t xml:space="preserve"> technology</w:t>
      </w:r>
      <w:r>
        <w:t xml:space="preserve"> changes) have been the key routes for </w:t>
      </w:r>
      <w:r w:rsidR="003E2F14">
        <w:t xml:space="preserve">improving government productivity, not tinkering </w:t>
      </w:r>
      <w:r w:rsidR="00CB24BD">
        <w:t xml:space="preserve">around </w:t>
      </w:r>
      <w:r w:rsidR="003E2F14">
        <w:t xml:space="preserve">with </w:t>
      </w:r>
      <w:r w:rsidR="00CB24BD">
        <w:t xml:space="preserve">ownership structures, </w:t>
      </w:r>
      <w:r w:rsidR="003E2F14">
        <w:t xml:space="preserve">public management </w:t>
      </w:r>
      <w:r w:rsidR="00CB24BD">
        <w:t xml:space="preserve">processes and accountability </w:t>
      </w:r>
      <w:r w:rsidR="003E2F14">
        <w:t>architectures (Dunleavy and Carrera, 2013a; Dunleavy, 2016</w:t>
      </w:r>
      <w:r w:rsidR="000402FB">
        <w:t>; Pollitt, 2011</w:t>
      </w:r>
      <w:r w:rsidR="003E2F14">
        <w:t xml:space="preserve">). For example, </w:t>
      </w:r>
      <w:r w:rsidR="00CB24BD">
        <w:t xml:space="preserve">since 1995 </w:t>
      </w:r>
      <w:r w:rsidR="003E2F14">
        <w:t xml:space="preserve">many </w:t>
      </w:r>
      <w:r w:rsidR="00CB24BD">
        <w:t xml:space="preserve">old-style, </w:t>
      </w:r>
      <w:r w:rsidR="003E2F14">
        <w:t xml:space="preserve">heavily staffed </w:t>
      </w:r>
      <w:r w:rsidR="00CB24BD">
        <w:t xml:space="preserve">Weberian </w:t>
      </w:r>
      <w:r w:rsidR="003E2F14">
        <w:t xml:space="preserve">machine bureaucracies have transitioned fastest towards ‘robot state’ developments and capital intensification, not just </w:t>
      </w:r>
      <w:r w:rsidR="00CB24BD">
        <w:t xml:space="preserve">with drone warfare </w:t>
      </w:r>
      <w:r w:rsidR="003E2F14">
        <w:t xml:space="preserve">in defence (always </w:t>
      </w:r>
      <w:r w:rsidR="00CB24BD">
        <w:t xml:space="preserve">a </w:t>
      </w:r>
      <w:r w:rsidR="003E2F14">
        <w:t>more capital-intensive</w:t>
      </w:r>
      <w:r w:rsidR="00CB24BD">
        <w:t xml:space="preserve"> area</w:t>
      </w:r>
      <w:r w:rsidR="003E2F14">
        <w:t xml:space="preserve">) but </w:t>
      </w:r>
      <w:r w:rsidR="00CB24BD">
        <w:t xml:space="preserve">also </w:t>
      </w:r>
      <w:r w:rsidR="003E2F14">
        <w:t>in previously ‘backwards’ agencies like tax departments and border forces (Dunleavy and Carrera, 2013b). Adapting public choice models of bureaucracy to recognize and explain these current realities is a substantial challenge, inte</w:t>
      </w:r>
      <w:r w:rsidR="00CB24BD">
        <w:t>llectually and methodologically, for radically disruptive shifts in government are likely to dominate the next twenty years of changes (Margetts and Dunleavy, 2015).</w:t>
      </w:r>
    </w:p>
    <w:p w:rsidR="00F176D8" w:rsidRDefault="00F176D8">
      <w:pPr>
        <w:spacing w:line="360" w:lineRule="auto"/>
      </w:pPr>
    </w:p>
    <w:p w:rsidR="00872B26" w:rsidRDefault="00872B26">
      <w:pPr>
        <w:spacing w:line="360" w:lineRule="auto"/>
      </w:pPr>
    </w:p>
    <w:p w:rsidR="00C424ED" w:rsidRPr="00CB24BD" w:rsidRDefault="00CB24BD">
      <w:pPr>
        <w:spacing w:line="360" w:lineRule="auto"/>
        <w:rPr>
          <w:b/>
        </w:rPr>
      </w:pPr>
      <w:r w:rsidRPr="00CB24BD">
        <w:rPr>
          <w:b/>
        </w:rPr>
        <w:t>References</w:t>
      </w:r>
    </w:p>
    <w:p w:rsidR="00CB24BD" w:rsidRDefault="00920345">
      <w:r w:rsidRPr="00920345">
        <w:t xml:space="preserve">Allison, Graham; Zelikow, Philip (1999). </w:t>
      </w:r>
      <w:r w:rsidRPr="00920345">
        <w:rPr>
          <w:i/>
        </w:rPr>
        <w:t>Essence of Decision: Explaining the Cuban Missile Crisis</w:t>
      </w:r>
      <w:r w:rsidRPr="00920345">
        <w:t xml:space="preserve">, 2ed. </w:t>
      </w:r>
      <w:r>
        <w:t xml:space="preserve">New York: </w:t>
      </w:r>
      <w:r w:rsidRPr="00920345">
        <w:t>Longman.</w:t>
      </w:r>
    </w:p>
    <w:p w:rsidR="00872B26" w:rsidRDefault="00872B26" w:rsidP="00872B26"/>
    <w:p w:rsidR="00060113" w:rsidRDefault="00060113" w:rsidP="00872B26">
      <w:proofErr w:type="spellStart"/>
      <w:r>
        <w:t>Besley</w:t>
      </w:r>
      <w:proofErr w:type="spellEnd"/>
      <w:r>
        <w:t xml:space="preserve"> Timothy and </w:t>
      </w:r>
      <w:proofErr w:type="spellStart"/>
      <w:r>
        <w:t>Ghatak</w:t>
      </w:r>
      <w:proofErr w:type="spellEnd"/>
      <w:r>
        <w:t xml:space="preserve">, Maitreesh. (2001) ‘Government versus private ownership of public goods’, </w:t>
      </w:r>
      <w:r w:rsidRPr="005C3E7F">
        <w:rPr>
          <w:i/>
        </w:rPr>
        <w:t xml:space="preserve">Quarterly Journal of </w:t>
      </w:r>
      <w:r w:rsidR="005C3E7F" w:rsidRPr="005C3E7F">
        <w:rPr>
          <w:i/>
        </w:rPr>
        <w:t>E</w:t>
      </w:r>
      <w:r w:rsidRPr="005C3E7F">
        <w:rPr>
          <w:i/>
        </w:rPr>
        <w:t>conomics</w:t>
      </w:r>
      <w:r>
        <w:t xml:space="preserve">, </w:t>
      </w:r>
      <w:r w:rsidR="005C3E7F">
        <w:t>November, pp. 1343-72.</w:t>
      </w:r>
    </w:p>
    <w:p w:rsidR="00872B26" w:rsidRDefault="00872B26" w:rsidP="00872B26"/>
    <w:p w:rsidR="0021766C" w:rsidRDefault="0021766C" w:rsidP="00872B26">
      <w:proofErr w:type="spellStart"/>
      <w:r>
        <w:t>Besley</w:t>
      </w:r>
      <w:proofErr w:type="spellEnd"/>
      <w:r>
        <w:t xml:space="preserve"> Tim</w:t>
      </w:r>
      <w:r w:rsidR="00036ACC">
        <w:t>othy</w:t>
      </w:r>
      <w:r>
        <w:t xml:space="preserve"> and </w:t>
      </w:r>
      <w:proofErr w:type="spellStart"/>
      <w:r>
        <w:t>Ghatak</w:t>
      </w:r>
      <w:proofErr w:type="spellEnd"/>
      <w:r w:rsidR="00036ACC">
        <w:t>,</w:t>
      </w:r>
      <w:r>
        <w:t xml:space="preserve"> Maitreesh. (2003) ‘Incentives, Choice and Accountability in the Provision of Public Services’, </w:t>
      </w:r>
      <w:r w:rsidRPr="0021766C">
        <w:rPr>
          <w:i/>
        </w:rPr>
        <w:t>Oxford Review of Economic Policy</w:t>
      </w:r>
      <w:r>
        <w:t>, Vol. 19, no. 2, pp. 235-49.</w:t>
      </w:r>
    </w:p>
    <w:p w:rsidR="00872B26" w:rsidRDefault="00872B26" w:rsidP="00872B26"/>
    <w:p w:rsidR="00060113" w:rsidRDefault="00060113" w:rsidP="00872B26">
      <w:proofErr w:type="spellStart"/>
      <w:r>
        <w:t>Besley</w:t>
      </w:r>
      <w:proofErr w:type="spellEnd"/>
      <w:r>
        <w:t xml:space="preserve"> Timothy and </w:t>
      </w:r>
      <w:proofErr w:type="spellStart"/>
      <w:r>
        <w:t>Ghatak</w:t>
      </w:r>
      <w:proofErr w:type="spellEnd"/>
      <w:r>
        <w:t xml:space="preserve">, Maitreesh. (2005) ‘Competition and incentives with motivated </w:t>
      </w:r>
      <w:proofErr w:type="gramStart"/>
      <w:r>
        <w:t>agents’</w:t>
      </w:r>
      <w:proofErr w:type="gramEnd"/>
      <w:r>
        <w:t xml:space="preserve">. </w:t>
      </w:r>
      <w:r w:rsidRPr="00232F3B">
        <w:rPr>
          <w:i/>
        </w:rPr>
        <w:t>American Economic Review</w:t>
      </w:r>
      <w:r>
        <w:t>, 95, 616–636. (doi:10.1257/0002828054201413)</w:t>
      </w:r>
      <w:r w:rsidRPr="004835A6">
        <w:t xml:space="preserve"> </w:t>
      </w:r>
    </w:p>
    <w:p w:rsidR="00872B26" w:rsidRDefault="00872B26" w:rsidP="00872B26"/>
    <w:p w:rsidR="00036ACC" w:rsidRDefault="00036ACC" w:rsidP="00872B26">
      <w:proofErr w:type="spellStart"/>
      <w:r>
        <w:t>Besley</w:t>
      </w:r>
      <w:proofErr w:type="spellEnd"/>
      <w:r>
        <w:t xml:space="preserve"> Timothy and </w:t>
      </w:r>
      <w:proofErr w:type="spellStart"/>
      <w:r>
        <w:t>Ghatak</w:t>
      </w:r>
      <w:proofErr w:type="spellEnd"/>
      <w:r>
        <w:t xml:space="preserve"> Maitreesh. (2014) ‘Solving Agency Problems: Intrinsic Motivation, Incentives, and Productivity’ (London: London School of Economics), </w:t>
      </w:r>
      <w:r w:rsidRPr="00036ACC">
        <w:t>Background paper for the 2014 World Development Report</w:t>
      </w:r>
      <w:r>
        <w:t xml:space="preserve">, January. </w:t>
      </w:r>
      <w:hyperlink r:id="rId7" w:history="1">
        <w:r w:rsidRPr="00592256">
          <w:rPr>
            <w:rStyle w:val="Hyperlink"/>
          </w:rPr>
          <w:t>http://personal.lse.ac.uk/GHATAK/WDRmotivation.pdf</w:t>
        </w:r>
      </w:hyperlink>
      <w:r>
        <w:t xml:space="preserve"> </w:t>
      </w:r>
    </w:p>
    <w:p w:rsidR="00872B26" w:rsidRDefault="00872B26" w:rsidP="00872B26"/>
    <w:p w:rsidR="00036ACC" w:rsidRDefault="00036ACC" w:rsidP="00872B26">
      <w:proofErr w:type="spellStart"/>
      <w:r>
        <w:t>Besley</w:t>
      </w:r>
      <w:proofErr w:type="spellEnd"/>
      <w:r>
        <w:t xml:space="preserve"> Timothy and </w:t>
      </w:r>
      <w:proofErr w:type="spellStart"/>
      <w:r>
        <w:t>Ghatak</w:t>
      </w:r>
      <w:proofErr w:type="spellEnd"/>
      <w:r>
        <w:t xml:space="preserve">, Maitreesh. (2007) ‘Reforming Public Service Delivery’, </w:t>
      </w:r>
      <w:r>
        <w:rPr>
          <w:i/>
        </w:rPr>
        <w:t>Journal o</w:t>
      </w:r>
      <w:r w:rsidRPr="00036ACC">
        <w:rPr>
          <w:i/>
        </w:rPr>
        <w:t xml:space="preserve">f African </w:t>
      </w:r>
      <w:proofErr w:type="spellStart"/>
      <w:proofErr w:type="gramStart"/>
      <w:r w:rsidRPr="00036ACC">
        <w:rPr>
          <w:i/>
        </w:rPr>
        <w:t>Economies</w:t>
      </w:r>
      <w:r w:rsidRPr="00036ACC">
        <w:t>,Volume</w:t>
      </w:r>
      <w:proofErr w:type="spellEnd"/>
      <w:proofErr w:type="gramEnd"/>
      <w:r w:rsidRPr="00036ACC">
        <w:t xml:space="preserve"> 16, </w:t>
      </w:r>
      <w:proofErr w:type="spellStart"/>
      <w:r w:rsidRPr="00036ACC">
        <w:t>Aerc</w:t>
      </w:r>
      <w:proofErr w:type="spellEnd"/>
      <w:r w:rsidRPr="00036ACC">
        <w:t xml:space="preserve"> Supplement 1, Pp</w:t>
      </w:r>
      <w:r w:rsidR="00920345">
        <w:t>. 127–156.</w:t>
      </w:r>
    </w:p>
    <w:p w:rsidR="00872B26" w:rsidRDefault="00872B26" w:rsidP="00872B26"/>
    <w:p w:rsidR="00920345" w:rsidRDefault="00920345" w:rsidP="00872B26">
      <w:proofErr w:type="spellStart"/>
      <w:r w:rsidRPr="00920345">
        <w:t>Blais</w:t>
      </w:r>
      <w:proofErr w:type="spellEnd"/>
      <w:r w:rsidRPr="00920345">
        <w:t>, André, a</w:t>
      </w:r>
      <w:r>
        <w:t xml:space="preserve">nd Stéphane Dion, eds. (1991). </w:t>
      </w:r>
      <w:r w:rsidRPr="00920345">
        <w:rPr>
          <w:i/>
        </w:rPr>
        <w:t>The Budget-Maximizing Bureaucrat: Appraisals and Evidence</w:t>
      </w:r>
      <w:r w:rsidRPr="00920345">
        <w:t>. Pittsburgh, PA: University of Pittsburgh Press.</w:t>
      </w:r>
    </w:p>
    <w:p w:rsidR="00872B26" w:rsidRDefault="00872B26" w:rsidP="00872B26"/>
    <w:p w:rsidR="004835A6" w:rsidRPr="004835A6" w:rsidRDefault="004835A6" w:rsidP="00872B26">
      <w:r w:rsidRPr="004835A6">
        <w:t>Bloom, Nicholas, Carol Propper, Stephan S</w:t>
      </w:r>
      <w:r w:rsidR="00265AAE">
        <w:t>eiler and John Van Reenen (2009</w:t>
      </w:r>
      <w:r w:rsidRPr="004835A6">
        <w:t xml:space="preserve">), ‘Management practices in hospitals’, HEDG Working Paper No. 09/23, July, York: Health, Econometrics and Data Group, York University, accessed 1 October 2012 at </w:t>
      </w:r>
      <w:hyperlink r:id="rId8" w:history="1">
        <w:r w:rsidRPr="004835A6">
          <w:rPr>
            <w:rStyle w:val="Hyperlink"/>
          </w:rPr>
          <w:t>http://www.york.ac.uk/res/herc/documents/wp/09_23_Removed.pdf</w:t>
        </w:r>
      </w:hyperlink>
      <w:r w:rsidRPr="004835A6">
        <w:t xml:space="preserve"> </w:t>
      </w:r>
    </w:p>
    <w:p w:rsidR="00872B26" w:rsidRDefault="00872B26" w:rsidP="00872B26"/>
    <w:p w:rsidR="00CB24BD" w:rsidRDefault="004835A6" w:rsidP="00872B26">
      <w:r w:rsidRPr="004835A6">
        <w:t>Bloom, Nicholas, Carol Propper, Stephan Seiler and John Van Reenen (2010), ‘The impact of competition on management quality: evidence from public hospitals’, CEP Discussion Paper No. 983, London: LSE Centre for Economic Performance.</w:t>
      </w:r>
    </w:p>
    <w:p w:rsidR="00872B26" w:rsidRDefault="00872B26" w:rsidP="00872B26"/>
    <w:p w:rsidR="005C3E7F" w:rsidRDefault="005C3E7F" w:rsidP="00872B26">
      <w:r>
        <w:lastRenderedPageBreak/>
        <w:t xml:space="preserve">Braithwaite, John; </w:t>
      </w:r>
      <w:proofErr w:type="spellStart"/>
      <w:r>
        <w:t>Makkai</w:t>
      </w:r>
      <w:proofErr w:type="spellEnd"/>
      <w:r>
        <w:t>, Toni</w:t>
      </w:r>
      <w:r w:rsidR="00433532">
        <w:t xml:space="preserve">; and </w:t>
      </w:r>
      <w:r>
        <w:t>Braithwaite</w:t>
      </w:r>
      <w:r w:rsidR="00433532">
        <w:t xml:space="preserve">, Valerie A. (2007) </w:t>
      </w:r>
      <w:r w:rsidR="00433532" w:rsidRPr="00433532">
        <w:rPr>
          <w:i/>
        </w:rPr>
        <w:t>Regulating Aged Care: Ritualism and the New Pyramid</w:t>
      </w:r>
      <w:r w:rsidR="00433532">
        <w:t xml:space="preserve"> (Cheltenham: Edward Elgar).</w:t>
      </w:r>
    </w:p>
    <w:p w:rsidR="00433532" w:rsidRDefault="00433532" w:rsidP="00872B26">
      <w:r>
        <w:t>Callander, Steven and Krehbiel, Keith (2014) ‘Gridlock and Delegation in a Changing World’, American Journal of Political Science, Volume 58, Issue 4, pp. 819–834.</w:t>
      </w:r>
    </w:p>
    <w:p w:rsidR="00872B26" w:rsidRDefault="00872B26" w:rsidP="00872B26"/>
    <w:p w:rsidR="00483F69" w:rsidRDefault="0084677C" w:rsidP="00872B26">
      <w:proofErr w:type="spellStart"/>
      <w:r>
        <w:t>DeIulio</w:t>
      </w:r>
      <w:proofErr w:type="spellEnd"/>
      <w:r>
        <w:t xml:space="preserve">, </w:t>
      </w:r>
      <w:r w:rsidR="00483F69">
        <w:t>John J. (</w:t>
      </w:r>
      <w:r>
        <w:t>2017</w:t>
      </w:r>
      <w:r w:rsidR="00483F69">
        <w:t>)’</w:t>
      </w:r>
      <w:r w:rsidR="00483F69" w:rsidRPr="00483F69">
        <w:t xml:space="preserve"> </w:t>
      </w:r>
      <w:r w:rsidR="00483F69">
        <w:t xml:space="preserve">10 questions and answers about America’s “Big Government”’, Brookings Institution blog, 13 February.  </w:t>
      </w:r>
      <w:hyperlink r:id="rId9" w:history="1">
        <w:r w:rsidR="00483F69" w:rsidRPr="00592256">
          <w:rPr>
            <w:rStyle w:val="Hyperlink"/>
          </w:rPr>
          <w:t>https://www.brookings.edu/blog/fixgov/2017/02/13/ten-questions-and-answers-about-americas-big-government/</w:t>
        </w:r>
      </w:hyperlink>
      <w:r w:rsidR="00483F69">
        <w:t xml:space="preserve">  </w:t>
      </w:r>
    </w:p>
    <w:p w:rsidR="00872B26" w:rsidRDefault="00872B26" w:rsidP="00872B26"/>
    <w:p w:rsidR="00C55BF2" w:rsidRPr="004835A6" w:rsidRDefault="00C55BF2" w:rsidP="00872B26">
      <w:r>
        <w:t xml:space="preserve">Downs, Anthony. (1967) </w:t>
      </w:r>
      <w:r w:rsidRPr="00C55BF2">
        <w:rPr>
          <w:i/>
        </w:rPr>
        <w:t>Inside Bureaucracy</w:t>
      </w:r>
      <w:r>
        <w:t xml:space="preserve"> </w:t>
      </w:r>
      <w:r w:rsidR="00002FFA">
        <w:t>(Boston: Little Brown).</w:t>
      </w:r>
    </w:p>
    <w:p w:rsidR="00872B26" w:rsidRDefault="00872B26" w:rsidP="00872B26"/>
    <w:p w:rsidR="00483F69" w:rsidRDefault="00483F69" w:rsidP="00872B26">
      <w:r>
        <w:t xml:space="preserve">Dowding, Keith and James, Oliver. (2004) ‘Analysing Bureau-Shaping Models: Comments on Marsh, Smith and Richards’, </w:t>
      </w:r>
      <w:r w:rsidRPr="00483F69">
        <w:rPr>
          <w:i/>
        </w:rPr>
        <w:t>British Journal of Political Science</w:t>
      </w:r>
      <w:r>
        <w:t>, volume 34 part 1 January 2004</w:t>
      </w:r>
    </w:p>
    <w:p w:rsidR="00872B26" w:rsidRDefault="00872B26" w:rsidP="00872B26"/>
    <w:p w:rsidR="004835A6" w:rsidRPr="004835A6" w:rsidRDefault="004835A6" w:rsidP="00872B26">
      <w:r w:rsidRPr="004835A6">
        <w:t xml:space="preserve">Dunleavy, Patrick (1991), </w:t>
      </w:r>
      <w:r w:rsidRPr="004835A6">
        <w:rPr>
          <w:i/>
          <w:iCs/>
        </w:rPr>
        <w:t>Democracy, Bureaucracy and Public Choice: Economic Explanations in Political Science</w:t>
      </w:r>
      <w:r w:rsidRPr="004835A6">
        <w:rPr>
          <w:iCs/>
        </w:rPr>
        <w:t>,</w:t>
      </w:r>
      <w:r w:rsidRPr="004835A6">
        <w:rPr>
          <w:i/>
          <w:iCs/>
        </w:rPr>
        <w:t xml:space="preserve"> </w:t>
      </w:r>
      <w:r w:rsidRPr="004835A6">
        <w:t>Hemel Hempstead: Harvester-Wheatsheaf.</w:t>
      </w:r>
    </w:p>
    <w:p w:rsidR="00872B26" w:rsidRDefault="00872B26" w:rsidP="00872B26"/>
    <w:p w:rsidR="00232F3B" w:rsidRDefault="004835A6" w:rsidP="00872B26">
      <w:r w:rsidRPr="004835A6">
        <w:t xml:space="preserve">Dunleavy, Patrick (1994), ‘The globalization of public services production: can government be “best in world”?’, </w:t>
      </w:r>
      <w:r w:rsidRPr="004835A6">
        <w:rPr>
          <w:i/>
          <w:iCs/>
        </w:rPr>
        <w:t>Public Policy and Administration</w:t>
      </w:r>
      <w:r w:rsidRPr="004835A6">
        <w:t xml:space="preserve">, </w:t>
      </w:r>
      <w:r w:rsidRPr="004835A6">
        <w:rPr>
          <w:b/>
        </w:rPr>
        <w:t>9</w:t>
      </w:r>
      <w:r w:rsidRPr="004835A6">
        <w:t>(2), 36–65</w:t>
      </w:r>
      <w:proofErr w:type="gramStart"/>
      <w:r w:rsidRPr="004835A6">
        <w:t>.</w:t>
      </w:r>
      <w:r w:rsidR="00232F3B">
        <w:t xml:space="preserve"> .</w:t>
      </w:r>
      <w:proofErr w:type="gramEnd"/>
      <w:r w:rsidR="00232F3B">
        <w:t xml:space="preserve"> </w:t>
      </w:r>
    </w:p>
    <w:p w:rsidR="00872B26" w:rsidRDefault="00872B26" w:rsidP="00872B26"/>
    <w:p w:rsidR="004835A6" w:rsidRDefault="00232F3B" w:rsidP="00872B26">
      <w:r w:rsidRPr="004835A6">
        <w:t>Dunleavy, Patrick</w:t>
      </w:r>
      <w:r>
        <w:t>, and Carrera Leandro. (2013</w:t>
      </w:r>
      <w:r w:rsidR="000402FB">
        <w:t>a</w:t>
      </w:r>
      <w:r>
        <w:t xml:space="preserve">) </w:t>
      </w:r>
      <w:r w:rsidRPr="00232F3B">
        <w:rPr>
          <w:i/>
        </w:rPr>
        <w:t>Growing the productivity of government services</w:t>
      </w:r>
      <w:r>
        <w:t>. Cheltenham, UK: Edward Elgar.</w:t>
      </w:r>
    </w:p>
    <w:p w:rsidR="00872B26" w:rsidRDefault="00872B26" w:rsidP="00872B26"/>
    <w:p w:rsidR="000402FB" w:rsidRPr="004835A6" w:rsidRDefault="000402FB" w:rsidP="00872B26">
      <w:r w:rsidRPr="004835A6">
        <w:t>Dunleavy, Patrick</w:t>
      </w:r>
      <w:r>
        <w:t>, and Carrera Leandro. (2013b) ‘</w:t>
      </w:r>
      <w:r w:rsidRPr="000402FB">
        <w:t>The rise of a robot state? New frontiers for growing the productivity of government services</w:t>
      </w:r>
      <w:r>
        <w:t xml:space="preserve">’, LSE Politics and Policy blog, 25 February.     </w:t>
      </w:r>
      <w:hyperlink r:id="rId10" w:history="1">
        <w:r w:rsidRPr="00592256">
          <w:rPr>
            <w:rStyle w:val="Hyperlink"/>
          </w:rPr>
          <w:t>http://blogs.lse.ac.uk/politicsandpolicy/the-rise-of-a-robot-state-new-frontiers-for-growing-the-productivity-of-government-services/</w:t>
        </w:r>
      </w:hyperlink>
      <w:r>
        <w:t xml:space="preserve"> </w:t>
      </w:r>
    </w:p>
    <w:p w:rsidR="00872B26" w:rsidRDefault="00872B26" w:rsidP="00872B26"/>
    <w:p w:rsidR="004835A6" w:rsidRPr="004835A6" w:rsidRDefault="004835A6" w:rsidP="00872B26">
      <w:r w:rsidRPr="004835A6">
        <w:t xml:space="preserve">Dunleavy, Patrick and Helen Margetts (2010), ‘The second wave of digital era governance’, </w:t>
      </w:r>
      <w:r w:rsidRPr="004835A6">
        <w:rPr>
          <w:i/>
          <w:iCs/>
        </w:rPr>
        <w:t>Social Science Research Network</w:t>
      </w:r>
      <w:r w:rsidRPr="004835A6">
        <w:t xml:space="preserve">, paper to the 2010 Annual Conference of the American Political Science Association, accessed 14 September at </w:t>
      </w:r>
      <w:hyperlink r:id="rId11" w:history="1">
        <w:r w:rsidR="00232F3B" w:rsidRPr="00592256">
          <w:rPr>
            <w:rStyle w:val="Hyperlink"/>
          </w:rPr>
          <w:t>http://papers.ssrn.com/sol3/papers.cfm?abstract_id=1643850</w:t>
        </w:r>
      </w:hyperlink>
      <w:r w:rsidR="00232F3B">
        <w:t xml:space="preserve"> </w:t>
      </w:r>
      <w:r w:rsidRPr="004835A6">
        <w:t>.</w:t>
      </w:r>
    </w:p>
    <w:p w:rsidR="00872B26" w:rsidRDefault="00872B26" w:rsidP="00872B26"/>
    <w:p w:rsidR="00872B26" w:rsidRDefault="004835A6" w:rsidP="00872B26">
      <w:r w:rsidRPr="004835A6">
        <w:t xml:space="preserve">Dunleavy, Patrick, Helen Margetts, Simon </w:t>
      </w:r>
      <w:proofErr w:type="spellStart"/>
      <w:r w:rsidRPr="004835A6">
        <w:t>Bastow</w:t>
      </w:r>
      <w:proofErr w:type="spellEnd"/>
      <w:r w:rsidRPr="004835A6">
        <w:t xml:space="preserve"> and Jane </w:t>
      </w:r>
      <w:proofErr w:type="spellStart"/>
      <w:r w:rsidRPr="004835A6">
        <w:t>Tinkler</w:t>
      </w:r>
      <w:proofErr w:type="spellEnd"/>
      <w:r w:rsidRPr="004835A6">
        <w:t xml:space="preserve"> (2006), ‘New public management is dead. Long live digital-era governance’</w:t>
      </w:r>
      <w:r w:rsidRPr="004835A6">
        <w:rPr>
          <w:iCs/>
        </w:rPr>
        <w:t>,</w:t>
      </w:r>
      <w:r w:rsidRPr="004835A6">
        <w:rPr>
          <w:i/>
          <w:iCs/>
        </w:rPr>
        <w:t xml:space="preserve"> Journal of Public Administration Research and Theory</w:t>
      </w:r>
      <w:r w:rsidRPr="004835A6">
        <w:t xml:space="preserve">, </w:t>
      </w:r>
      <w:r w:rsidRPr="004835A6">
        <w:rPr>
          <w:b/>
        </w:rPr>
        <w:t>16</w:t>
      </w:r>
      <w:r w:rsidRPr="004835A6">
        <w:t>(3), 467–94.</w:t>
      </w:r>
      <w:r w:rsidR="00232F3B">
        <w:t xml:space="preserve"> (doi:10.1093/</w:t>
      </w:r>
      <w:proofErr w:type="spellStart"/>
      <w:r w:rsidR="00232F3B">
        <w:t>jopart</w:t>
      </w:r>
      <w:proofErr w:type="spellEnd"/>
      <w:r w:rsidR="00232F3B">
        <w:t>/mui057)</w:t>
      </w:r>
      <w:r w:rsidR="00872B26">
        <w:t>.</w:t>
      </w:r>
    </w:p>
    <w:p w:rsidR="00872B26" w:rsidRDefault="00872B26" w:rsidP="00872B26"/>
    <w:p w:rsidR="004835A6" w:rsidRDefault="004835A6" w:rsidP="00872B26">
      <w:r w:rsidRPr="004835A6">
        <w:t xml:space="preserve">Dunleavy, Patrick, Helen Margetts, Simon </w:t>
      </w:r>
      <w:proofErr w:type="spellStart"/>
      <w:r w:rsidRPr="004835A6">
        <w:t>Bastow</w:t>
      </w:r>
      <w:proofErr w:type="spellEnd"/>
      <w:r w:rsidRPr="004835A6">
        <w:t xml:space="preserve"> and Jane </w:t>
      </w:r>
      <w:proofErr w:type="spellStart"/>
      <w:r w:rsidRPr="004835A6">
        <w:t>Tinkler</w:t>
      </w:r>
      <w:proofErr w:type="spellEnd"/>
      <w:r w:rsidRPr="004835A6">
        <w:t xml:space="preserve"> (2008), </w:t>
      </w:r>
      <w:r w:rsidRPr="004835A6">
        <w:rPr>
          <w:i/>
          <w:iCs/>
        </w:rPr>
        <w:t>Digital Era Governance: IT Corporations, the State and e-Government</w:t>
      </w:r>
      <w:r w:rsidRPr="004835A6">
        <w:rPr>
          <w:iCs/>
        </w:rPr>
        <w:t>,</w:t>
      </w:r>
      <w:r w:rsidRPr="004835A6">
        <w:rPr>
          <w:i/>
          <w:iCs/>
        </w:rPr>
        <w:t xml:space="preserve"> </w:t>
      </w:r>
      <w:r w:rsidRPr="004835A6">
        <w:rPr>
          <w:iCs/>
        </w:rPr>
        <w:t xml:space="preserve">revised edition, </w:t>
      </w:r>
      <w:r w:rsidRPr="004835A6">
        <w:t>Oxford: Oxford University Press.</w:t>
      </w:r>
    </w:p>
    <w:p w:rsidR="00872B26" w:rsidRDefault="00872B26" w:rsidP="00872B26"/>
    <w:p w:rsidR="00920345" w:rsidRDefault="000402FB" w:rsidP="00872B26">
      <w:r w:rsidRPr="004835A6">
        <w:t>Dunleavy, Patrick</w:t>
      </w:r>
      <w:r>
        <w:t xml:space="preserve">. (2016) ‘Public Sector Productivity - Measurement Challenges, Performance Information and Prospects for Improvement’, Paper to the Annual Meeting of the OECD Senior Budget Officers’ Network OECD, Paris, 24-25 November 2016. Available at: </w:t>
      </w:r>
      <w:hyperlink r:id="rId12" w:history="1">
        <w:r w:rsidRPr="00592256">
          <w:rPr>
            <w:rStyle w:val="Hyperlink"/>
          </w:rPr>
          <w:t>https://www.researchgate.net/publication/312595136_Public_Sector_Productivity_-_Measurement_Challenges_Performance_Information_and_Prospects_for_Improvement</w:t>
        </w:r>
      </w:hyperlink>
      <w:r>
        <w:t xml:space="preserve"> </w:t>
      </w:r>
    </w:p>
    <w:p w:rsidR="00872B26" w:rsidRDefault="00872B26" w:rsidP="00872B26"/>
    <w:p w:rsidR="00920345" w:rsidRDefault="00920345" w:rsidP="00872B26">
      <w:r>
        <w:t>Gaines, Francesca and John, Peter. (2010) ‘</w:t>
      </w:r>
      <w:r w:rsidRPr="00920345">
        <w:t>What Do Bureaucrats Like Doing? Bureaucratic Preferences in Response to Institutional Reform</w:t>
      </w:r>
      <w:r>
        <w:t xml:space="preserve">’, </w:t>
      </w:r>
      <w:r w:rsidRPr="00920345">
        <w:rPr>
          <w:i/>
        </w:rPr>
        <w:t>Public Administration Review</w:t>
      </w:r>
      <w:r>
        <w:t>, May/June, pp. 455-63.</w:t>
      </w:r>
    </w:p>
    <w:p w:rsidR="00872B26" w:rsidRDefault="00872B26" w:rsidP="00872B26"/>
    <w:p w:rsidR="004835A6" w:rsidRDefault="004835A6" w:rsidP="00872B26">
      <w:r w:rsidRPr="004835A6">
        <w:t xml:space="preserve">Galbraith, John K. (1969), </w:t>
      </w:r>
      <w:r w:rsidRPr="004835A6">
        <w:rPr>
          <w:i/>
          <w:iCs/>
        </w:rPr>
        <w:t>The New Industrial State</w:t>
      </w:r>
      <w:r w:rsidRPr="004835A6">
        <w:t>,</w:t>
      </w:r>
      <w:r>
        <w:t xml:space="preserve"> Harmondsworth: Penguin.</w:t>
      </w:r>
    </w:p>
    <w:p w:rsidR="00872B26" w:rsidRDefault="00872B26" w:rsidP="00872B26"/>
    <w:p w:rsidR="004835A6" w:rsidRDefault="004835A6" w:rsidP="00872B26">
      <w:proofErr w:type="spellStart"/>
      <w:r w:rsidRPr="004835A6">
        <w:t>Garicano</w:t>
      </w:r>
      <w:proofErr w:type="spellEnd"/>
      <w:r w:rsidRPr="004835A6">
        <w:t xml:space="preserve">, Luis and Paul Heaton (2010), ‘Information technology, organization, and productivity in the public sector: evidence from police departments’, </w:t>
      </w:r>
      <w:r w:rsidRPr="004835A6">
        <w:rPr>
          <w:rStyle w:val="Emphasis"/>
        </w:rPr>
        <w:t xml:space="preserve">Journal of </w:t>
      </w:r>
      <w:proofErr w:type="spellStart"/>
      <w:r w:rsidRPr="004835A6">
        <w:rPr>
          <w:rStyle w:val="Emphasis"/>
        </w:rPr>
        <w:t>Labor</w:t>
      </w:r>
      <w:proofErr w:type="spellEnd"/>
      <w:r w:rsidRPr="004835A6">
        <w:rPr>
          <w:rStyle w:val="Emphasis"/>
        </w:rPr>
        <w:t xml:space="preserve"> Economics</w:t>
      </w:r>
      <w:r w:rsidRPr="004835A6">
        <w:rPr>
          <w:rStyle w:val="Emphasis"/>
          <w:i w:val="0"/>
          <w:iCs w:val="0"/>
        </w:rPr>
        <w:t xml:space="preserve">, </w:t>
      </w:r>
      <w:r w:rsidRPr="004835A6">
        <w:rPr>
          <w:b/>
        </w:rPr>
        <w:t>28</w:t>
      </w:r>
      <w:r w:rsidRPr="004835A6">
        <w:t xml:space="preserve">(1), 67–201, accessed 1 October 2012 at </w:t>
      </w:r>
      <w:hyperlink r:id="rId13" w:history="1">
        <w:r w:rsidR="00002FFA" w:rsidRPr="00592256">
          <w:rPr>
            <w:rStyle w:val="Hyperlink"/>
          </w:rPr>
          <w:t>http://works.bepress.com/psheaton/5</w:t>
        </w:r>
      </w:hyperlink>
      <w:r w:rsidR="00002FFA">
        <w:t xml:space="preserve"> </w:t>
      </w:r>
      <w:r w:rsidRPr="004835A6">
        <w:t xml:space="preserve">and </w:t>
      </w:r>
      <w:hyperlink r:id="rId14" w:history="1">
        <w:r w:rsidRPr="00592256">
          <w:rPr>
            <w:rStyle w:val="Hyperlink"/>
          </w:rPr>
          <w:t>http://www.rand.org/content/dam/rand/pubs/reprints/2010/RAND_RP1409.pdf</w:t>
        </w:r>
      </w:hyperlink>
      <w:r w:rsidRPr="004835A6">
        <w:t>.</w:t>
      </w:r>
    </w:p>
    <w:p w:rsidR="00872B26" w:rsidRDefault="00872B26" w:rsidP="00872B26">
      <w:pPr>
        <w:rPr>
          <w:szCs w:val="20"/>
        </w:rPr>
      </w:pPr>
    </w:p>
    <w:p w:rsidR="0034605D" w:rsidRPr="0034605D" w:rsidRDefault="0034605D" w:rsidP="00872B26">
      <w:pPr>
        <w:rPr>
          <w:szCs w:val="20"/>
        </w:rPr>
      </w:pPr>
      <w:r w:rsidRPr="0034605D">
        <w:rPr>
          <w:szCs w:val="20"/>
        </w:rPr>
        <w:t>Glazer</w:t>
      </w:r>
      <w:r>
        <w:rPr>
          <w:szCs w:val="20"/>
        </w:rPr>
        <w:t xml:space="preserve">, </w:t>
      </w:r>
      <w:proofErr w:type="spellStart"/>
      <w:r w:rsidRPr="0034605D">
        <w:rPr>
          <w:szCs w:val="20"/>
        </w:rPr>
        <w:t>Amihai</w:t>
      </w:r>
      <w:proofErr w:type="spellEnd"/>
      <w:r>
        <w:rPr>
          <w:szCs w:val="20"/>
        </w:rPr>
        <w:t xml:space="preserve"> and</w:t>
      </w:r>
      <w:r w:rsidRPr="0034605D">
        <w:rPr>
          <w:szCs w:val="20"/>
        </w:rPr>
        <w:t xml:space="preserve"> </w:t>
      </w:r>
      <w:proofErr w:type="spellStart"/>
      <w:r w:rsidRPr="0034605D">
        <w:rPr>
          <w:szCs w:val="20"/>
        </w:rPr>
        <w:t>Niskanen</w:t>
      </w:r>
      <w:proofErr w:type="spellEnd"/>
      <w:r>
        <w:rPr>
          <w:szCs w:val="20"/>
        </w:rPr>
        <w:t xml:space="preserve">, </w:t>
      </w:r>
      <w:r w:rsidRPr="0034605D">
        <w:rPr>
          <w:szCs w:val="20"/>
        </w:rPr>
        <w:t>Esko.</w:t>
      </w:r>
      <w:r>
        <w:rPr>
          <w:szCs w:val="20"/>
        </w:rPr>
        <w:t xml:space="preserve"> (</w:t>
      </w:r>
      <w:r w:rsidR="00002FFA">
        <w:rPr>
          <w:szCs w:val="20"/>
        </w:rPr>
        <w:t>1997) ‘</w:t>
      </w:r>
      <w:r w:rsidRPr="0034605D">
        <w:rPr>
          <w:szCs w:val="20"/>
        </w:rPr>
        <w:t>Why voters may prefer congested public clubs</w:t>
      </w:r>
      <w:r w:rsidR="00002FFA">
        <w:rPr>
          <w:szCs w:val="20"/>
        </w:rPr>
        <w:t>’</w:t>
      </w:r>
      <w:r>
        <w:rPr>
          <w:rFonts w:ascii="MS Gothic" w:eastAsia="MS Gothic" w:hAnsi="MS Gothic" w:cs="MS Gothic"/>
          <w:szCs w:val="20"/>
        </w:rPr>
        <w:t>,</w:t>
      </w:r>
      <w:r w:rsidR="00002FFA" w:rsidRPr="00002FFA">
        <w:t xml:space="preserve"> </w:t>
      </w:r>
      <w:r w:rsidR="00002FFA" w:rsidRPr="00002FFA">
        <w:rPr>
          <w:rFonts w:eastAsia="MS Gothic" w:cstheme="minorHAnsi"/>
          <w:i/>
          <w:szCs w:val="20"/>
        </w:rPr>
        <w:t>Journal of Public Economics</w:t>
      </w:r>
      <w:r w:rsidR="00002FFA">
        <w:rPr>
          <w:rFonts w:eastAsia="MS Gothic" w:cstheme="minorHAnsi"/>
          <w:szCs w:val="20"/>
        </w:rPr>
        <w:t xml:space="preserve">, Vol 65, No 1, pp. </w:t>
      </w:r>
      <w:r w:rsidR="00002FFA" w:rsidRPr="00002FFA">
        <w:rPr>
          <w:rFonts w:eastAsia="MS Gothic" w:cstheme="minorHAnsi"/>
          <w:szCs w:val="20"/>
        </w:rPr>
        <w:t>37-44</w:t>
      </w:r>
      <w:r w:rsidR="00002FFA">
        <w:rPr>
          <w:rFonts w:eastAsia="MS Gothic" w:cstheme="minorHAnsi"/>
          <w:szCs w:val="20"/>
        </w:rPr>
        <w:t>.</w:t>
      </w:r>
      <w:r>
        <w:rPr>
          <w:rFonts w:ascii="MS Gothic" w:eastAsia="MS Gothic" w:hAnsi="MS Gothic" w:cs="MS Gothic"/>
          <w:szCs w:val="20"/>
        </w:rPr>
        <w:t xml:space="preserve"> </w:t>
      </w:r>
      <w:hyperlink r:id="rId15" w:tgtFrame="_blank" w:tooltip="Persistent link using digital object identifier" w:history="1">
        <w:r w:rsidR="00002FFA" w:rsidRPr="00002FFA">
          <w:rPr>
            <w:rStyle w:val="Hyperlink"/>
            <w:rFonts w:cstheme="minorHAnsi"/>
            <w:color w:val="007398"/>
            <w:sz w:val="20"/>
            <w:szCs w:val="20"/>
          </w:rPr>
          <w:t>https://doi.org/10.1016/S0047-2727(97)00005-4</w:t>
        </w:r>
      </w:hyperlink>
      <w:r w:rsidR="00002FFA">
        <w:rPr>
          <w:rFonts w:cstheme="minorHAnsi"/>
        </w:rPr>
        <w:t xml:space="preserve"> </w:t>
      </w:r>
    </w:p>
    <w:p w:rsidR="00872B26" w:rsidRDefault="00872B26" w:rsidP="00872B26">
      <w:pPr>
        <w:rPr>
          <w:szCs w:val="20"/>
        </w:rPr>
      </w:pPr>
    </w:p>
    <w:p w:rsidR="00265AAE" w:rsidRDefault="00265AAE" w:rsidP="00872B26">
      <w:pPr>
        <w:rPr>
          <w:szCs w:val="20"/>
        </w:rPr>
      </w:pPr>
      <w:r>
        <w:rPr>
          <w:szCs w:val="20"/>
        </w:rPr>
        <w:t xml:space="preserve">Hart, Oliver, (1995) </w:t>
      </w:r>
      <w:r w:rsidRPr="00265AAE">
        <w:rPr>
          <w:i/>
          <w:szCs w:val="20"/>
        </w:rPr>
        <w:t>Firms, Contracts, and Financial Structure</w:t>
      </w:r>
      <w:r>
        <w:rPr>
          <w:i/>
          <w:szCs w:val="20"/>
        </w:rPr>
        <w:t xml:space="preserve"> </w:t>
      </w:r>
      <w:r>
        <w:rPr>
          <w:szCs w:val="20"/>
        </w:rPr>
        <w:t>(Oxford: Clarendon Press)&gt;</w:t>
      </w:r>
    </w:p>
    <w:p w:rsidR="00872B26" w:rsidRDefault="00872B26" w:rsidP="00872B26">
      <w:pPr>
        <w:ind w:left="-720"/>
        <w:rPr>
          <w:szCs w:val="20"/>
        </w:rPr>
      </w:pPr>
    </w:p>
    <w:p w:rsidR="000402FB" w:rsidRDefault="000402FB" w:rsidP="00872B26">
      <w:pPr>
        <w:rPr>
          <w:szCs w:val="20"/>
        </w:rPr>
      </w:pPr>
      <w:r>
        <w:rPr>
          <w:szCs w:val="20"/>
        </w:rPr>
        <w:t>Hood, Christopher.</w:t>
      </w:r>
      <w:r w:rsidR="00A818D4">
        <w:rPr>
          <w:szCs w:val="20"/>
        </w:rPr>
        <w:t xml:space="preserve"> </w:t>
      </w:r>
      <w:proofErr w:type="gramStart"/>
      <w:r w:rsidR="00A818D4">
        <w:rPr>
          <w:szCs w:val="20"/>
        </w:rPr>
        <w:t>( 1995</w:t>
      </w:r>
      <w:proofErr w:type="gramEnd"/>
      <w:r>
        <w:rPr>
          <w:szCs w:val="20"/>
        </w:rPr>
        <w:t>) ‘</w:t>
      </w:r>
      <w:r>
        <w:t xml:space="preserve">The “new public management” in the 1980s: variations on a theme’, </w:t>
      </w:r>
      <w:r w:rsidRPr="00A818D4">
        <w:rPr>
          <w:i/>
        </w:rPr>
        <w:t>Accounting, Organization and Society</w:t>
      </w:r>
      <w:r w:rsidR="00A818D4">
        <w:t>, Vol. 20, No. 2/</w:t>
      </w:r>
      <w:r w:rsidRPr="000402FB">
        <w:t>3, pp. 93-109,</w:t>
      </w:r>
    </w:p>
    <w:p w:rsidR="00872B26" w:rsidRDefault="00872B26" w:rsidP="00872B26">
      <w:pPr>
        <w:rPr>
          <w:szCs w:val="20"/>
        </w:rPr>
      </w:pPr>
    </w:p>
    <w:p w:rsidR="004835A6" w:rsidRDefault="004835A6" w:rsidP="00872B26">
      <w:pPr>
        <w:rPr>
          <w:szCs w:val="20"/>
        </w:rPr>
      </w:pPr>
      <w:r w:rsidRPr="0007759B">
        <w:rPr>
          <w:szCs w:val="20"/>
        </w:rPr>
        <w:t xml:space="preserve">Hood, Christopher and Ruth Dixon (2012), ‘A model of cost-cutting in government? The great management revolution in UK central government reconsidered’, </w:t>
      </w:r>
      <w:r w:rsidRPr="0007759B">
        <w:rPr>
          <w:i/>
          <w:iCs/>
          <w:szCs w:val="20"/>
        </w:rPr>
        <w:t>Public Administration</w:t>
      </w:r>
      <w:r w:rsidRPr="0007759B">
        <w:rPr>
          <w:szCs w:val="20"/>
        </w:rPr>
        <w:t>.</w:t>
      </w:r>
    </w:p>
    <w:p w:rsidR="00872B26" w:rsidRDefault="00872B26" w:rsidP="00872B26">
      <w:pPr>
        <w:rPr>
          <w:szCs w:val="20"/>
        </w:rPr>
      </w:pPr>
    </w:p>
    <w:p w:rsidR="004835A6" w:rsidRPr="00A818D4" w:rsidRDefault="004835A6" w:rsidP="00872B26">
      <w:r w:rsidRPr="0007759B">
        <w:rPr>
          <w:szCs w:val="20"/>
        </w:rPr>
        <w:t>Hood, Christopher and Ruth Dixon (201</w:t>
      </w:r>
      <w:r w:rsidR="00A818D4">
        <w:rPr>
          <w:szCs w:val="20"/>
        </w:rPr>
        <w:t>5</w:t>
      </w:r>
      <w:r w:rsidRPr="0007759B">
        <w:rPr>
          <w:szCs w:val="20"/>
        </w:rPr>
        <w:t>),</w:t>
      </w:r>
      <w:r w:rsidR="00A818D4">
        <w:rPr>
          <w:szCs w:val="20"/>
        </w:rPr>
        <w:t xml:space="preserve"> </w:t>
      </w:r>
      <w:r w:rsidR="00A818D4" w:rsidRPr="00A818D4">
        <w:rPr>
          <w:i/>
          <w:szCs w:val="20"/>
        </w:rPr>
        <w:t>A Government that Worked Better and Cost Less? Evaluating Three Decades of Reform and Change in UK Central Government</w:t>
      </w:r>
      <w:r w:rsidR="00A818D4">
        <w:rPr>
          <w:szCs w:val="20"/>
        </w:rPr>
        <w:t xml:space="preserve"> (Oxford: Oxford University Press).</w:t>
      </w:r>
    </w:p>
    <w:p w:rsidR="00872B26" w:rsidRDefault="00872B26" w:rsidP="00872B26">
      <w:pPr>
        <w:rPr>
          <w:szCs w:val="20"/>
        </w:rPr>
      </w:pPr>
    </w:p>
    <w:p w:rsidR="004835A6" w:rsidRDefault="004835A6" w:rsidP="00872B26">
      <w:pPr>
        <w:rPr>
          <w:szCs w:val="20"/>
        </w:rPr>
      </w:pPr>
      <w:r w:rsidRPr="0007759B">
        <w:rPr>
          <w:szCs w:val="20"/>
        </w:rPr>
        <w:t xml:space="preserve">Horn, Murray (1995), </w:t>
      </w:r>
      <w:r w:rsidRPr="0007759B">
        <w:rPr>
          <w:i/>
          <w:iCs/>
          <w:szCs w:val="20"/>
        </w:rPr>
        <w:t>The Political Economy of Public Administration</w:t>
      </w:r>
      <w:r w:rsidRPr="0007759B">
        <w:rPr>
          <w:szCs w:val="20"/>
        </w:rPr>
        <w:t>, Cambridge: Cambridge University Press.</w:t>
      </w:r>
    </w:p>
    <w:p w:rsidR="00872B26" w:rsidRDefault="00872B26" w:rsidP="00872B26">
      <w:pPr>
        <w:rPr>
          <w:szCs w:val="20"/>
        </w:rPr>
      </w:pPr>
    </w:p>
    <w:p w:rsidR="0021766C" w:rsidRDefault="0021766C" w:rsidP="00872B26">
      <w:pPr>
        <w:rPr>
          <w:szCs w:val="20"/>
        </w:rPr>
      </w:pPr>
      <w:r>
        <w:rPr>
          <w:szCs w:val="20"/>
        </w:rPr>
        <w:t xml:space="preserve">Huber, John D. and </w:t>
      </w:r>
      <w:r w:rsidRPr="0021766C">
        <w:rPr>
          <w:szCs w:val="20"/>
        </w:rPr>
        <w:t>McCarty</w:t>
      </w:r>
      <w:r>
        <w:rPr>
          <w:szCs w:val="20"/>
        </w:rPr>
        <w:t>, Nolan. (2004)</w:t>
      </w:r>
      <w:r w:rsidRPr="0021766C">
        <w:rPr>
          <w:szCs w:val="20"/>
        </w:rPr>
        <w:t xml:space="preserve"> </w:t>
      </w:r>
      <w:r>
        <w:rPr>
          <w:szCs w:val="20"/>
        </w:rPr>
        <w:t>‘</w:t>
      </w:r>
      <w:r w:rsidRPr="0021766C">
        <w:rPr>
          <w:szCs w:val="20"/>
        </w:rPr>
        <w:t>Bureaucratic Capacity, Delegation, and Political Reform</w:t>
      </w:r>
      <w:r>
        <w:rPr>
          <w:szCs w:val="20"/>
        </w:rPr>
        <w:t>’,</w:t>
      </w:r>
      <w:r w:rsidRPr="0021766C">
        <w:rPr>
          <w:szCs w:val="20"/>
        </w:rPr>
        <w:t xml:space="preserve"> </w:t>
      </w:r>
      <w:r w:rsidRPr="0021766C">
        <w:rPr>
          <w:i/>
          <w:szCs w:val="20"/>
        </w:rPr>
        <w:t>American Political Science Review</w:t>
      </w:r>
      <w:r w:rsidRPr="0021766C">
        <w:rPr>
          <w:szCs w:val="20"/>
        </w:rPr>
        <w:t>, Vol. 98, No. 3 pp. 481-494</w:t>
      </w:r>
      <w:r>
        <w:rPr>
          <w:szCs w:val="20"/>
        </w:rPr>
        <w:t>.</w:t>
      </w:r>
      <w:r w:rsidRPr="0021766C">
        <w:rPr>
          <w:szCs w:val="20"/>
        </w:rPr>
        <w:t xml:space="preserve"> Stable URL: </w:t>
      </w:r>
      <w:hyperlink r:id="rId16" w:history="1">
        <w:r w:rsidRPr="00592256">
          <w:rPr>
            <w:rStyle w:val="Hyperlink"/>
            <w:szCs w:val="20"/>
          </w:rPr>
          <w:t>http://www.jstor.org/stable/4145342</w:t>
        </w:r>
      </w:hyperlink>
      <w:r>
        <w:rPr>
          <w:szCs w:val="20"/>
        </w:rPr>
        <w:t xml:space="preserve"> </w:t>
      </w:r>
    </w:p>
    <w:p w:rsidR="00872B26" w:rsidRDefault="00872B26" w:rsidP="00872B26">
      <w:pPr>
        <w:rPr>
          <w:szCs w:val="20"/>
        </w:rPr>
      </w:pPr>
    </w:p>
    <w:p w:rsidR="00060113" w:rsidRDefault="00060113" w:rsidP="00872B26">
      <w:pPr>
        <w:rPr>
          <w:szCs w:val="20"/>
        </w:rPr>
      </w:pPr>
      <w:r>
        <w:rPr>
          <w:szCs w:val="20"/>
        </w:rPr>
        <w:t>James, Oliver. (</w:t>
      </w:r>
      <w:r w:rsidRPr="00060113">
        <w:rPr>
          <w:szCs w:val="20"/>
        </w:rPr>
        <w:t>1995) 'Explaining the Next Steps in the Department of</w:t>
      </w:r>
      <w:r>
        <w:rPr>
          <w:szCs w:val="20"/>
        </w:rPr>
        <w:t xml:space="preserve"> </w:t>
      </w:r>
      <w:r w:rsidRPr="00060113">
        <w:rPr>
          <w:szCs w:val="20"/>
        </w:rPr>
        <w:t xml:space="preserve">Social Security: The Bureau-shaping Model of Central State Organization', </w:t>
      </w:r>
      <w:r w:rsidRPr="00060113">
        <w:rPr>
          <w:i/>
          <w:szCs w:val="20"/>
        </w:rPr>
        <w:t>Political Studies</w:t>
      </w:r>
      <w:r w:rsidRPr="00060113">
        <w:rPr>
          <w:szCs w:val="20"/>
        </w:rPr>
        <w:t>, 43, 614-29</w:t>
      </w:r>
    </w:p>
    <w:p w:rsidR="00872B26" w:rsidRDefault="00872B26" w:rsidP="00872B26">
      <w:pPr>
        <w:rPr>
          <w:szCs w:val="20"/>
        </w:rPr>
      </w:pPr>
    </w:p>
    <w:p w:rsidR="00396F90" w:rsidRDefault="00396F90" w:rsidP="00872B26">
      <w:pPr>
        <w:rPr>
          <w:szCs w:val="20"/>
        </w:rPr>
      </w:pPr>
      <w:r>
        <w:rPr>
          <w:szCs w:val="20"/>
        </w:rPr>
        <w:t>James, Oliver.</w:t>
      </w:r>
      <w:r w:rsidR="00A818D4">
        <w:rPr>
          <w:szCs w:val="20"/>
        </w:rPr>
        <w:t xml:space="preserve"> (2003</w:t>
      </w:r>
      <w:r>
        <w:rPr>
          <w:szCs w:val="20"/>
        </w:rPr>
        <w:t>)</w:t>
      </w:r>
      <w:r w:rsidR="00A818D4">
        <w:rPr>
          <w:szCs w:val="20"/>
        </w:rPr>
        <w:t xml:space="preserve"> </w:t>
      </w:r>
      <w:r w:rsidR="00A818D4" w:rsidRPr="00A818D4">
        <w:rPr>
          <w:i/>
          <w:szCs w:val="20"/>
        </w:rPr>
        <w:t>The Executive Agency Revolution in Whitehall: Public Interest versus Bureau-Shaping Perspectives</w:t>
      </w:r>
      <w:r w:rsidR="00A818D4">
        <w:rPr>
          <w:szCs w:val="20"/>
        </w:rPr>
        <w:t xml:space="preserve"> (Basingstoke: Palgrave Macmillan).</w:t>
      </w:r>
    </w:p>
    <w:p w:rsidR="00872B26" w:rsidRDefault="00872B26" w:rsidP="00872B26">
      <w:pPr>
        <w:rPr>
          <w:szCs w:val="20"/>
        </w:rPr>
      </w:pPr>
    </w:p>
    <w:p w:rsidR="00A818D4" w:rsidRDefault="00A818D4" w:rsidP="00872B26">
      <w:pPr>
        <w:rPr>
          <w:szCs w:val="20"/>
        </w:rPr>
      </w:pPr>
      <w:proofErr w:type="spellStart"/>
      <w:r>
        <w:rPr>
          <w:szCs w:val="20"/>
        </w:rPr>
        <w:t>Kraan</w:t>
      </w:r>
      <w:proofErr w:type="spellEnd"/>
      <w:r>
        <w:rPr>
          <w:szCs w:val="20"/>
        </w:rPr>
        <w:t xml:space="preserve">, Dirk-Jan (1996) </w:t>
      </w:r>
      <w:r w:rsidRPr="00A818D4">
        <w:rPr>
          <w:i/>
          <w:szCs w:val="20"/>
        </w:rPr>
        <w:t>Budgetary Decisions: A Public Choice Approach</w:t>
      </w:r>
      <w:r>
        <w:rPr>
          <w:i/>
          <w:szCs w:val="20"/>
        </w:rPr>
        <w:t xml:space="preserve"> </w:t>
      </w:r>
      <w:r w:rsidRPr="00A818D4">
        <w:rPr>
          <w:szCs w:val="20"/>
        </w:rPr>
        <w:t>Cambridge</w:t>
      </w:r>
      <w:r>
        <w:rPr>
          <w:szCs w:val="20"/>
        </w:rPr>
        <w:t>: Cambridge</w:t>
      </w:r>
      <w:r w:rsidRPr="00A818D4">
        <w:rPr>
          <w:szCs w:val="20"/>
        </w:rPr>
        <w:t xml:space="preserve"> University Press</w:t>
      </w:r>
      <w:r>
        <w:rPr>
          <w:szCs w:val="20"/>
        </w:rPr>
        <w:t>.</w:t>
      </w:r>
    </w:p>
    <w:p w:rsidR="00872B26" w:rsidRDefault="00872B26" w:rsidP="00872B26">
      <w:pPr>
        <w:rPr>
          <w:szCs w:val="20"/>
        </w:rPr>
      </w:pPr>
    </w:p>
    <w:p w:rsidR="008B2DC1" w:rsidRDefault="004835A6" w:rsidP="00872B26">
      <w:pPr>
        <w:rPr>
          <w:szCs w:val="20"/>
        </w:rPr>
      </w:pPr>
      <w:r w:rsidRPr="0007759B">
        <w:rPr>
          <w:szCs w:val="20"/>
        </w:rPr>
        <w:t xml:space="preserve">LeGrand, Julian (2007), </w:t>
      </w:r>
      <w:r w:rsidRPr="0007759B">
        <w:rPr>
          <w:i/>
          <w:iCs/>
          <w:szCs w:val="20"/>
        </w:rPr>
        <w:t>The Other Invisible Hand: Delivering Public Services Through Choice and Competition</w:t>
      </w:r>
      <w:r w:rsidRPr="0007759B">
        <w:rPr>
          <w:szCs w:val="20"/>
        </w:rPr>
        <w:t>, Princeton, NJ: Princeton University Press.</w:t>
      </w:r>
      <w:r>
        <w:rPr>
          <w:szCs w:val="20"/>
        </w:rPr>
        <w:t xml:space="preserve"> </w:t>
      </w:r>
    </w:p>
    <w:p w:rsidR="00872B26" w:rsidRDefault="00872B26" w:rsidP="00872B26">
      <w:pPr>
        <w:rPr>
          <w:szCs w:val="20"/>
        </w:rPr>
      </w:pPr>
    </w:p>
    <w:p w:rsidR="00232F3B" w:rsidRPr="00232F3B" w:rsidRDefault="008B2DC1" w:rsidP="00872B26">
      <w:pPr>
        <w:rPr>
          <w:szCs w:val="20"/>
        </w:rPr>
      </w:pPr>
      <w:r w:rsidRPr="0007759B">
        <w:rPr>
          <w:szCs w:val="20"/>
        </w:rPr>
        <w:t>Margetts, Helen and Patrick Dunleavy (2012),</w:t>
      </w:r>
      <w:r>
        <w:rPr>
          <w:szCs w:val="20"/>
        </w:rPr>
        <w:t xml:space="preserve"> </w:t>
      </w:r>
      <w:r w:rsidR="00232F3B">
        <w:rPr>
          <w:szCs w:val="20"/>
        </w:rPr>
        <w:t>‘</w:t>
      </w:r>
      <w:r w:rsidR="00232F3B" w:rsidRPr="00232F3B">
        <w:rPr>
          <w:szCs w:val="20"/>
        </w:rPr>
        <w:t>The second wave of digital-era</w:t>
      </w:r>
      <w:r w:rsidR="00232F3B">
        <w:rPr>
          <w:szCs w:val="20"/>
        </w:rPr>
        <w:t xml:space="preserve"> governance: a quasi-</w:t>
      </w:r>
    </w:p>
    <w:p w:rsidR="008B2DC1" w:rsidRDefault="00232F3B" w:rsidP="00232F3B">
      <w:pPr>
        <w:rPr>
          <w:szCs w:val="20"/>
        </w:rPr>
      </w:pPr>
      <w:r w:rsidRPr="00232F3B">
        <w:rPr>
          <w:szCs w:val="20"/>
        </w:rPr>
        <w:t>-paradigm</w:t>
      </w:r>
      <w:r>
        <w:rPr>
          <w:szCs w:val="20"/>
        </w:rPr>
        <w:t xml:space="preserve"> </w:t>
      </w:r>
      <w:r w:rsidRPr="00232F3B">
        <w:rPr>
          <w:szCs w:val="20"/>
        </w:rPr>
        <w:t>for government on the Web</w:t>
      </w:r>
      <w:r>
        <w:rPr>
          <w:szCs w:val="20"/>
        </w:rPr>
        <w:t xml:space="preserve">’, </w:t>
      </w:r>
      <w:r w:rsidRPr="00232F3B">
        <w:rPr>
          <w:i/>
          <w:szCs w:val="20"/>
        </w:rPr>
        <w:t>Philosophical Transactions of the Royal Society: A</w:t>
      </w:r>
      <w:r>
        <w:rPr>
          <w:szCs w:val="20"/>
        </w:rPr>
        <w:t xml:space="preserve">, available at: </w:t>
      </w:r>
      <w:hyperlink r:id="rId17" w:history="1">
        <w:r w:rsidRPr="00592256">
          <w:rPr>
            <w:rStyle w:val="Hyperlink"/>
            <w:szCs w:val="20"/>
          </w:rPr>
          <w:t>http://dx.doi.org/10.1098/rsta.2012.0382</w:t>
        </w:r>
      </w:hyperlink>
      <w:r>
        <w:rPr>
          <w:szCs w:val="20"/>
        </w:rPr>
        <w:t xml:space="preserve"> </w:t>
      </w:r>
    </w:p>
    <w:p w:rsidR="00872B26" w:rsidRDefault="00872B26" w:rsidP="00872B26"/>
    <w:p w:rsidR="005C3E7F" w:rsidRDefault="005C3E7F" w:rsidP="00872B26">
      <w:pPr>
        <w:rPr>
          <w:szCs w:val="20"/>
        </w:rPr>
      </w:pPr>
      <w:r>
        <w:t xml:space="preserve">Marsh, David; Smith, M. J. and Richards, David. (2000) 'Bureaucrats, Politicians and Reform in Whitehall: Analysing the Bureau-Shaping Model', </w:t>
      </w:r>
      <w:r w:rsidRPr="005C3E7F">
        <w:rPr>
          <w:i/>
        </w:rPr>
        <w:t>British Journal of Political Science</w:t>
      </w:r>
      <w:r>
        <w:t>, 30 (2000), pp. 461-82.</w:t>
      </w:r>
    </w:p>
    <w:p w:rsidR="00872B26" w:rsidRDefault="00872B26" w:rsidP="00872B26">
      <w:pPr>
        <w:rPr>
          <w:szCs w:val="20"/>
        </w:rPr>
      </w:pPr>
    </w:p>
    <w:p w:rsidR="005F721E" w:rsidRDefault="005F721E" w:rsidP="00872B26">
      <w:pPr>
        <w:rPr>
          <w:szCs w:val="20"/>
        </w:rPr>
      </w:pPr>
      <w:r>
        <w:rPr>
          <w:szCs w:val="20"/>
        </w:rPr>
        <w:t>Moe, Terry M. (2012) ‘</w:t>
      </w:r>
      <w:r w:rsidRPr="005F721E">
        <w:rPr>
          <w:szCs w:val="20"/>
        </w:rPr>
        <w:t>Delegation, Control, and the Study of Public</w:t>
      </w:r>
      <w:r>
        <w:rPr>
          <w:szCs w:val="20"/>
        </w:rPr>
        <w:t xml:space="preserve"> </w:t>
      </w:r>
      <w:r w:rsidRPr="005F721E">
        <w:rPr>
          <w:szCs w:val="20"/>
        </w:rPr>
        <w:t>Bureaucracy</w:t>
      </w:r>
      <w:r>
        <w:rPr>
          <w:szCs w:val="20"/>
        </w:rPr>
        <w:t xml:space="preserve">’, </w:t>
      </w:r>
      <w:r w:rsidRPr="005F721E">
        <w:rPr>
          <w:i/>
          <w:szCs w:val="20"/>
        </w:rPr>
        <w:t>The Forum</w:t>
      </w:r>
      <w:r>
        <w:rPr>
          <w:szCs w:val="20"/>
        </w:rPr>
        <w:t>, Volume 10, Issue 2, Article 4.</w:t>
      </w:r>
    </w:p>
    <w:p w:rsidR="00872B26" w:rsidRDefault="00872B26" w:rsidP="00872B26">
      <w:pPr>
        <w:rPr>
          <w:szCs w:val="20"/>
        </w:rPr>
      </w:pPr>
    </w:p>
    <w:p w:rsidR="00396F90" w:rsidRDefault="008B2DC1" w:rsidP="00872B26">
      <w:pPr>
        <w:rPr>
          <w:szCs w:val="20"/>
        </w:rPr>
      </w:pPr>
      <w:r w:rsidRPr="0007759B">
        <w:rPr>
          <w:szCs w:val="20"/>
        </w:rPr>
        <w:lastRenderedPageBreak/>
        <w:t xml:space="preserve">Moore, Mark H. (1995), </w:t>
      </w:r>
      <w:r w:rsidRPr="0007759B">
        <w:rPr>
          <w:i/>
          <w:iCs/>
          <w:szCs w:val="20"/>
        </w:rPr>
        <w:t>Creating Public Value: Strategic Management in Government</w:t>
      </w:r>
      <w:r w:rsidRPr="0007759B">
        <w:rPr>
          <w:szCs w:val="20"/>
        </w:rPr>
        <w:t>, Cambridge, MA: Harvard University Press.</w:t>
      </w:r>
    </w:p>
    <w:p w:rsidR="00872B26" w:rsidRDefault="00872B26" w:rsidP="00872B26">
      <w:pPr>
        <w:rPr>
          <w:szCs w:val="20"/>
        </w:rPr>
      </w:pPr>
    </w:p>
    <w:p w:rsidR="00872B26" w:rsidRDefault="00396F90" w:rsidP="00872B26">
      <w:pPr>
        <w:rPr>
          <w:szCs w:val="20"/>
        </w:rPr>
      </w:pPr>
      <w:proofErr w:type="spellStart"/>
      <w:r w:rsidRPr="0007759B">
        <w:rPr>
          <w:szCs w:val="20"/>
        </w:rPr>
        <w:t>Niskanen</w:t>
      </w:r>
      <w:proofErr w:type="spellEnd"/>
      <w:r w:rsidRPr="0007759B">
        <w:rPr>
          <w:szCs w:val="20"/>
        </w:rPr>
        <w:t xml:space="preserve">, William ([1971] 1995), </w:t>
      </w:r>
      <w:r w:rsidRPr="0007759B">
        <w:rPr>
          <w:i/>
          <w:iCs/>
          <w:szCs w:val="20"/>
        </w:rPr>
        <w:t>Bureaucracy and Public Economics</w:t>
      </w:r>
      <w:r w:rsidRPr="0007759B">
        <w:rPr>
          <w:szCs w:val="20"/>
        </w:rPr>
        <w:t xml:space="preserve"> (originally published as </w:t>
      </w:r>
      <w:r w:rsidRPr="0007759B">
        <w:rPr>
          <w:i/>
          <w:szCs w:val="20"/>
        </w:rPr>
        <w:t>Bureaucracy and Representative Government</w:t>
      </w:r>
      <w:r w:rsidR="00483F69">
        <w:rPr>
          <w:szCs w:val="20"/>
        </w:rPr>
        <w:t>), Ald</w:t>
      </w:r>
      <w:r w:rsidRPr="0007759B">
        <w:rPr>
          <w:szCs w:val="20"/>
        </w:rPr>
        <w:t>ershot, UK and Brookfield, VT: Edward Elgar.</w:t>
      </w:r>
      <w:r>
        <w:rPr>
          <w:szCs w:val="20"/>
        </w:rPr>
        <w:t xml:space="preserve"> </w:t>
      </w:r>
    </w:p>
    <w:p w:rsidR="00872B26" w:rsidRDefault="00872B26" w:rsidP="00872B26">
      <w:pPr>
        <w:rPr>
          <w:szCs w:val="20"/>
        </w:rPr>
      </w:pPr>
    </w:p>
    <w:p w:rsidR="00483F69" w:rsidRPr="00872B26" w:rsidRDefault="00483F69" w:rsidP="00872B26">
      <w:pPr>
        <w:rPr>
          <w:szCs w:val="20"/>
        </w:rPr>
      </w:pPr>
      <w:proofErr w:type="spellStart"/>
      <w:r w:rsidRPr="0007759B">
        <w:rPr>
          <w:szCs w:val="20"/>
        </w:rPr>
        <w:t>Niskanen</w:t>
      </w:r>
      <w:proofErr w:type="spellEnd"/>
      <w:r w:rsidRPr="0007759B">
        <w:rPr>
          <w:szCs w:val="20"/>
        </w:rPr>
        <w:t xml:space="preserve">, William </w:t>
      </w:r>
      <w:r>
        <w:rPr>
          <w:szCs w:val="20"/>
        </w:rPr>
        <w:t>(</w:t>
      </w:r>
      <w:r w:rsidRPr="00483F69">
        <w:t>1975</w:t>
      </w:r>
      <w:r>
        <w:t>)</w:t>
      </w:r>
      <w:r w:rsidRPr="00483F69">
        <w:t xml:space="preserve">. </w:t>
      </w:r>
      <w:r>
        <w:t>‘</w:t>
      </w:r>
      <w:r w:rsidRPr="00483F69">
        <w:t>Bureaucrats and Politicians</w:t>
      </w:r>
      <w:r>
        <w:t>’</w:t>
      </w:r>
      <w:r w:rsidRPr="00483F69">
        <w:t xml:space="preserve">. </w:t>
      </w:r>
      <w:r w:rsidRPr="00483F69">
        <w:rPr>
          <w:i/>
        </w:rPr>
        <w:t xml:space="preserve">Journal of Law and </w:t>
      </w:r>
      <w:proofErr w:type="gramStart"/>
      <w:r w:rsidRPr="00483F69">
        <w:rPr>
          <w:i/>
        </w:rPr>
        <w:t>Economics</w:t>
      </w:r>
      <w:r w:rsidRPr="00483F69">
        <w:t xml:space="preserve"> ,</w:t>
      </w:r>
      <w:proofErr w:type="gramEnd"/>
      <w:r w:rsidRPr="00483F69">
        <w:t xml:space="preserve"> 18/3: 617–44.</w:t>
      </w:r>
    </w:p>
    <w:p w:rsidR="00872B26" w:rsidRDefault="00872B26" w:rsidP="00872B26"/>
    <w:p w:rsidR="00396F90" w:rsidRDefault="00232F3B" w:rsidP="00872B26">
      <w:pPr>
        <w:rPr>
          <w:szCs w:val="20"/>
        </w:rPr>
      </w:pPr>
      <w:r>
        <w:t>Pollitt C</w:t>
      </w:r>
      <w:r w:rsidR="000402FB">
        <w:t>hristopher</w:t>
      </w:r>
      <w:r>
        <w:t xml:space="preserve">. (2011) Technological change: a central yet neglected feature of public administration. </w:t>
      </w:r>
      <w:proofErr w:type="spellStart"/>
      <w:r>
        <w:t>NISPAcee</w:t>
      </w:r>
      <w:proofErr w:type="spellEnd"/>
      <w:r>
        <w:t xml:space="preserve"> </w:t>
      </w:r>
      <w:r w:rsidRPr="00232F3B">
        <w:rPr>
          <w:i/>
        </w:rPr>
        <w:t>Journal of</w:t>
      </w:r>
      <w:r>
        <w:t xml:space="preserve"> </w:t>
      </w:r>
      <w:r w:rsidRPr="00232F3B">
        <w:rPr>
          <w:i/>
        </w:rPr>
        <w:t>Public Administration and Policy</w:t>
      </w:r>
      <w:r>
        <w:t xml:space="preserve"> 3, 31–53. (doi:10.2478/v10110-010-0003-z)</w:t>
      </w:r>
    </w:p>
    <w:p w:rsidR="00872B26" w:rsidRDefault="00872B26" w:rsidP="00872B26">
      <w:pPr>
        <w:rPr>
          <w:szCs w:val="20"/>
        </w:rPr>
      </w:pPr>
    </w:p>
    <w:p w:rsidR="00396F90" w:rsidRDefault="00396F90" w:rsidP="00872B26">
      <w:pPr>
        <w:rPr>
          <w:szCs w:val="20"/>
        </w:rPr>
      </w:pPr>
      <w:r w:rsidRPr="0007759B">
        <w:rPr>
          <w:szCs w:val="20"/>
        </w:rPr>
        <w:t xml:space="preserve">Pollitt, Christopher, Colin Talbot, Janice Caulfield and Amanda </w:t>
      </w:r>
      <w:proofErr w:type="spellStart"/>
      <w:r w:rsidRPr="0007759B">
        <w:rPr>
          <w:szCs w:val="20"/>
        </w:rPr>
        <w:t>Smullen</w:t>
      </w:r>
      <w:proofErr w:type="spellEnd"/>
      <w:r w:rsidRPr="0007759B">
        <w:rPr>
          <w:szCs w:val="20"/>
        </w:rPr>
        <w:t xml:space="preserve"> (2004), </w:t>
      </w:r>
      <w:r w:rsidRPr="0007759B">
        <w:rPr>
          <w:i/>
          <w:iCs/>
          <w:szCs w:val="20"/>
        </w:rPr>
        <w:t>Agencies: How Governments Do Things Through Semi-</w:t>
      </w:r>
      <w:proofErr w:type="gramStart"/>
      <w:r w:rsidRPr="0007759B">
        <w:rPr>
          <w:i/>
          <w:iCs/>
          <w:szCs w:val="20"/>
        </w:rPr>
        <w:t>autonomous</w:t>
      </w:r>
      <w:proofErr w:type="gramEnd"/>
      <w:r w:rsidRPr="0007759B">
        <w:rPr>
          <w:i/>
          <w:iCs/>
          <w:szCs w:val="20"/>
        </w:rPr>
        <w:t xml:space="preserve"> Organizations</w:t>
      </w:r>
      <w:r w:rsidRPr="0007759B">
        <w:rPr>
          <w:iCs/>
          <w:szCs w:val="20"/>
        </w:rPr>
        <w:t>,</w:t>
      </w:r>
      <w:r w:rsidRPr="0007759B">
        <w:rPr>
          <w:szCs w:val="20"/>
        </w:rPr>
        <w:t xml:space="preserve"> Basingstoke: Palgrave.</w:t>
      </w:r>
    </w:p>
    <w:p w:rsidR="00872B26" w:rsidRDefault="00872B26" w:rsidP="00872B26"/>
    <w:p w:rsidR="00265AAE" w:rsidRDefault="00265AAE" w:rsidP="00872B26">
      <w:pPr>
        <w:rPr>
          <w:szCs w:val="20"/>
        </w:rPr>
      </w:pPr>
      <w:r>
        <w:t>Prendergast</w:t>
      </w:r>
      <w:r w:rsidR="0021766C">
        <w:t>, Canice.</w:t>
      </w:r>
      <w:r>
        <w:t xml:space="preserve"> (2007)</w:t>
      </w:r>
      <w:r w:rsidR="0021766C">
        <w:t xml:space="preserve"> ‘</w:t>
      </w:r>
      <w:r w:rsidR="0021766C" w:rsidRPr="0021766C">
        <w:t>The Motivation and Bias of Bureaucrats</w:t>
      </w:r>
      <w:r w:rsidR="0021766C">
        <w:t xml:space="preserve">’, </w:t>
      </w:r>
      <w:r w:rsidR="0021766C" w:rsidRPr="0021766C">
        <w:rPr>
          <w:i/>
        </w:rPr>
        <w:t>American Economic Review</w:t>
      </w:r>
      <w:r w:rsidR="0021766C" w:rsidRPr="0021766C">
        <w:t>, Vol. 97, No. 1 pp. 180-196</w:t>
      </w:r>
      <w:r w:rsidR="0021766C">
        <w:t xml:space="preserve">. </w:t>
      </w:r>
      <w:r w:rsidR="0021766C" w:rsidRPr="0021766C">
        <w:t xml:space="preserve">Stable URL: </w:t>
      </w:r>
      <w:hyperlink r:id="rId18" w:history="1">
        <w:r w:rsidR="0021766C" w:rsidRPr="00592256">
          <w:rPr>
            <w:rStyle w:val="Hyperlink"/>
          </w:rPr>
          <w:t>http://www.jstor.org/stable/30034390</w:t>
        </w:r>
      </w:hyperlink>
      <w:r w:rsidR="0021766C">
        <w:t xml:space="preserve"> </w:t>
      </w:r>
    </w:p>
    <w:p w:rsidR="00872B26" w:rsidRDefault="00872B26" w:rsidP="00872B26">
      <w:pPr>
        <w:rPr>
          <w:szCs w:val="20"/>
        </w:rPr>
      </w:pPr>
    </w:p>
    <w:p w:rsidR="00A818D4" w:rsidRPr="00A818D4" w:rsidRDefault="00A818D4" w:rsidP="00872B26">
      <w:pPr>
        <w:rPr>
          <w:szCs w:val="20"/>
        </w:rPr>
      </w:pPr>
      <w:r>
        <w:rPr>
          <w:szCs w:val="20"/>
        </w:rPr>
        <w:t xml:space="preserve">Pusey, Michael. (2003) </w:t>
      </w:r>
      <w:r w:rsidRPr="00A818D4">
        <w:rPr>
          <w:i/>
          <w:szCs w:val="20"/>
        </w:rPr>
        <w:t>Economic Rationalism in Canberra: A Nation-Building State Changes Its Mind</w:t>
      </w:r>
    </w:p>
    <w:p w:rsidR="00A818D4" w:rsidRDefault="00A818D4" w:rsidP="0034605D">
      <w:pPr>
        <w:rPr>
          <w:szCs w:val="20"/>
        </w:rPr>
      </w:pPr>
      <w:r w:rsidRPr="00A818D4">
        <w:rPr>
          <w:szCs w:val="20"/>
        </w:rPr>
        <w:t>Cambridge</w:t>
      </w:r>
      <w:r w:rsidR="0034605D">
        <w:rPr>
          <w:szCs w:val="20"/>
        </w:rPr>
        <w:t>: Cambridge University Press.</w:t>
      </w:r>
    </w:p>
    <w:p w:rsidR="00872B26" w:rsidRDefault="00872B26" w:rsidP="00872B26">
      <w:pPr>
        <w:rPr>
          <w:szCs w:val="20"/>
        </w:rPr>
      </w:pPr>
    </w:p>
    <w:p w:rsidR="00872B26" w:rsidRDefault="00396F90" w:rsidP="00872B26">
      <w:pPr>
        <w:rPr>
          <w:szCs w:val="20"/>
        </w:rPr>
      </w:pPr>
      <w:r w:rsidRPr="0007759B">
        <w:rPr>
          <w:szCs w:val="20"/>
        </w:rPr>
        <w:t xml:space="preserve">Silberman, Bernard S. (1993), </w:t>
      </w:r>
      <w:r w:rsidRPr="0007759B">
        <w:rPr>
          <w:i/>
          <w:iCs/>
          <w:szCs w:val="20"/>
        </w:rPr>
        <w:t>Cages of Reason: The Rise of the Rational State in France, Japan, the United States, and Great Britain</w:t>
      </w:r>
      <w:r w:rsidRPr="0007759B">
        <w:rPr>
          <w:iCs/>
          <w:szCs w:val="20"/>
        </w:rPr>
        <w:t xml:space="preserve">, </w:t>
      </w:r>
      <w:r w:rsidRPr="0007759B">
        <w:rPr>
          <w:szCs w:val="20"/>
        </w:rPr>
        <w:t>Chicago: University of Chicago Press.</w:t>
      </w:r>
      <w:r>
        <w:rPr>
          <w:szCs w:val="20"/>
        </w:rPr>
        <w:t xml:space="preserve"> </w:t>
      </w:r>
    </w:p>
    <w:p w:rsidR="00872B26" w:rsidRDefault="00872B26" w:rsidP="00872B26">
      <w:pPr>
        <w:rPr>
          <w:szCs w:val="20"/>
        </w:rPr>
      </w:pPr>
    </w:p>
    <w:p w:rsidR="00396F90" w:rsidRDefault="00396F90" w:rsidP="00872B26">
      <w:pPr>
        <w:rPr>
          <w:szCs w:val="20"/>
        </w:rPr>
      </w:pPr>
      <w:proofErr w:type="spellStart"/>
      <w:r w:rsidRPr="0007759B">
        <w:rPr>
          <w:szCs w:val="20"/>
        </w:rPr>
        <w:t>Tiebout</w:t>
      </w:r>
      <w:proofErr w:type="spellEnd"/>
      <w:r w:rsidRPr="0007759B">
        <w:rPr>
          <w:szCs w:val="20"/>
        </w:rPr>
        <w:t xml:space="preserve">, Charles (1956), ‘A pure theory of local expenditures’, </w:t>
      </w:r>
      <w:r w:rsidRPr="0007759B">
        <w:rPr>
          <w:i/>
          <w:iCs/>
          <w:szCs w:val="20"/>
        </w:rPr>
        <w:t>Journal of Political Economy</w:t>
      </w:r>
      <w:r w:rsidRPr="0007759B">
        <w:rPr>
          <w:szCs w:val="20"/>
        </w:rPr>
        <w:t xml:space="preserve">, </w:t>
      </w:r>
      <w:r w:rsidRPr="00396F90">
        <w:rPr>
          <w:szCs w:val="20"/>
        </w:rPr>
        <w:t>64</w:t>
      </w:r>
      <w:r>
        <w:rPr>
          <w:szCs w:val="20"/>
        </w:rPr>
        <w:t xml:space="preserve"> </w:t>
      </w:r>
      <w:r w:rsidRPr="0007759B">
        <w:rPr>
          <w:szCs w:val="20"/>
        </w:rPr>
        <w:t>(5), 416–24.</w:t>
      </w:r>
    </w:p>
    <w:p w:rsidR="00872B26" w:rsidRDefault="00872B26" w:rsidP="00872B26">
      <w:pPr>
        <w:rPr>
          <w:szCs w:val="20"/>
        </w:rPr>
      </w:pPr>
    </w:p>
    <w:p w:rsidR="00002FFA" w:rsidRPr="0007759B" w:rsidRDefault="00002FFA" w:rsidP="00872B26">
      <w:pPr>
        <w:rPr>
          <w:szCs w:val="20"/>
        </w:rPr>
      </w:pPr>
      <w:r>
        <w:rPr>
          <w:szCs w:val="20"/>
        </w:rPr>
        <w:t>Williamson, Oliver</w:t>
      </w:r>
      <w:r w:rsidR="00265AAE">
        <w:rPr>
          <w:szCs w:val="20"/>
        </w:rPr>
        <w:t xml:space="preserve"> E. (1985)</w:t>
      </w:r>
      <w:r w:rsidRPr="00002FFA">
        <w:t xml:space="preserve"> </w:t>
      </w:r>
      <w:r>
        <w:rPr>
          <w:i/>
          <w:szCs w:val="20"/>
        </w:rPr>
        <w:t>The Economic In</w:t>
      </w:r>
      <w:r w:rsidRPr="00002FFA">
        <w:rPr>
          <w:i/>
          <w:szCs w:val="20"/>
        </w:rPr>
        <w:t>stitutions of Capitalism</w:t>
      </w:r>
      <w:r>
        <w:rPr>
          <w:szCs w:val="20"/>
        </w:rPr>
        <w:t xml:space="preserve"> (New York: </w:t>
      </w:r>
      <w:r w:rsidRPr="00002FFA">
        <w:rPr>
          <w:szCs w:val="20"/>
        </w:rPr>
        <w:t>Simon and Schuster</w:t>
      </w:r>
      <w:r>
        <w:rPr>
          <w:szCs w:val="20"/>
        </w:rPr>
        <w:t xml:space="preserve">). </w:t>
      </w:r>
    </w:p>
    <w:p w:rsidR="00872B26" w:rsidRDefault="00872B26" w:rsidP="00872B26">
      <w:pPr>
        <w:rPr>
          <w:szCs w:val="20"/>
        </w:rPr>
      </w:pPr>
    </w:p>
    <w:p w:rsidR="00396F90" w:rsidRPr="0007759B" w:rsidRDefault="00265AAE" w:rsidP="00872B26">
      <w:pPr>
        <w:rPr>
          <w:szCs w:val="20"/>
        </w:rPr>
      </w:pPr>
      <w:r>
        <w:rPr>
          <w:szCs w:val="20"/>
        </w:rPr>
        <w:t xml:space="preserve">Williamson, Oliver E. (1999) </w:t>
      </w:r>
      <w:r w:rsidRPr="00265AAE">
        <w:rPr>
          <w:i/>
          <w:szCs w:val="20"/>
        </w:rPr>
        <w:t>The Mechanisms of Governance</w:t>
      </w:r>
      <w:r>
        <w:rPr>
          <w:szCs w:val="20"/>
        </w:rPr>
        <w:t xml:space="preserve"> (New York: Oxford University Press).</w:t>
      </w:r>
    </w:p>
    <w:p w:rsidR="00396F90" w:rsidRPr="0007759B" w:rsidRDefault="00396F90" w:rsidP="00396F90">
      <w:pPr>
        <w:ind w:hanging="720"/>
        <w:rPr>
          <w:szCs w:val="20"/>
        </w:rPr>
      </w:pPr>
    </w:p>
    <w:p w:rsidR="00396F90" w:rsidRPr="0007759B" w:rsidRDefault="00396F90" w:rsidP="00396F90">
      <w:pPr>
        <w:ind w:hanging="720"/>
        <w:rPr>
          <w:szCs w:val="20"/>
        </w:rPr>
      </w:pPr>
    </w:p>
    <w:p w:rsidR="004835A6" w:rsidRPr="0007759B" w:rsidRDefault="004835A6" w:rsidP="004835A6">
      <w:pPr>
        <w:ind w:hanging="720"/>
        <w:rPr>
          <w:szCs w:val="20"/>
        </w:rPr>
      </w:pPr>
    </w:p>
    <w:p w:rsidR="004835A6" w:rsidRPr="004835A6" w:rsidRDefault="004835A6" w:rsidP="004835A6">
      <w:pPr>
        <w:ind w:hanging="720"/>
      </w:pPr>
    </w:p>
    <w:p w:rsidR="004835A6" w:rsidRDefault="004835A6" w:rsidP="004835A6">
      <w:pPr>
        <w:ind w:hanging="720"/>
      </w:pPr>
    </w:p>
    <w:p w:rsidR="004835A6" w:rsidRDefault="004835A6" w:rsidP="004835A6">
      <w:pPr>
        <w:ind w:hanging="720"/>
      </w:pPr>
    </w:p>
    <w:p w:rsidR="004835A6" w:rsidRDefault="004835A6" w:rsidP="004835A6">
      <w:pPr>
        <w:ind w:hanging="720"/>
      </w:pPr>
    </w:p>
    <w:p w:rsidR="004835A6" w:rsidRDefault="004835A6" w:rsidP="004835A6">
      <w:pPr>
        <w:ind w:hanging="720"/>
      </w:pPr>
    </w:p>
    <w:p w:rsidR="004835A6" w:rsidRPr="004835A6" w:rsidRDefault="004835A6" w:rsidP="004835A6">
      <w:pPr>
        <w:ind w:hanging="720"/>
      </w:pPr>
    </w:p>
    <w:p w:rsidR="004835A6" w:rsidRDefault="004835A6"/>
    <w:p w:rsidR="00C424ED" w:rsidRDefault="00C424ED"/>
    <w:p w:rsidR="00C424ED" w:rsidRDefault="00C424ED"/>
    <w:p w:rsidR="00C424ED" w:rsidRDefault="00C424ED"/>
    <w:sectPr w:rsidR="00C424ED">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9FD" w:rsidRDefault="003469FD" w:rsidP="006F451C">
      <w:r>
        <w:separator/>
      </w:r>
    </w:p>
  </w:endnote>
  <w:endnote w:type="continuationSeparator" w:id="0">
    <w:p w:rsidR="003469FD" w:rsidRDefault="003469FD" w:rsidP="006F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723384"/>
      <w:docPartObj>
        <w:docPartGallery w:val="Page Numbers (Bottom of Page)"/>
        <w:docPartUnique/>
      </w:docPartObj>
    </w:sdtPr>
    <w:sdtEndPr>
      <w:rPr>
        <w:noProof/>
      </w:rPr>
    </w:sdtEndPr>
    <w:sdtContent>
      <w:p w:rsidR="003469FD" w:rsidRDefault="003469FD">
        <w:pPr>
          <w:pStyle w:val="Footer"/>
          <w:jc w:val="center"/>
        </w:pPr>
        <w:r>
          <w:fldChar w:fldCharType="begin"/>
        </w:r>
        <w:r>
          <w:instrText xml:space="preserve"> PAGE   \* MERGEFORMAT </w:instrText>
        </w:r>
        <w:r>
          <w:fldChar w:fldCharType="separate"/>
        </w:r>
        <w:r w:rsidR="002972E4">
          <w:rPr>
            <w:noProof/>
          </w:rPr>
          <w:t>1</w:t>
        </w:r>
        <w:r>
          <w:rPr>
            <w:noProof/>
          </w:rPr>
          <w:fldChar w:fldCharType="end"/>
        </w:r>
      </w:p>
    </w:sdtContent>
  </w:sdt>
  <w:p w:rsidR="003469FD" w:rsidRDefault="00346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9FD" w:rsidRDefault="003469FD" w:rsidP="006F451C">
      <w:r>
        <w:separator/>
      </w:r>
    </w:p>
  </w:footnote>
  <w:footnote w:type="continuationSeparator" w:id="0">
    <w:p w:rsidR="003469FD" w:rsidRDefault="003469FD" w:rsidP="006F4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014D1"/>
    <w:multiLevelType w:val="hybridMultilevel"/>
    <w:tmpl w:val="90105AC8"/>
    <w:lvl w:ilvl="0" w:tplc="E040782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07326B"/>
    <w:multiLevelType w:val="hybridMultilevel"/>
    <w:tmpl w:val="1DE65A70"/>
    <w:lvl w:ilvl="0" w:tplc="F6EC5354">
      <w:start w:val="7"/>
      <w:numFmt w:val="bullet"/>
      <w:lvlText w:val="-"/>
      <w:lvlJc w:val="left"/>
      <w:pPr>
        <w:ind w:left="927" w:hanging="360"/>
      </w:pPr>
      <w:rPr>
        <w:rFonts w:ascii="Calibri" w:eastAsiaTheme="minorHAnsi" w:hAnsi="Calibri"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75FA4633"/>
    <w:multiLevelType w:val="hybridMultilevel"/>
    <w:tmpl w:val="24D08332"/>
    <w:lvl w:ilvl="0" w:tplc="DD7EAA56">
      <w:start w:val="1"/>
      <w:numFmt w:val="lowerRoman"/>
      <w:lvlText w:val="(%1)"/>
      <w:lvlJc w:val="left"/>
      <w:pPr>
        <w:ind w:left="1668" w:hanging="948"/>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D26720B"/>
    <w:multiLevelType w:val="hybridMultilevel"/>
    <w:tmpl w:val="DDEEB3CE"/>
    <w:lvl w:ilvl="0" w:tplc="8B20D632">
      <w:start w:val="5"/>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7C3"/>
    <w:rsid w:val="00002FFA"/>
    <w:rsid w:val="00036ACC"/>
    <w:rsid w:val="000402FB"/>
    <w:rsid w:val="00060113"/>
    <w:rsid w:val="000F1660"/>
    <w:rsid w:val="000F5200"/>
    <w:rsid w:val="00120D05"/>
    <w:rsid w:val="00140578"/>
    <w:rsid w:val="0014315B"/>
    <w:rsid w:val="001910DF"/>
    <w:rsid w:val="001A133E"/>
    <w:rsid w:val="001C54B0"/>
    <w:rsid w:val="001F58D5"/>
    <w:rsid w:val="0021766C"/>
    <w:rsid w:val="00232F3B"/>
    <w:rsid w:val="00244CAB"/>
    <w:rsid w:val="00247F6B"/>
    <w:rsid w:val="002519D3"/>
    <w:rsid w:val="00265AAE"/>
    <w:rsid w:val="002972E4"/>
    <w:rsid w:val="002B219B"/>
    <w:rsid w:val="002B2451"/>
    <w:rsid w:val="002B2A59"/>
    <w:rsid w:val="002C7FD1"/>
    <w:rsid w:val="002D0860"/>
    <w:rsid w:val="002E56CE"/>
    <w:rsid w:val="002F75FC"/>
    <w:rsid w:val="0034605D"/>
    <w:rsid w:val="003469FD"/>
    <w:rsid w:val="00396F90"/>
    <w:rsid w:val="003A0063"/>
    <w:rsid w:val="003E2F14"/>
    <w:rsid w:val="00433532"/>
    <w:rsid w:val="004835A6"/>
    <w:rsid w:val="00483F69"/>
    <w:rsid w:val="00494486"/>
    <w:rsid w:val="00496FEB"/>
    <w:rsid w:val="004B6FE4"/>
    <w:rsid w:val="00554B4E"/>
    <w:rsid w:val="00565013"/>
    <w:rsid w:val="005708A1"/>
    <w:rsid w:val="005909F5"/>
    <w:rsid w:val="005C3E7F"/>
    <w:rsid w:val="005F721E"/>
    <w:rsid w:val="00624C41"/>
    <w:rsid w:val="00666222"/>
    <w:rsid w:val="00674CB0"/>
    <w:rsid w:val="006C2F78"/>
    <w:rsid w:val="006D0832"/>
    <w:rsid w:val="006F451C"/>
    <w:rsid w:val="00704165"/>
    <w:rsid w:val="007139EB"/>
    <w:rsid w:val="0076702F"/>
    <w:rsid w:val="00794E24"/>
    <w:rsid w:val="007C61D6"/>
    <w:rsid w:val="007E15D6"/>
    <w:rsid w:val="00824F3C"/>
    <w:rsid w:val="0084677C"/>
    <w:rsid w:val="008567C3"/>
    <w:rsid w:val="00872B26"/>
    <w:rsid w:val="008A7800"/>
    <w:rsid w:val="008B2DC1"/>
    <w:rsid w:val="008D572E"/>
    <w:rsid w:val="00920345"/>
    <w:rsid w:val="0095594E"/>
    <w:rsid w:val="009812D5"/>
    <w:rsid w:val="009F40DD"/>
    <w:rsid w:val="00A11439"/>
    <w:rsid w:val="00A43FEE"/>
    <w:rsid w:val="00A818D4"/>
    <w:rsid w:val="00A84FBC"/>
    <w:rsid w:val="00A8551A"/>
    <w:rsid w:val="00AA6D31"/>
    <w:rsid w:val="00AB1E57"/>
    <w:rsid w:val="00AF7EA9"/>
    <w:rsid w:val="00B54911"/>
    <w:rsid w:val="00C424ED"/>
    <w:rsid w:val="00C43505"/>
    <w:rsid w:val="00C55BF2"/>
    <w:rsid w:val="00C56453"/>
    <w:rsid w:val="00C75C77"/>
    <w:rsid w:val="00C87CB6"/>
    <w:rsid w:val="00CA53F6"/>
    <w:rsid w:val="00CB24BD"/>
    <w:rsid w:val="00CB70DC"/>
    <w:rsid w:val="00CE78C5"/>
    <w:rsid w:val="00D16C1B"/>
    <w:rsid w:val="00D64C29"/>
    <w:rsid w:val="00D6584E"/>
    <w:rsid w:val="00D72968"/>
    <w:rsid w:val="00D72DFF"/>
    <w:rsid w:val="00DB0457"/>
    <w:rsid w:val="00DB32E7"/>
    <w:rsid w:val="00E514D0"/>
    <w:rsid w:val="00E74A0C"/>
    <w:rsid w:val="00E758C6"/>
    <w:rsid w:val="00E80C8C"/>
    <w:rsid w:val="00EB24CC"/>
    <w:rsid w:val="00EC3661"/>
    <w:rsid w:val="00F06462"/>
    <w:rsid w:val="00F12731"/>
    <w:rsid w:val="00F176D8"/>
    <w:rsid w:val="00F55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2591F"/>
  <w15:docId w15:val="{3EABBBE9-871A-4E1E-A398-2D33022E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67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3661"/>
    <w:pPr>
      <w:ind w:left="720"/>
      <w:contextualSpacing/>
    </w:pPr>
  </w:style>
  <w:style w:type="paragraph" w:styleId="Header">
    <w:name w:val="header"/>
    <w:basedOn w:val="Normal"/>
    <w:link w:val="HeaderChar"/>
    <w:uiPriority w:val="99"/>
    <w:unhideWhenUsed/>
    <w:rsid w:val="006F451C"/>
    <w:pPr>
      <w:tabs>
        <w:tab w:val="center" w:pos="4513"/>
        <w:tab w:val="right" w:pos="9026"/>
      </w:tabs>
    </w:pPr>
  </w:style>
  <w:style w:type="character" w:customStyle="1" w:styleId="HeaderChar">
    <w:name w:val="Header Char"/>
    <w:basedOn w:val="DefaultParagraphFont"/>
    <w:link w:val="Header"/>
    <w:uiPriority w:val="99"/>
    <w:rsid w:val="006F451C"/>
  </w:style>
  <w:style w:type="paragraph" w:styleId="Footer">
    <w:name w:val="footer"/>
    <w:basedOn w:val="Normal"/>
    <w:link w:val="FooterChar"/>
    <w:uiPriority w:val="99"/>
    <w:unhideWhenUsed/>
    <w:rsid w:val="006F451C"/>
    <w:pPr>
      <w:tabs>
        <w:tab w:val="center" w:pos="4513"/>
        <w:tab w:val="right" w:pos="9026"/>
      </w:tabs>
    </w:pPr>
  </w:style>
  <w:style w:type="character" w:customStyle="1" w:styleId="FooterChar">
    <w:name w:val="Footer Char"/>
    <w:basedOn w:val="DefaultParagraphFont"/>
    <w:link w:val="Footer"/>
    <w:uiPriority w:val="99"/>
    <w:rsid w:val="006F451C"/>
  </w:style>
  <w:style w:type="paragraph" w:styleId="BalloonText">
    <w:name w:val="Balloon Text"/>
    <w:basedOn w:val="Normal"/>
    <w:link w:val="BalloonTextChar"/>
    <w:uiPriority w:val="99"/>
    <w:semiHidden/>
    <w:unhideWhenUsed/>
    <w:rsid w:val="002D0860"/>
    <w:rPr>
      <w:rFonts w:ascii="Tahoma" w:hAnsi="Tahoma" w:cs="Tahoma"/>
      <w:sz w:val="16"/>
      <w:szCs w:val="16"/>
    </w:rPr>
  </w:style>
  <w:style w:type="character" w:customStyle="1" w:styleId="BalloonTextChar">
    <w:name w:val="Balloon Text Char"/>
    <w:basedOn w:val="DefaultParagraphFont"/>
    <w:link w:val="BalloonText"/>
    <w:uiPriority w:val="99"/>
    <w:semiHidden/>
    <w:rsid w:val="002D0860"/>
    <w:rPr>
      <w:rFonts w:ascii="Tahoma" w:hAnsi="Tahoma" w:cs="Tahoma"/>
      <w:sz w:val="16"/>
      <w:szCs w:val="16"/>
    </w:rPr>
  </w:style>
  <w:style w:type="character" w:styleId="Hyperlink">
    <w:name w:val="Hyperlink"/>
    <w:basedOn w:val="DefaultParagraphFont"/>
    <w:uiPriority w:val="99"/>
    <w:unhideWhenUsed/>
    <w:rsid w:val="004835A6"/>
    <w:rPr>
      <w:color w:val="0000FF" w:themeColor="hyperlink"/>
      <w:u w:val="single"/>
    </w:rPr>
  </w:style>
  <w:style w:type="character" w:styleId="Emphasis">
    <w:name w:val="Emphasis"/>
    <w:qFormat/>
    <w:rsid w:val="004835A6"/>
    <w:rPr>
      <w:i/>
      <w:iCs/>
    </w:rPr>
  </w:style>
  <w:style w:type="paragraph" w:styleId="NormalWeb">
    <w:name w:val="Normal (Web)"/>
    <w:basedOn w:val="Normal"/>
    <w:rsid w:val="004835A6"/>
    <w:pPr>
      <w:spacing w:before="100" w:beforeAutospacing="1" w:after="102" w:line="336" w:lineRule="auto"/>
      <w:ind w:left="720" w:hanging="720"/>
    </w:pPr>
    <w:rPr>
      <w:rFonts w:ascii="Times New Roman" w:eastAsia="Times New Roman" w:hAnsi="Times New Roman"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754442">
      <w:bodyDiv w:val="1"/>
      <w:marLeft w:val="0"/>
      <w:marRight w:val="0"/>
      <w:marTop w:val="0"/>
      <w:marBottom w:val="0"/>
      <w:divBdr>
        <w:top w:val="none" w:sz="0" w:space="0" w:color="auto"/>
        <w:left w:val="none" w:sz="0" w:space="0" w:color="auto"/>
        <w:bottom w:val="none" w:sz="0" w:space="0" w:color="auto"/>
        <w:right w:val="none" w:sz="0" w:space="0" w:color="auto"/>
      </w:divBdr>
      <w:divsChild>
        <w:div w:id="1381324825">
          <w:marLeft w:val="0"/>
          <w:marRight w:val="180"/>
          <w:marTop w:val="0"/>
          <w:marBottom w:val="0"/>
          <w:divBdr>
            <w:top w:val="none" w:sz="0" w:space="0" w:color="auto"/>
            <w:left w:val="none" w:sz="0" w:space="0" w:color="auto"/>
            <w:bottom w:val="none" w:sz="0" w:space="0" w:color="auto"/>
            <w:right w:val="none" w:sz="0" w:space="0" w:color="auto"/>
          </w:divBdr>
        </w:div>
        <w:div w:id="1904679793">
          <w:marLeft w:val="0"/>
          <w:marRight w:val="0"/>
          <w:marTop w:val="0"/>
          <w:marBottom w:val="30"/>
          <w:divBdr>
            <w:top w:val="none" w:sz="0" w:space="0" w:color="auto"/>
            <w:left w:val="none" w:sz="0" w:space="0" w:color="auto"/>
            <w:bottom w:val="none" w:sz="0" w:space="0" w:color="auto"/>
            <w:right w:val="none" w:sz="0" w:space="0" w:color="auto"/>
          </w:divBdr>
          <w:divsChild>
            <w:div w:id="1540555815">
              <w:marLeft w:val="0"/>
              <w:marRight w:val="0"/>
              <w:marTop w:val="48"/>
              <w:marBottom w:val="48"/>
              <w:divBdr>
                <w:top w:val="none" w:sz="0" w:space="0" w:color="auto"/>
                <w:left w:val="none" w:sz="0" w:space="0" w:color="auto"/>
                <w:bottom w:val="none" w:sz="0" w:space="0" w:color="auto"/>
                <w:right w:val="none" w:sz="0" w:space="0" w:color="auto"/>
              </w:divBdr>
            </w:div>
            <w:div w:id="116466078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2122993093">
      <w:bodyDiv w:val="1"/>
      <w:marLeft w:val="0"/>
      <w:marRight w:val="0"/>
      <w:marTop w:val="0"/>
      <w:marBottom w:val="0"/>
      <w:divBdr>
        <w:top w:val="none" w:sz="0" w:space="0" w:color="auto"/>
        <w:left w:val="none" w:sz="0" w:space="0" w:color="auto"/>
        <w:bottom w:val="none" w:sz="0" w:space="0" w:color="auto"/>
        <w:right w:val="none" w:sz="0" w:space="0" w:color="auto"/>
      </w:divBdr>
      <w:divsChild>
        <w:div w:id="1366830364">
          <w:marLeft w:val="0"/>
          <w:marRight w:val="180"/>
          <w:marTop w:val="0"/>
          <w:marBottom w:val="0"/>
          <w:divBdr>
            <w:top w:val="none" w:sz="0" w:space="0" w:color="auto"/>
            <w:left w:val="none" w:sz="0" w:space="0" w:color="auto"/>
            <w:bottom w:val="none" w:sz="0" w:space="0" w:color="auto"/>
            <w:right w:val="none" w:sz="0" w:space="0" w:color="auto"/>
          </w:divBdr>
        </w:div>
        <w:div w:id="1114330495">
          <w:marLeft w:val="0"/>
          <w:marRight w:val="0"/>
          <w:marTop w:val="0"/>
          <w:marBottom w:val="30"/>
          <w:divBdr>
            <w:top w:val="none" w:sz="0" w:space="0" w:color="auto"/>
            <w:left w:val="none" w:sz="0" w:space="0" w:color="auto"/>
            <w:bottom w:val="none" w:sz="0" w:space="0" w:color="auto"/>
            <w:right w:val="none" w:sz="0" w:space="0" w:color="auto"/>
          </w:divBdr>
          <w:divsChild>
            <w:div w:id="735400529">
              <w:marLeft w:val="0"/>
              <w:marRight w:val="0"/>
              <w:marTop w:val="48"/>
              <w:marBottom w:val="48"/>
              <w:divBdr>
                <w:top w:val="none" w:sz="0" w:space="0" w:color="auto"/>
                <w:left w:val="none" w:sz="0" w:space="0" w:color="auto"/>
                <w:bottom w:val="none" w:sz="0" w:space="0" w:color="auto"/>
                <w:right w:val="none" w:sz="0" w:space="0" w:color="auto"/>
              </w:divBdr>
            </w:div>
            <w:div w:id="10303740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rk.ac.uk/res/herc/documents/wp/09_23_Removed.pdf" TargetMode="External"/><Relationship Id="rId13" Type="http://schemas.openxmlformats.org/officeDocument/2006/relationships/hyperlink" Target="http://works.bepress.com/psheaton/5" TargetMode="External"/><Relationship Id="rId18" Type="http://schemas.openxmlformats.org/officeDocument/2006/relationships/hyperlink" Target="http://www.jstor.org/stable/3003439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personal.lse.ac.uk/GHATAK/WDRmotivation.pdf" TargetMode="External"/><Relationship Id="rId12" Type="http://schemas.openxmlformats.org/officeDocument/2006/relationships/hyperlink" Target="https://www.researchgate.net/publication/312595136_Public_Sector_Productivity_-_Measurement_Challenges_Performance_Information_and_Prospects_for_Improvement" TargetMode="External"/><Relationship Id="rId17" Type="http://schemas.openxmlformats.org/officeDocument/2006/relationships/hyperlink" Target="http://dx.doi.org/10.1098/rsta.2012.0382" TargetMode="External"/><Relationship Id="rId2" Type="http://schemas.openxmlformats.org/officeDocument/2006/relationships/styles" Target="styles.xml"/><Relationship Id="rId16" Type="http://schemas.openxmlformats.org/officeDocument/2006/relationships/hyperlink" Target="http://www.jstor.org/stable/414534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pers.ssrn.com/sol3/papers.cfm?abstract_id=1643850" TargetMode="External"/><Relationship Id="rId5" Type="http://schemas.openxmlformats.org/officeDocument/2006/relationships/footnotes" Target="footnotes.xml"/><Relationship Id="rId15" Type="http://schemas.openxmlformats.org/officeDocument/2006/relationships/hyperlink" Target="https://doi.org/10.1016/S0047-2727(97)00005-4" TargetMode="External"/><Relationship Id="rId10" Type="http://schemas.openxmlformats.org/officeDocument/2006/relationships/hyperlink" Target="http://blogs.lse.ac.uk/politicsandpolicy/the-rise-of-a-robot-state-new-frontiers-for-growing-the-productivity-of-government-servic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rookings.edu/blog/fixgov/2017/02/13/ten-questions-and-answers-about-americas-big-government/" TargetMode="External"/><Relationship Id="rId14" Type="http://schemas.openxmlformats.org/officeDocument/2006/relationships/hyperlink" Target="http://www.rand.org/content/dam/rand/pubs/reprints/2010/RAND_RP14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8289</Words>
  <Characters>47251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University of Canberra</Company>
  <LinksUpToDate>false</LinksUpToDate>
  <CharactersWithSpaces>55430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Dunleavy</dc:creator>
  <cp:lastModifiedBy>Patrick.Dunleavy</cp:lastModifiedBy>
  <cp:revision>2</cp:revision>
  <cp:lastPrinted>2017-04-03T07:49:00Z</cp:lastPrinted>
  <dcterms:created xsi:type="dcterms:W3CDTF">2019-03-08T01:36:00Z</dcterms:created>
  <dcterms:modified xsi:type="dcterms:W3CDTF">2019-03-08T01:36:00Z</dcterms:modified>
</cp:coreProperties>
</file>